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Layout w:type="fixed"/>
        <w:tblCellMar>
          <w:left w:w="0" w:type="dxa"/>
          <w:right w:w="0" w:type="dxa"/>
        </w:tblCellMar>
        <w:tblLook w:val="01E0"/>
      </w:tblPr>
      <w:tblGrid>
        <w:gridCol w:w="4819"/>
        <w:gridCol w:w="4820"/>
      </w:tblGrid>
      <w:tr w:rsidR="00210185" w:rsidRPr="00C36C8F" w:rsidTr="00751983">
        <w:trPr>
          <w:cantSplit/>
        </w:trPr>
        <w:tc>
          <w:tcPr>
            <w:tcW w:w="4819" w:type="dxa"/>
          </w:tcPr>
          <w:p w:rsidR="00210185" w:rsidRPr="00C36C8F" w:rsidRDefault="00210185" w:rsidP="001350BC">
            <w:pPr>
              <w:pStyle w:val="Info"/>
            </w:pPr>
          </w:p>
        </w:tc>
        <w:tc>
          <w:tcPr>
            <w:tcW w:w="4820" w:type="dxa"/>
          </w:tcPr>
          <w:p w:rsidR="00210185" w:rsidRPr="00C36C8F" w:rsidRDefault="00873AC6" w:rsidP="0088590F">
            <w:pPr>
              <w:pStyle w:val="ParaMargin"/>
              <w:jc w:val="right"/>
            </w:pPr>
            <w:r w:rsidRPr="00C36C8F">
              <w:rPr>
                <w:noProof/>
                <w:lang w:eastAsia="en-AU"/>
              </w:rPr>
              <w:drawing>
                <wp:inline distT="0" distB="0" distL="0" distR="0">
                  <wp:extent cx="1257300" cy="866775"/>
                  <wp:effectExtent l="19050" t="0" r="0" b="0"/>
                  <wp:docPr id="4" name="Picture 3"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erLogo_Blue_LowRes"/>
                          <pic:cNvPicPr>
                            <a:picLocks noChangeAspect="1" noChangeArrowheads="1"/>
                          </pic:cNvPicPr>
                        </pic:nvPicPr>
                        <pic:blipFill>
                          <a:blip r:embed="rId12" cstate="print"/>
                          <a:srcRect/>
                          <a:stretch>
                            <a:fillRect/>
                          </a:stretch>
                        </pic:blipFill>
                        <pic:spPr bwMode="auto">
                          <a:xfrm>
                            <a:off x="0" y="0"/>
                            <a:ext cx="1257300" cy="866775"/>
                          </a:xfrm>
                          <a:prstGeom prst="rect">
                            <a:avLst/>
                          </a:prstGeom>
                          <a:noFill/>
                          <a:ln w="9525">
                            <a:noFill/>
                            <a:miter lim="800000"/>
                            <a:headEnd/>
                            <a:tailEnd/>
                          </a:ln>
                        </pic:spPr>
                      </pic:pic>
                    </a:graphicData>
                  </a:graphic>
                </wp:inline>
              </w:drawing>
            </w:r>
          </w:p>
        </w:tc>
      </w:tr>
      <w:tr w:rsidR="008D2A08" w:rsidRPr="00C36C8F" w:rsidTr="00751983">
        <w:trPr>
          <w:cantSplit/>
        </w:trPr>
        <w:tc>
          <w:tcPr>
            <w:tcW w:w="9639" w:type="dxa"/>
            <w:gridSpan w:val="2"/>
          </w:tcPr>
          <w:p w:rsidR="008D2A08" w:rsidRPr="00C36C8F" w:rsidRDefault="008D2A08" w:rsidP="00737A4B">
            <w:pPr>
              <w:pStyle w:val="ParaMargin"/>
            </w:pPr>
          </w:p>
          <w:p w:rsidR="0036689C" w:rsidRPr="00C36C8F" w:rsidRDefault="0036689C" w:rsidP="00737A4B">
            <w:pPr>
              <w:pStyle w:val="ParaMargin"/>
            </w:pPr>
          </w:p>
          <w:p w:rsidR="0036689C" w:rsidRPr="00C36C8F" w:rsidRDefault="0036689C" w:rsidP="00737A4B">
            <w:pPr>
              <w:pStyle w:val="ParaMargin"/>
            </w:pPr>
          </w:p>
        </w:tc>
      </w:tr>
      <w:tr w:rsidR="00A90130" w:rsidRPr="00C36C8F" w:rsidTr="00751983">
        <w:trPr>
          <w:cantSplit/>
        </w:trPr>
        <w:tc>
          <w:tcPr>
            <w:tcW w:w="9639" w:type="dxa"/>
            <w:gridSpan w:val="2"/>
          </w:tcPr>
          <w:p w:rsidR="00A90130" w:rsidRPr="00C36C8F" w:rsidRDefault="00B9555F" w:rsidP="008503D1">
            <w:pPr>
              <w:pStyle w:val="HeadingTitle"/>
              <w:rPr>
                <w:sz w:val="36"/>
                <w:szCs w:val="36"/>
              </w:rPr>
            </w:pPr>
            <w:fldSimple w:instr=" DOCPROPERTY &quot;Client&quot;  \* MERGEFORMAT ">
              <w:r w:rsidR="004B221A" w:rsidRPr="004B221A">
                <w:rPr>
                  <w:sz w:val="36"/>
                  <w:szCs w:val="36"/>
                </w:rPr>
                <w:t>Department of Sustainability, Environment, Water, Population and Communities</w:t>
              </w:r>
            </w:fldSimple>
          </w:p>
        </w:tc>
      </w:tr>
      <w:tr w:rsidR="00A90130" w:rsidRPr="00C36C8F" w:rsidTr="00751983">
        <w:trPr>
          <w:cantSplit/>
        </w:trPr>
        <w:tc>
          <w:tcPr>
            <w:tcW w:w="9639" w:type="dxa"/>
            <w:gridSpan w:val="2"/>
          </w:tcPr>
          <w:p w:rsidR="00A90130" w:rsidRPr="00C36C8F" w:rsidRDefault="00B9555F" w:rsidP="008503D1">
            <w:pPr>
              <w:pStyle w:val="HeadingTitle"/>
            </w:pPr>
            <w:fldSimple w:instr=" DOCPROPERTY &quot;Project&quot;  \* MERGEFORMAT ">
              <w:r w:rsidR="004B221A">
                <w:t>Waste and recycling in Australia 2011</w:t>
              </w:r>
            </w:fldSimple>
          </w:p>
        </w:tc>
      </w:tr>
      <w:tr w:rsidR="00A90130" w:rsidRPr="00C36C8F" w:rsidTr="00751983">
        <w:trPr>
          <w:cantSplit/>
        </w:trPr>
        <w:tc>
          <w:tcPr>
            <w:tcW w:w="9639" w:type="dxa"/>
            <w:gridSpan w:val="2"/>
          </w:tcPr>
          <w:p w:rsidR="00A90130" w:rsidRPr="00C36C8F" w:rsidRDefault="00B9555F" w:rsidP="008503D1">
            <w:pPr>
              <w:pStyle w:val="HeadingSub"/>
              <w:rPr>
                <w:sz w:val="22"/>
                <w:szCs w:val="22"/>
              </w:rPr>
            </w:pPr>
            <w:fldSimple w:instr=" DOCPROPERTY &quot;Title&quot;  \* MERGEFORMAT ">
              <w:r w:rsidR="004B221A" w:rsidRPr="004B221A">
                <w:rPr>
                  <w:sz w:val="22"/>
                  <w:szCs w:val="22"/>
                </w:rPr>
                <w:t>Incorporating a revised method for compiling waste and recycling data</w:t>
              </w:r>
            </w:fldSimple>
          </w:p>
        </w:tc>
      </w:tr>
      <w:tr w:rsidR="008D2A08" w:rsidRPr="00C36C8F" w:rsidTr="00751983">
        <w:trPr>
          <w:cantSplit/>
        </w:trPr>
        <w:tc>
          <w:tcPr>
            <w:tcW w:w="9639" w:type="dxa"/>
            <w:gridSpan w:val="2"/>
          </w:tcPr>
          <w:p w:rsidR="008D2A08" w:rsidRPr="00C36C8F" w:rsidRDefault="00B9555F" w:rsidP="00737A4B">
            <w:pPr>
              <w:pStyle w:val="ParaMargin"/>
            </w:pPr>
            <w:r>
              <w:rPr>
                <w:noProof/>
                <w:lang w:eastAsia="en-AU"/>
              </w:rPr>
            </w:r>
            <w:r>
              <w:rPr>
                <w:noProof/>
                <w:lang w:eastAsia="en-AU"/>
              </w:rPr>
              <w:pict>
                <v:polyline id="Freeform 4" o:spid="_x0000_s1052"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" filled="f" strokecolor="#00519e" strokeweight="1pt">
                  <v:path arrowok="t" o:connecttype="custom" o:connectlocs="0,0;2147483647,0;2147483647,2147483647;2147483647,2147483647" o:connectangles="0,0,0,0"/>
                  <w10:wrap type="none"/>
                  <w10:anchorlock/>
                </v:polyline>
              </w:pict>
            </w:r>
          </w:p>
        </w:tc>
      </w:tr>
      <w:tr w:rsidR="008D2A08" w:rsidRPr="00C36C8F" w:rsidTr="00751983">
        <w:trPr>
          <w:cantSplit/>
        </w:trPr>
        <w:tc>
          <w:tcPr>
            <w:tcW w:w="9639" w:type="dxa"/>
            <w:gridSpan w:val="2"/>
          </w:tcPr>
          <w:p w:rsidR="008D2A08" w:rsidRPr="00C36C8F" w:rsidRDefault="00B9555F" w:rsidP="008D2A08">
            <w:pPr>
              <w:pStyle w:val="HeadingOther"/>
            </w:pPr>
            <w:fldSimple w:instr=" DOCPROPERTY &quot;Subtitle&quot;  \* MERGEFORMAT ">
              <w:r w:rsidR="004B221A">
                <w:t>Final report</w:t>
              </w:r>
            </w:fldSimple>
          </w:p>
        </w:tc>
      </w:tr>
      <w:tr w:rsidR="006E648A" w:rsidRPr="00C36C8F" w:rsidTr="00751983">
        <w:trPr>
          <w:cantSplit/>
        </w:trPr>
        <w:tc>
          <w:tcPr>
            <w:tcW w:w="9639" w:type="dxa"/>
            <w:gridSpan w:val="2"/>
          </w:tcPr>
          <w:tbl>
            <w:tblPr>
              <w:tblW w:w="9639" w:type="dxa"/>
              <w:tblLayout w:type="fixed"/>
              <w:tblCellMar>
                <w:left w:w="0" w:type="dxa"/>
                <w:right w:w="0" w:type="dxa"/>
              </w:tblCellMar>
              <w:tblLook w:val="01E0"/>
            </w:tblPr>
            <w:tblGrid>
              <w:gridCol w:w="9639"/>
            </w:tblGrid>
            <w:tr w:rsidR="006E648A" w:rsidRPr="00C36C8F">
              <w:trPr>
                <w:cantSplit/>
              </w:trPr>
              <w:tc>
                <w:tcPr>
                  <w:tcW w:w="9639" w:type="dxa"/>
                </w:tcPr>
                <w:p w:rsidR="007211F5" w:rsidRPr="00C36C8F" w:rsidRDefault="009922F4" w:rsidP="00751983">
                  <w:pPr>
                    <w:pStyle w:val="PathFileName"/>
                    <w:tabs>
                      <w:tab w:val="left" w:pos="6899"/>
                    </w:tabs>
                    <w:jc w:val="center"/>
                  </w:pPr>
                  <w:r w:rsidRPr="00C36C8F">
                    <w:rPr>
                      <w:noProof/>
                      <w:lang w:eastAsia="en-AU"/>
                    </w:rPr>
                    <w:drawing>
                      <wp:inline distT="0" distB="0" distL="0" distR="0">
                        <wp:extent cx="6049925" cy="4795284"/>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amp;card.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51262" cy="4796344"/>
                                </a:xfrm>
                                <a:prstGeom prst="rect">
                                  <a:avLst/>
                                </a:prstGeom>
                              </pic:spPr>
                            </pic:pic>
                          </a:graphicData>
                        </a:graphic>
                      </wp:inline>
                    </w:drawing>
                  </w:r>
                </w:p>
              </w:tc>
            </w:tr>
            <w:tr w:rsidR="007211F5" w:rsidRPr="00C36C8F">
              <w:trPr>
                <w:cantSplit/>
              </w:trPr>
              <w:tc>
                <w:tcPr>
                  <w:tcW w:w="9639" w:type="dxa"/>
                </w:tcPr>
                <w:p w:rsidR="007211F5" w:rsidRPr="00C36C8F" w:rsidRDefault="007211F5" w:rsidP="007211F5">
                  <w:pPr>
                    <w:pStyle w:val="PathFileName"/>
                    <w:tabs>
                      <w:tab w:val="left" w:pos="6899"/>
                    </w:tabs>
                  </w:pPr>
                </w:p>
              </w:tc>
            </w:tr>
          </w:tbl>
          <w:p w:rsidR="006E648A" w:rsidRPr="00C36C8F" w:rsidRDefault="006E648A"/>
        </w:tc>
      </w:tr>
    </w:tbl>
    <w:p w:rsidR="002B1738" w:rsidRPr="00C36C8F" w:rsidRDefault="002B1738" w:rsidP="00737A4B">
      <w:pPr>
        <w:pStyle w:val="ParaMargin"/>
      </w:pPr>
    </w:p>
    <w:p w:rsidR="002B1738" w:rsidRPr="00C36C8F" w:rsidRDefault="002B1738" w:rsidP="00737A4B">
      <w:pPr>
        <w:pStyle w:val="ParaMargin"/>
        <w:sectPr w:rsidR="002B1738" w:rsidRPr="00C36C8F" w:rsidSect="00860B52">
          <w:footerReference w:type="even" r:id="rId14"/>
          <w:type w:val="continuous"/>
          <w:pgSz w:w="11907" w:h="16840" w:code="9"/>
          <w:pgMar w:top="1134" w:right="1134" w:bottom="1134" w:left="1134" w:header="567" w:footer="567" w:gutter="0"/>
          <w:cols w:space="708"/>
          <w:docGrid w:linePitch="360"/>
        </w:sectPr>
      </w:pPr>
    </w:p>
    <w:tbl>
      <w:tblPr>
        <w:tblW w:w="9639" w:type="dxa"/>
        <w:tblLayout w:type="fixed"/>
        <w:tblCellMar>
          <w:left w:w="0" w:type="dxa"/>
          <w:right w:w="0" w:type="dxa"/>
        </w:tblCellMar>
        <w:tblLook w:val="01E0"/>
      </w:tblPr>
      <w:tblGrid>
        <w:gridCol w:w="1700"/>
        <w:gridCol w:w="3119"/>
        <w:gridCol w:w="1277"/>
        <w:gridCol w:w="3543"/>
      </w:tblGrid>
      <w:tr w:rsidR="00B443E1" w:rsidRPr="00C36C8F">
        <w:trPr>
          <w:cantSplit/>
        </w:trPr>
        <w:tc>
          <w:tcPr>
            <w:tcW w:w="4819" w:type="dxa"/>
            <w:gridSpan w:val="2"/>
          </w:tcPr>
          <w:p w:rsidR="002246A3" w:rsidRPr="00C36C8F" w:rsidRDefault="00B9555F" w:rsidP="003A3F89">
            <w:pPr>
              <w:pStyle w:val="InfoBold"/>
              <w:spacing w:after="0"/>
              <w:rPr>
                <w:szCs w:val="16"/>
              </w:rPr>
            </w:pPr>
            <w:fldSimple w:instr=" INCLUDETEXT &quot;C:\\Program Files\\Microsoft Office\\Templates\\Info.doc&quot; CoName \* MERGEFORMAT ">
              <w:bookmarkStart w:id="0" w:name="CoName"/>
              <w:r w:rsidR="00BE391E" w:rsidRPr="000B315F">
                <w:rPr>
                  <w:b w:val="0"/>
                </w:rPr>
                <w:t>Hyder Consulting Pty Ltd</w:t>
              </w:r>
              <w:bookmarkEnd w:id="0"/>
            </w:fldSimple>
          </w:p>
          <w:p w:rsidR="002246A3" w:rsidRPr="00C36C8F" w:rsidRDefault="00B9555F" w:rsidP="003A3F89">
            <w:pPr>
              <w:pStyle w:val="Info"/>
              <w:spacing w:after="0"/>
              <w:rPr>
                <w:szCs w:val="16"/>
              </w:rPr>
            </w:pPr>
            <w:fldSimple w:instr=" INCLUDETEXT &quot;C:\\Program Files\\Microsoft Office\\Templates\\Info.doc&quot; CoNo \* MERGEFORMAT ">
              <w:bookmarkStart w:id="1" w:name="CoNo"/>
              <w:r w:rsidR="00BE391E" w:rsidRPr="000B315F">
                <w:rPr>
                  <w:b/>
                </w:rPr>
                <w:t>ABN 76 104 485 289</w:t>
              </w:r>
              <w:bookmarkEnd w:id="1"/>
            </w:fldSimple>
          </w:p>
          <w:p w:rsidR="00BE391E" w:rsidRPr="00BE391E" w:rsidRDefault="00B9555F" w:rsidP="00BE391E">
            <w:pPr>
              <w:pStyle w:val="Info"/>
              <w:spacing w:after="0"/>
              <w:rPr>
                <w:szCs w:val="16"/>
              </w:rPr>
            </w:pPr>
            <w:r w:rsidRPr="00C36C8F">
              <w:rPr>
                <w:szCs w:val="16"/>
              </w:rPr>
              <w:fldChar w:fldCharType="begin"/>
            </w:r>
            <w:r w:rsidR="002246A3" w:rsidRPr="00C36C8F">
              <w:rPr>
                <w:szCs w:val="16"/>
              </w:rPr>
              <w:instrText xml:space="preserve"> INCLUDETEXT "C:\\Program Files\\Microsoft Office\\Templates\\Info.doc" Address \* MERGEFORMAT </w:instrText>
            </w:r>
            <w:r w:rsidRPr="00C36C8F">
              <w:rPr>
                <w:szCs w:val="16"/>
              </w:rPr>
              <w:fldChar w:fldCharType="separate"/>
            </w:r>
            <w:bookmarkStart w:id="2" w:name="Address"/>
            <w:r w:rsidR="00BE391E" w:rsidRPr="000B315F">
              <w:rPr>
                <w:b/>
              </w:rPr>
              <w:t>Level 5, 141 Walker Street</w:t>
            </w:r>
            <w:r w:rsidR="00BE391E" w:rsidRPr="000B315F">
              <w:rPr>
                <w:b/>
              </w:rPr>
              <w:br/>
              <w:t>Locked</w:t>
            </w:r>
            <w:r w:rsidR="00BE391E" w:rsidRPr="00BE391E">
              <w:rPr>
                <w:szCs w:val="16"/>
              </w:rPr>
              <w:t xml:space="preserve"> Bag 6503</w:t>
            </w:r>
            <w:r w:rsidR="00BE391E" w:rsidRPr="00BE391E">
              <w:rPr>
                <w:szCs w:val="16"/>
              </w:rPr>
              <w:br/>
              <w:t>North Sydney NSW 2060</w:t>
            </w:r>
            <w:r w:rsidR="00BE391E" w:rsidRPr="00BE391E">
              <w:rPr>
                <w:szCs w:val="16"/>
              </w:rPr>
              <w:br/>
              <w:t>Australia</w:t>
            </w:r>
          </w:p>
          <w:p w:rsidR="00BE391E" w:rsidRPr="00BE391E" w:rsidRDefault="00BE391E" w:rsidP="00BE391E">
            <w:pPr>
              <w:spacing w:after="0" w:line="240" w:lineRule="auto"/>
              <w:ind w:left="0"/>
              <w:rPr>
                <w:sz w:val="16"/>
                <w:szCs w:val="16"/>
              </w:rPr>
            </w:pPr>
            <w:r w:rsidRPr="00BE391E">
              <w:rPr>
                <w:sz w:val="16"/>
                <w:szCs w:val="16"/>
              </w:rPr>
              <w:t xml:space="preserve">Tel:  </w:t>
            </w:r>
            <w:bookmarkStart w:id="3" w:name="Phone"/>
            <w:r w:rsidRPr="00BE391E">
              <w:rPr>
                <w:sz w:val="16"/>
                <w:szCs w:val="16"/>
              </w:rPr>
              <w:t>+61 2 8907 9000</w:t>
            </w:r>
            <w:bookmarkEnd w:id="3"/>
          </w:p>
          <w:p w:rsidR="002246A3" w:rsidRPr="00C36C8F" w:rsidRDefault="00BE391E" w:rsidP="003A3F89">
            <w:pPr>
              <w:pStyle w:val="Info"/>
              <w:spacing w:after="0"/>
              <w:rPr>
                <w:szCs w:val="16"/>
              </w:rPr>
            </w:pPr>
            <w:r w:rsidRPr="00BE391E">
              <w:rPr>
                <w:szCs w:val="16"/>
              </w:rPr>
              <w:t xml:space="preserve">Fax: </w:t>
            </w:r>
            <w:bookmarkStart w:id="4" w:name="Fax"/>
            <w:r w:rsidRPr="00BE391E">
              <w:rPr>
                <w:szCs w:val="16"/>
              </w:rPr>
              <w:t>+61 2 8907 9001</w:t>
            </w:r>
            <w:bookmarkEnd w:id="4"/>
            <w:bookmarkEnd w:id="2"/>
            <w:r w:rsidR="00B9555F" w:rsidRPr="00C36C8F">
              <w:rPr>
                <w:szCs w:val="16"/>
              </w:rPr>
              <w:fldChar w:fldCharType="end"/>
            </w:r>
          </w:p>
          <w:p w:rsidR="00B443E1" w:rsidRPr="00C36C8F" w:rsidRDefault="00B9555F" w:rsidP="003A3F89">
            <w:pPr>
              <w:pStyle w:val="Info"/>
              <w:spacing w:after="0"/>
            </w:pPr>
            <w:fldSimple w:instr=" INCLUDETEXT &quot;C:\\Program Files\\Microsoft Office\\Templates\\Info.doc&quot; Web \* MERGEFORMAT ">
              <w:bookmarkStart w:id="5" w:name="Web"/>
              <w:r w:rsidR="00BE391E" w:rsidRPr="000B315F">
                <w:rPr>
                  <w:b/>
                </w:rPr>
                <w:t>www.hyderconsulting.com</w:t>
              </w:r>
              <w:bookmarkEnd w:id="5"/>
            </w:fldSimple>
          </w:p>
        </w:tc>
        <w:tc>
          <w:tcPr>
            <w:tcW w:w="4820" w:type="dxa"/>
            <w:gridSpan w:val="2"/>
          </w:tcPr>
          <w:p w:rsidR="00B443E1" w:rsidRPr="00C36C8F" w:rsidRDefault="00873AC6" w:rsidP="0088590F">
            <w:pPr>
              <w:pStyle w:val="ParaMargin"/>
              <w:jc w:val="right"/>
            </w:pPr>
            <w:r w:rsidRPr="00C36C8F">
              <w:rPr>
                <w:noProof/>
                <w:lang w:eastAsia="en-AU"/>
              </w:rPr>
              <w:drawing>
                <wp:inline distT="0" distB="0" distL="0" distR="0">
                  <wp:extent cx="1257300" cy="866775"/>
                  <wp:effectExtent l="19050" t="0" r="0" b="0"/>
                  <wp:docPr id="6" name="Picture 5"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erLogo_Blue_LowRes"/>
                          <pic:cNvPicPr>
                            <a:picLocks noChangeAspect="1" noChangeArrowheads="1"/>
                          </pic:cNvPicPr>
                        </pic:nvPicPr>
                        <pic:blipFill>
                          <a:blip r:embed="rId12" cstate="print"/>
                          <a:srcRect/>
                          <a:stretch>
                            <a:fillRect/>
                          </a:stretch>
                        </pic:blipFill>
                        <pic:spPr bwMode="auto">
                          <a:xfrm>
                            <a:off x="0" y="0"/>
                            <a:ext cx="1257300" cy="866775"/>
                          </a:xfrm>
                          <a:prstGeom prst="rect">
                            <a:avLst/>
                          </a:prstGeom>
                          <a:noFill/>
                          <a:ln w="9525">
                            <a:noFill/>
                            <a:miter lim="800000"/>
                            <a:headEnd/>
                            <a:tailEnd/>
                          </a:ln>
                        </pic:spPr>
                      </pic:pic>
                    </a:graphicData>
                  </a:graphic>
                </wp:inline>
              </w:drawing>
            </w:r>
          </w:p>
        </w:tc>
      </w:tr>
      <w:tr w:rsidR="00B443E1" w:rsidRPr="00C36C8F">
        <w:trPr>
          <w:cantSplit/>
        </w:trPr>
        <w:tc>
          <w:tcPr>
            <w:tcW w:w="9639" w:type="dxa"/>
            <w:gridSpan w:val="4"/>
          </w:tcPr>
          <w:p w:rsidR="00083617" w:rsidRPr="00C36C8F" w:rsidRDefault="00083617" w:rsidP="008503D1">
            <w:pPr>
              <w:pStyle w:val="ParaMargin"/>
            </w:pPr>
          </w:p>
        </w:tc>
      </w:tr>
      <w:tr w:rsidR="00B443E1" w:rsidRPr="00C36C8F">
        <w:trPr>
          <w:cantSplit/>
        </w:trPr>
        <w:tc>
          <w:tcPr>
            <w:tcW w:w="9639" w:type="dxa"/>
            <w:gridSpan w:val="4"/>
          </w:tcPr>
          <w:p w:rsidR="00B443E1" w:rsidRPr="00C36C8F" w:rsidRDefault="00B9555F" w:rsidP="008503D1">
            <w:pPr>
              <w:pStyle w:val="HeadingTitle"/>
              <w:rPr>
                <w:sz w:val="36"/>
                <w:szCs w:val="36"/>
              </w:rPr>
            </w:pPr>
            <w:fldSimple w:instr=" DOCPROPERTY &quot;Client&quot;  \* MERGEFORMAT ">
              <w:r w:rsidR="004B221A" w:rsidRPr="004B221A">
                <w:rPr>
                  <w:sz w:val="36"/>
                  <w:szCs w:val="36"/>
                </w:rPr>
                <w:t>Department of Sustainability, Environment, Water, Population and Communities</w:t>
              </w:r>
            </w:fldSimple>
          </w:p>
        </w:tc>
      </w:tr>
      <w:tr w:rsidR="00B443E1" w:rsidRPr="00C36C8F">
        <w:trPr>
          <w:cantSplit/>
        </w:trPr>
        <w:tc>
          <w:tcPr>
            <w:tcW w:w="9639" w:type="dxa"/>
            <w:gridSpan w:val="4"/>
          </w:tcPr>
          <w:p w:rsidR="00B443E1" w:rsidRPr="00C36C8F" w:rsidRDefault="00B9555F" w:rsidP="008503D1">
            <w:pPr>
              <w:pStyle w:val="HeadingTitle"/>
            </w:pPr>
            <w:fldSimple w:instr=" DOCPROPERTY &quot;Project&quot;  \* MERGEFORMAT ">
              <w:r w:rsidR="004B221A">
                <w:t>Waste and recycling in Australia 2011</w:t>
              </w:r>
            </w:fldSimple>
          </w:p>
        </w:tc>
      </w:tr>
      <w:tr w:rsidR="00B443E1" w:rsidRPr="00C36C8F">
        <w:trPr>
          <w:cantSplit/>
        </w:trPr>
        <w:tc>
          <w:tcPr>
            <w:tcW w:w="9639" w:type="dxa"/>
            <w:gridSpan w:val="4"/>
          </w:tcPr>
          <w:p w:rsidR="00B443E1" w:rsidRPr="00C36C8F" w:rsidRDefault="00B9555F" w:rsidP="008503D1">
            <w:pPr>
              <w:pStyle w:val="HeadingSub"/>
              <w:rPr>
                <w:sz w:val="22"/>
                <w:szCs w:val="22"/>
              </w:rPr>
            </w:pPr>
            <w:fldSimple w:instr=" DOCPROPERTY &quot;Title&quot;  \* MERGEFORMAT ">
              <w:r w:rsidR="004B221A" w:rsidRPr="004B221A">
                <w:rPr>
                  <w:sz w:val="22"/>
                  <w:szCs w:val="22"/>
                </w:rPr>
                <w:t>Incorporating a revised method for compiling waste and recycling data</w:t>
              </w:r>
            </w:fldSimple>
          </w:p>
        </w:tc>
      </w:tr>
      <w:tr w:rsidR="00B443E1" w:rsidRPr="00C36C8F">
        <w:trPr>
          <w:cantSplit/>
        </w:trPr>
        <w:tc>
          <w:tcPr>
            <w:tcW w:w="9639" w:type="dxa"/>
            <w:gridSpan w:val="4"/>
          </w:tcPr>
          <w:p w:rsidR="00B443E1" w:rsidRPr="00C36C8F" w:rsidRDefault="00B9555F" w:rsidP="008503D1">
            <w:pPr>
              <w:pStyle w:val="ParaMargin"/>
            </w:pPr>
            <w:r>
              <w:rPr>
                <w:noProof/>
                <w:lang w:eastAsia="en-AU"/>
              </w:rPr>
            </w:r>
            <w:r>
              <w:rPr>
                <w:noProof/>
                <w:lang w:eastAsia="en-AU"/>
              </w:rPr>
              <w:pict>
                <v:polyline id="Freeform 3" o:spid="_x0000_s1051"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" filled="f" strokecolor="#00519e" strokeweight="1pt">
                  <v:path arrowok="t" o:connecttype="custom" o:connectlocs="0,0;2147483647,0;2147483647,2147483647;2147483647,2147483647" o:connectangles="0,0,0,0"/>
                  <w10:wrap type="none"/>
                  <w10:anchorlock/>
                </v:polyline>
              </w:pict>
            </w:r>
          </w:p>
        </w:tc>
      </w:tr>
      <w:tr w:rsidR="00B443E1" w:rsidRPr="00C36C8F">
        <w:trPr>
          <w:cantSplit/>
        </w:trPr>
        <w:tc>
          <w:tcPr>
            <w:tcW w:w="9639" w:type="dxa"/>
            <w:gridSpan w:val="4"/>
          </w:tcPr>
          <w:p w:rsidR="00B443E1" w:rsidRPr="00C36C8F" w:rsidRDefault="00B9555F" w:rsidP="008503D1">
            <w:pPr>
              <w:pStyle w:val="HeadingOther"/>
            </w:pPr>
            <w:fldSimple w:instr=" DOCPROPERTY &quot;Subtitle&quot;  \* MERGEFORMAT ">
              <w:r w:rsidR="004B221A">
                <w:t>Final report</w:t>
              </w:r>
            </w:fldSimple>
          </w:p>
        </w:tc>
      </w:tr>
      <w:tr w:rsidR="00A90130" w:rsidRPr="00C36C8F" w:rsidTr="000B315F">
        <w:trPr>
          <w:trHeight w:val="851"/>
        </w:trPr>
        <w:tc>
          <w:tcPr>
            <w:tcW w:w="1700" w:type="dxa"/>
          </w:tcPr>
          <w:p w:rsidR="00A90130" w:rsidRPr="00C36C8F" w:rsidRDefault="00A90130" w:rsidP="00065C48">
            <w:pPr>
              <w:pStyle w:val="ParaMargin"/>
              <w:spacing w:before="60" w:after="60" w:line="240" w:lineRule="auto"/>
              <w:rPr>
                <w:b/>
              </w:rPr>
            </w:pPr>
            <w:r w:rsidRPr="00C36C8F">
              <w:rPr>
                <w:b/>
              </w:rPr>
              <w:t>Author</w:t>
            </w:r>
            <w:r w:rsidR="009765AF" w:rsidRPr="00C36C8F">
              <w:rPr>
                <w:b/>
              </w:rPr>
              <w:t>s</w:t>
            </w:r>
          </w:p>
        </w:tc>
        <w:tc>
          <w:tcPr>
            <w:tcW w:w="4396" w:type="dxa"/>
            <w:gridSpan w:val="2"/>
          </w:tcPr>
          <w:p w:rsidR="00A90130" w:rsidRPr="00C36C8F" w:rsidRDefault="00B9555F" w:rsidP="00065C48">
            <w:pPr>
              <w:pStyle w:val="ParaMargin"/>
              <w:spacing w:before="60" w:after="60" w:line="240" w:lineRule="auto"/>
            </w:pPr>
            <w:fldSimple w:instr=" DOCPROPERTY &quot;Author&quot;  \* MERGEFORMAT ">
              <w:r w:rsidR="004B221A">
                <w:t>Katherine Smith, Kyle O'Farrell, Fraser Brindley</w:t>
              </w:r>
            </w:fldSimple>
          </w:p>
        </w:tc>
        <w:tc>
          <w:tcPr>
            <w:tcW w:w="3543" w:type="dxa"/>
          </w:tcPr>
          <w:p w:rsidR="00A90130" w:rsidRPr="00C36C8F" w:rsidRDefault="00A90130" w:rsidP="000B4411">
            <w:pPr>
              <w:pStyle w:val="ParaMargin"/>
              <w:spacing w:before="60" w:after="60" w:line="240" w:lineRule="auto"/>
            </w:pPr>
          </w:p>
        </w:tc>
      </w:tr>
      <w:tr w:rsidR="00A90130" w:rsidRPr="00C36C8F" w:rsidTr="000B315F">
        <w:trPr>
          <w:trHeight w:val="851"/>
        </w:trPr>
        <w:tc>
          <w:tcPr>
            <w:tcW w:w="1700" w:type="dxa"/>
          </w:tcPr>
          <w:p w:rsidR="00A90130" w:rsidRPr="008977A2" w:rsidRDefault="00A90130" w:rsidP="00065C48">
            <w:pPr>
              <w:pStyle w:val="ParaMargin"/>
              <w:spacing w:before="60" w:after="60" w:line="240" w:lineRule="auto"/>
              <w:rPr>
                <w:b/>
              </w:rPr>
            </w:pPr>
            <w:r w:rsidRPr="008977A2">
              <w:rPr>
                <w:b/>
              </w:rPr>
              <w:t>Checker</w:t>
            </w:r>
          </w:p>
        </w:tc>
        <w:tc>
          <w:tcPr>
            <w:tcW w:w="4396" w:type="dxa"/>
            <w:gridSpan w:val="2"/>
          </w:tcPr>
          <w:p w:rsidR="00A90130" w:rsidRPr="008977A2" w:rsidRDefault="00B9555F" w:rsidP="008977A2">
            <w:pPr>
              <w:pStyle w:val="ParaMargin"/>
              <w:spacing w:before="60" w:after="60" w:line="240" w:lineRule="auto"/>
            </w:pPr>
            <w:fldSimple w:instr=" DOCPROPERTY &quot;Checker&quot;  \* MERGEFORMAT ">
              <w:r w:rsidR="004B221A">
                <w:t>Paul Randell, Garth Lamb, Ylva Engqvist</w:t>
              </w:r>
            </w:fldSimple>
          </w:p>
        </w:tc>
        <w:tc>
          <w:tcPr>
            <w:tcW w:w="3543" w:type="dxa"/>
          </w:tcPr>
          <w:p w:rsidR="00A90130" w:rsidRPr="00C36C8F" w:rsidRDefault="00A90130" w:rsidP="00065C48">
            <w:pPr>
              <w:pStyle w:val="ParaMargin"/>
              <w:spacing w:before="60" w:after="60" w:line="240" w:lineRule="auto"/>
            </w:pPr>
          </w:p>
        </w:tc>
      </w:tr>
      <w:tr w:rsidR="00A90130" w:rsidRPr="00C36C8F" w:rsidTr="000B315F">
        <w:trPr>
          <w:trHeight w:val="851"/>
        </w:trPr>
        <w:tc>
          <w:tcPr>
            <w:tcW w:w="1700" w:type="dxa"/>
          </w:tcPr>
          <w:p w:rsidR="00A90130" w:rsidRPr="00C36C8F" w:rsidRDefault="00A90130" w:rsidP="00065C48">
            <w:pPr>
              <w:pStyle w:val="ParaMargin"/>
              <w:spacing w:before="60" w:after="60" w:line="240" w:lineRule="auto"/>
              <w:rPr>
                <w:b/>
              </w:rPr>
            </w:pPr>
            <w:r w:rsidRPr="00C36C8F">
              <w:rPr>
                <w:b/>
              </w:rPr>
              <w:t>Approver</w:t>
            </w:r>
          </w:p>
        </w:tc>
        <w:tc>
          <w:tcPr>
            <w:tcW w:w="4396" w:type="dxa"/>
            <w:gridSpan w:val="2"/>
          </w:tcPr>
          <w:p w:rsidR="00A90130" w:rsidRPr="00C36C8F" w:rsidRDefault="002B6B01" w:rsidP="00065C48">
            <w:pPr>
              <w:pStyle w:val="ParaMargin"/>
              <w:spacing w:before="60" w:after="60" w:line="240" w:lineRule="auto"/>
            </w:pPr>
            <w:r w:rsidRPr="00C36C8F">
              <w:t>Victoria Bond</w:t>
            </w:r>
          </w:p>
        </w:tc>
        <w:tc>
          <w:tcPr>
            <w:tcW w:w="3543" w:type="dxa"/>
          </w:tcPr>
          <w:p w:rsidR="00A90130" w:rsidRPr="00C36C8F" w:rsidRDefault="00A90130" w:rsidP="00065C48">
            <w:pPr>
              <w:pStyle w:val="ParaMargin"/>
              <w:spacing w:before="60" w:after="60" w:line="240" w:lineRule="auto"/>
            </w:pPr>
          </w:p>
        </w:tc>
      </w:tr>
      <w:tr w:rsidR="00B443E1" w:rsidRPr="00C36C8F">
        <w:trPr>
          <w:cantSplit/>
        </w:trPr>
        <w:tc>
          <w:tcPr>
            <w:tcW w:w="9639" w:type="dxa"/>
            <w:gridSpan w:val="4"/>
          </w:tcPr>
          <w:p w:rsidR="00B443E1" w:rsidRPr="00C36C8F" w:rsidRDefault="00B443E1" w:rsidP="00065C48">
            <w:pPr>
              <w:pStyle w:val="ParaMargin"/>
              <w:spacing w:before="60" w:after="60" w:line="240" w:lineRule="auto"/>
            </w:pPr>
          </w:p>
        </w:tc>
      </w:tr>
      <w:tr w:rsidR="00B443E1" w:rsidRPr="00C36C8F">
        <w:trPr>
          <w:cantSplit/>
        </w:trPr>
        <w:tc>
          <w:tcPr>
            <w:tcW w:w="1700" w:type="dxa"/>
          </w:tcPr>
          <w:p w:rsidR="00B443E1" w:rsidRPr="00255E2A" w:rsidRDefault="00B443E1" w:rsidP="00065C48">
            <w:pPr>
              <w:pStyle w:val="ParaMargin"/>
              <w:spacing w:before="60" w:after="60" w:line="240" w:lineRule="auto"/>
              <w:rPr>
                <w:b/>
              </w:rPr>
            </w:pPr>
            <w:r w:rsidRPr="00255E2A">
              <w:rPr>
                <w:b/>
              </w:rPr>
              <w:t>Report No</w:t>
            </w:r>
          </w:p>
        </w:tc>
        <w:tc>
          <w:tcPr>
            <w:tcW w:w="7939" w:type="dxa"/>
            <w:gridSpan w:val="3"/>
          </w:tcPr>
          <w:p w:rsidR="00B443E1" w:rsidRPr="00255E2A" w:rsidRDefault="00730BCE" w:rsidP="00065C48">
            <w:pPr>
              <w:pStyle w:val="ParaMargin"/>
              <w:spacing w:before="60" w:after="60" w:line="240" w:lineRule="auto"/>
            </w:pPr>
            <w:r>
              <w:t>AA003777-AAR-02-R04</w:t>
            </w:r>
            <w:r w:rsidR="008977A2" w:rsidRPr="00255E2A">
              <w:t>-QA_Final</w:t>
            </w:r>
          </w:p>
        </w:tc>
      </w:tr>
      <w:tr w:rsidR="00A863B5" w:rsidRPr="00C36C8F">
        <w:trPr>
          <w:cantSplit/>
        </w:trPr>
        <w:tc>
          <w:tcPr>
            <w:tcW w:w="1700" w:type="dxa"/>
          </w:tcPr>
          <w:p w:rsidR="00A863B5" w:rsidRPr="00255E2A" w:rsidRDefault="00A863B5" w:rsidP="00065C48">
            <w:pPr>
              <w:pStyle w:val="ParaMargin"/>
              <w:spacing w:before="60" w:after="60" w:line="240" w:lineRule="auto"/>
              <w:rPr>
                <w:b/>
              </w:rPr>
            </w:pPr>
            <w:r w:rsidRPr="00255E2A">
              <w:rPr>
                <w:b/>
              </w:rPr>
              <w:t>Date</w:t>
            </w:r>
          </w:p>
        </w:tc>
        <w:tc>
          <w:tcPr>
            <w:tcW w:w="7939" w:type="dxa"/>
            <w:gridSpan w:val="3"/>
            <w:vAlign w:val="bottom"/>
          </w:tcPr>
          <w:p w:rsidR="00A863B5" w:rsidRPr="00255E2A" w:rsidRDefault="00730BCE" w:rsidP="008977A2">
            <w:pPr>
              <w:pStyle w:val="ParaMargin"/>
              <w:spacing w:before="60" w:after="60" w:line="240" w:lineRule="auto"/>
              <w:rPr>
                <w:rFonts w:ascii="Arial Narrow" w:hAnsi="Arial Narrow"/>
              </w:rPr>
            </w:pPr>
            <w:r>
              <w:t>28 August</w:t>
            </w:r>
            <w:r w:rsidR="008977A2" w:rsidRPr="00255E2A">
              <w:t xml:space="preserve"> </w:t>
            </w:r>
            <w:r w:rsidR="002B6B01" w:rsidRPr="00255E2A">
              <w:t>201</w:t>
            </w:r>
            <w:r w:rsidR="008977A2" w:rsidRPr="00255E2A">
              <w:t>2</w:t>
            </w:r>
          </w:p>
        </w:tc>
      </w:tr>
      <w:tr w:rsidR="00334A15" w:rsidRPr="00C36C8F">
        <w:trPr>
          <w:cantSplit/>
        </w:trPr>
        <w:tc>
          <w:tcPr>
            <w:tcW w:w="1700" w:type="dxa"/>
          </w:tcPr>
          <w:p w:rsidR="00334A15" w:rsidRPr="00255E2A" w:rsidRDefault="00B9555F" w:rsidP="00065C48">
            <w:pPr>
              <w:pStyle w:val="ParaMargin"/>
              <w:spacing w:before="60" w:after="60" w:line="240" w:lineRule="auto"/>
              <w:rPr>
                <w:b/>
              </w:rPr>
            </w:pPr>
            <w:fldSimple w:instr=" DOCPROPERTY &quot;RevisionText&quot;  \* MERGEFORMAT ">
              <w:r w:rsidR="004B221A" w:rsidRPr="004B221A">
                <w:rPr>
                  <w:b/>
                </w:rPr>
                <w:t>Version</w:t>
              </w:r>
            </w:fldSimple>
            <w:r w:rsidR="00690F1F" w:rsidRPr="00255E2A">
              <w:rPr>
                <w:b/>
              </w:rPr>
              <w:t xml:space="preserve"> </w:t>
            </w:r>
            <w:r w:rsidR="004038E0" w:rsidRPr="00255E2A">
              <w:rPr>
                <w:b/>
              </w:rPr>
              <w:t xml:space="preserve"> </w:t>
            </w:r>
          </w:p>
        </w:tc>
        <w:tc>
          <w:tcPr>
            <w:tcW w:w="7939" w:type="dxa"/>
            <w:gridSpan w:val="3"/>
            <w:vAlign w:val="bottom"/>
          </w:tcPr>
          <w:p w:rsidR="00334A15" w:rsidRPr="00255E2A" w:rsidRDefault="00B9555F" w:rsidP="00065C48">
            <w:pPr>
              <w:pStyle w:val="ParaMargin"/>
              <w:spacing w:before="60" w:after="60" w:line="240" w:lineRule="auto"/>
              <w:rPr>
                <w:rFonts w:ascii="Arial Narrow" w:hAnsi="Arial Narrow"/>
              </w:rPr>
            </w:pPr>
            <w:fldSimple w:instr=" DOCPROPERTY &quot;RevisionInfo&quot;  \* MERGEFORMAT ">
              <w:r w:rsidR="004B221A">
                <w:t>2</w:t>
              </w:r>
            </w:fldSimple>
            <w:r w:rsidR="00690F1F" w:rsidRPr="00255E2A">
              <w:t xml:space="preserve"> </w:t>
            </w:r>
            <w:r w:rsidR="004038E0" w:rsidRPr="00255E2A">
              <w:t xml:space="preserve"> </w:t>
            </w:r>
          </w:p>
        </w:tc>
      </w:tr>
      <w:tr w:rsidR="00BA655F" w:rsidRPr="00C36C8F" w:rsidTr="00FA3E79">
        <w:trPr>
          <w:cantSplit/>
        </w:trPr>
        <w:tc>
          <w:tcPr>
            <w:tcW w:w="9639" w:type="dxa"/>
            <w:gridSpan w:val="4"/>
          </w:tcPr>
          <w:p w:rsidR="00FA3E79" w:rsidRPr="00C36C8F" w:rsidRDefault="00BA655F" w:rsidP="003B7295">
            <w:pPr>
              <w:pStyle w:val="Data"/>
              <w:spacing w:before="60" w:line="240" w:lineRule="auto"/>
              <w:jc w:val="both"/>
            </w:pPr>
            <w:r w:rsidRPr="00C36C8F">
              <w:t xml:space="preserve">This report has been prepared for the </w:t>
            </w:r>
            <w:fldSimple w:instr=" DOCPROPERTY &quot;Client&quot;  \* MERGEFORMAT ">
              <w:r w:rsidR="004B221A">
                <w:t>Department of Sustainability, Environment, Water, Population and Communities</w:t>
              </w:r>
            </w:fldSimple>
            <w:r w:rsidRPr="00C36C8F">
              <w:t xml:space="preserve"> in accordance with the terms and conditions of appointment for </w:t>
            </w:r>
            <w:fldSimple w:instr=" DOCPROPERTY &quot;Title&quot;  \* MERGEFORMAT ">
              <w:r w:rsidR="004B221A">
                <w:t>Incorporating a revised method for compiling waste and recycling data</w:t>
              </w:r>
            </w:fldSimple>
            <w:r w:rsidRPr="00C36C8F">
              <w:t xml:space="preserve"> dated </w:t>
            </w:r>
            <w:fldSimple w:instr=" DOCPROPERTY &quot;AppointmentDate&quot;  \* MERGEFORMAT ">
              <w:r w:rsidR="004B221A">
                <w:t>5 November 2010</w:t>
              </w:r>
            </w:fldSimple>
            <w:r w:rsidRPr="00C36C8F">
              <w:t xml:space="preserve">. </w:t>
            </w:r>
            <w:fldSimple w:instr=" INCLUDETEXT &quot;C:\\Program Files\\Microsoft Office\\Templates\\Info.doc&quot; CoName \* MERGEFORMAT ">
              <w:r w:rsidR="00BE391E" w:rsidRPr="000B315F">
                <w:rPr>
                  <w:b/>
                </w:rPr>
                <w:t>Hyder Consulting Pty Ltd</w:t>
              </w:r>
            </w:fldSimple>
            <w:r w:rsidRPr="00C36C8F">
              <w:t xml:space="preserve"> (</w:t>
            </w:r>
            <w:fldSimple w:instr=" INCLUDETEXT &quot;C:\\Program Files\\Microsoft Office\\Templates\\Info.doc&quot; CoNo \* MERGEFORMAT ">
              <w:r w:rsidR="00BE391E" w:rsidRPr="000B315F">
                <w:rPr>
                  <w:b/>
                </w:rPr>
                <w:t>ABN 76 104 485 289</w:t>
              </w:r>
            </w:fldSimple>
            <w:r w:rsidRPr="00C36C8F">
              <w:t>) cannot accept any responsibility for any use of or reliance on the contents of this report by any third party.</w:t>
            </w:r>
          </w:p>
          <w:p w:rsidR="008F6EF9" w:rsidRPr="00C36C8F" w:rsidRDefault="008F6EF9" w:rsidP="00AE057D">
            <w:pPr>
              <w:pStyle w:val="Data"/>
              <w:spacing w:before="60" w:line="240" w:lineRule="auto"/>
              <w:jc w:val="both"/>
            </w:pPr>
            <w:r w:rsidRPr="00C36C8F">
              <w:t xml:space="preserve">The views and opinions expressed in this publication are those of the authors and do not necessarily reflect those of the Australian Government or the Minister for the Environment, Heritage and the Arts or the Minister for Climate Change and </w:t>
            </w:r>
            <w:r w:rsidR="00AE057D">
              <w:t>Energy Efficiency</w:t>
            </w:r>
            <w:r w:rsidRPr="00C36C8F">
              <w: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tc>
      </w:tr>
    </w:tbl>
    <w:p w:rsidR="002B1738" w:rsidRPr="00C36C8F" w:rsidRDefault="002B1738" w:rsidP="00737A4B">
      <w:pPr>
        <w:pStyle w:val="ParaMargin"/>
      </w:pPr>
    </w:p>
    <w:p w:rsidR="002B1738" w:rsidRPr="00C36C8F" w:rsidRDefault="002B1738" w:rsidP="00737A4B">
      <w:pPr>
        <w:pStyle w:val="ParaMargin"/>
        <w:sectPr w:rsidR="002B1738" w:rsidRPr="00C36C8F" w:rsidSect="00860B52">
          <w:footerReference w:type="default" r:id="rId15"/>
          <w:type w:val="evenPage"/>
          <w:pgSz w:w="11907" w:h="16840" w:code="9"/>
          <w:pgMar w:top="1134" w:right="1134" w:bottom="1134" w:left="1134" w:header="567" w:footer="567" w:gutter="0"/>
          <w:cols w:space="708"/>
          <w:docGrid w:linePitch="360"/>
        </w:sectPr>
      </w:pPr>
    </w:p>
    <w:tbl>
      <w:tblPr>
        <w:tblW w:w="9639" w:type="dxa"/>
        <w:tblLayout w:type="fixed"/>
        <w:tblCellMar>
          <w:left w:w="0" w:type="dxa"/>
          <w:right w:w="0" w:type="dxa"/>
        </w:tblCellMar>
        <w:tblLook w:val="01E0"/>
      </w:tblPr>
      <w:tblGrid>
        <w:gridCol w:w="4819"/>
        <w:gridCol w:w="4820"/>
      </w:tblGrid>
      <w:tr w:rsidR="00C434FF" w:rsidRPr="00C36C8F">
        <w:trPr>
          <w:cantSplit/>
        </w:trPr>
        <w:tc>
          <w:tcPr>
            <w:tcW w:w="4819" w:type="dxa"/>
          </w:tcPr>
          <w:p w:rsidR="005121A6" w:rsidRPr="00C36C8F" w:rsidRDefault="005121A6" w:rsidP="008503D1">
            <w:pPr>
              <w:pStyle w:val="ParaMargin"/>
            </w:pPr>
            <w:bookmarkStart w:id="6" w:name="RevisionsPage"/>
            <w:bookmarkEnd w:id="6"/>
          </w:p>
        </w:tc>
        <w:tc>
          <w:tcPr>
            <w:tcW w:w="4820" w:type="dxa"/>
          </w:tcPr>
          <w:p w:rsidR="00C434FF" w:rsidRPr="00C36C8F" w:rsidRDefault="00873AC6" w:rsidP="0088590F">
            <w:pPr>
              <w:pStyle w:val="ParaMargin"/>
              <w:jc w:val="right"/>
            </w:pPr>
            <w:r w:rsidRPr="00C36C8F">
              <w:rPr>
                <w:noProof/>
                <w:lang w:eastAsia="en-AU"/>
              </w:rPr>
              <w:drawing>
                <wp:inline distT="0" distB="0" distL="0" distR="0">
                  <wp:extent cx="1257300" cy="866775"/>
                  <wp:effectExtent l="19050" t="0" r="0" b="0"/>
                  <wp:docPr id="7" name="Picture 6"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derLogo_Blue_LowRes"/>
                          <pic:cNvPicPr>
                            <a:picLocks noChangeAspect="1" noChangeArrowheads="1"/>
                          </pic:cNvPicPr>
                        </pic:nvPicPr>
                        <pic:blipFill>
                          <a:blip r:embed="rId12" cstate="print"/>
                          <a:srcRect/>
                          <a:stretch>
                            <a:fillRect/>
                          </a:stretch>
                        </pic:blipFill>
                        <pic:spPr bwMode="auto">
                          <a:xfrm>
                            <a:off x="0" y="0"/>
                            <a:ext cx="1257300" cy="866775"/>
                          </a:xfrm>
                          <a:prstGeom prst="rect">
                            <a:avLst/>
                          </a:prstGeom>
                          <a:noFill/>
                          <a:ln w="9525">
                            <a:noFill/>
                            <a:miter lim="800000"/>
                            <a:headEnd/>
                            <a:tailEnd/>
                          </a:ln>
                        </pic:spPr>
                      </pic:pic>
                    </a:graphicData>
                  </a:graphic>
                </wp:inline>
              </w:drawing>
            </w:r>
          </w:p>
        </w:tc>
      </w:tr>
      <w:tr w:rsidR="00C434FF" w:rsidRPr="00C36C8F">
        <w:trPr>
          <w:cantSplit/>
        </w:trPr>
        <w:tc>
          <w:tcPr>
            <w:tcW w:w="9639" w:type="dxa"/>
            <w:gridSpan w:val="2"/>
          </w:tcPr>
          <w:p w:rsidR="00C434FF" w:rsidRPr="00C36C8F" w:rsidRDefault="00C434FF" w:rsidP="008503D1">
            <w:pPr>
              <w:pStyle w:val="ParaMargin"/>
            </w:pPr>
          </w:p>
        </w:tc>
      </w:tr>
      <w:tr w:rsidR="00C434FF" w:rsidRPr="00C36C8F">
        <w:trPr>
          <w:cantSplit/>
        </w:trPr>
        <w:tc>
          <w:tcPr>
            <w:tcW w:w="9639" w:type="dxa"/>
            <w:gridSpan w:val="2"/>
          </w:tcPr>
          <w:p w:rsidR="00C434FF" w:rsidRPr="00C36C8F" w:rsidRDefault="0056371C" w:rsidP="008503D1">
            <w:pPr>
              <w:pStyle w:val="HeadingTitle"/>
            </w:pPr>
            <w:r w:rsidRPr="00C36C8F">
              <w:t>CONTENTS</w:t>
            </w:r>
          </w:p>
        </w:tc>
      </w:tr>
      <w:tr w:rsidR="00C434FF" w:rsidRPr="00C36C8F">
        <w:tblPrEx>
          <w:tblCellMar>
            <w:left w:w="108" w:type="dxa"/>
            <w:right w:w="108" w:type="dxa"/>
          </w:tblCellMar>
        </w:tblPrEx>
        <w:trPr>
          <w:cantSplit/>
        </w:trPr>
        <w:tc>
          <w:tcPr>
            <w:tcW w:w="9639" w:type="dxa"/>
            <w:gridSpan w:val="2"/>
          </w:tcPr>
          <w:p w:rsidR="00C434FF" w:rsidRPr="00C36C8F" w:rsidRDefault="00B9555F" w:rsidP="008503D1">
            <w:pPr>
              <w:pStyle w:val="ParaMargin"/>
            </w:pPr>
            <w:r>
              <w:rPr>
                <w:noProof/>
                <w:lang w:eastAsia="en-AU"/>
              </w:rPr>
            </w:r>
            <w:r>
              <w:rPr>
                <w:noProof/>
                <w:lang w:eastAsia="en-AU"/>
              </w:rPr>
              <w:pict>
                <v:polyline id="Freeform 2" o:spid="_x0000_s1050"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" filled="f" strokecolor="#00519e" strokeweight="1pt">
                  <v:path arrowok="t" o:connecttype="custom" o:connectlocs="0,0;2147483647,0;2147483647,2147483647;2147483647,2147483647" o:connectangles="0,0,0,0"/>
                  <w10:wrap type="none"/>
                  <w10:anchorlock/>
                </v:polyline>
              </w:pict>
            </w:r>
          </w:p>
        </w:tc>
      </w:tr>
      <w:tr w:rsidR="00C81FB5" w:rsidRPr="00C36C8F">
        <w:tblPrEx>
          <w:tblCellMar>
            <w:left w:w="108" w:type="dxa"/>
            <w:right w:w="108" w:type="dxa"/>
          </w:tblCellMar>
        </w:tblPrEx>
        <w:tc>
          <w:tcPr>
            <w:tcW w:w="9639" w:type="dxa"/>
            <w:gridSpan w:val="2"/>
          </w:tcPr>
          <w:p w:rsidR="00BE391E" w:rsidRDefault="00B9555F">
            <w:pPr>
              <w:pStyle w:val="TOC1"/>
              <w:rPr>
                <w:rFonts w:asciiTheme="minorHAnsi" w:eastAsiaTheme="minorEastAsia" w:hAnsiTheme="minorHAnsi" w:cstheme="minorBidi"/>
                <w:noProof/>
                <w:color w:val="auto"/>
                <w:sz w:val="22"/>
                <w:szCs w:val="22"/>
                <w:lang w:eastAsia="en-AU"/>
              </w:rPr>
            </w:pPr>
            <w:r w:rsidRPr="00B9555F">
              <w:fldChar w:fldCharType="begin"/>
            </w:r>
            <w:r w:rsidR="009A0E01" w:rsidRPr="00C36C8F">
              <w:instrText xml:space="preserve"> TOC \t "_Heading1,1,_Heading2,2" </w:instrText>
            </w:r>
            <w:r w:rsidRPr="00B9555F">
              <w:fldChar w:fldCharType="separate"/>
            </w:r>
            <w:r w:rsidR="00BE391E" w:rsidRPr="002A3DDD">
              <w:rPr>
                <w:noProof/>
              </w:rPr>
              <w:t xml:space="preserve">EXECUTIVE </w:t>
            </w:r>
            <w:r w:rsidR="00BE391E">
              <w:rPr>
                <w:noProof/>
              </w:rPr>
              <w:t>SUMMARY</w:t>
            </w:r>
            <w:r w:rsidR="00BE391E">
              <w:rPr>
                <w:noProof/>
              </w:rPr>
              <w:tab/>
            </w:r>
            <w:r>
              <w:rPr>
                <w:noProof/>
              </w:rPr>
              <w:fldChar w:fldCharType="begin"/>
            </w:r>
            <w:r w:rsidR="00BE391E">
              <w:rPr>
                <w:noProof/>
              </w:rPr>
              <w:instrText xml:space="preserve"> PAGEREF _Toc325020094 \h </w:instrText>
            </w:r>
            <w:r>
              <w:rPr>
                <w:noProof/>
              </w:rPr>
            </w:r>
            <w:r>
              <w:rPr>
                <w:noProof/>
              </w:rPr>
              <w:fldChar w:fldCharType="separate"/>
            </w:r>
            <w:r w:rsidR="00AE7E3B">
              <w:rPr>
                <w:noProof/>
              </w:rPr>
              <w:t>1</w:t>
            </w:r>
            <w:r>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Key findings</w:t>
            </w:r>
            <w:r>
              <w:rPr>
                <w:noProof/>
              </w:rPr>
              <w:tab/>
            </w:r>
            <w:r w:rsidR="00B9555F">
              <w:rPr>
                <w:noProof/>
              </w:rPr>
              <w:fldChar w:fldCharType="begin"/>
            </w:r>
            <w:r>
              <w:rPr>
                <w:noProof/>
              </w:rPr>
              <w:instrText xml:space="preserve"> PAGEREF _Toc325020095 \h </w:instrText>
            </w:r>
            <w:r w:rsidR="00B9555F">
              <w:rPr>
                <w:noProof/>
              </w:rPr>
            </w:r>
            <w:r w:rsidR="00B9555F">
              <w:rPr>
                <w:noProof/>
              </w:rPr>
              <w:fldChar w:fldCharType="separate"/>
            </w:r>
            <w:r w:rsidR="00AE7E3B">
              <w:rPr>
                <w:noProof/>
              </w:rPr>
              <w:t>2</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Pr>
                <w:noProof/>
              </w:rPr>
              <w:t>1</w:t>
            </w:r>
            <w:r>
              <w:rPr>
                <w:rFonts w:asciiTheme="minorHAnsi" w:eastAsiaTheme="minorEastAsia" w:hAnsiTheme="minorHAnsi" w:cstheme="minorBidi"/>
                <w:noProof/>
                <w:color w:val="auto"/>
                <w:sz w:val="22"/>
                <w:szCs w:val="22"/>
                <w:lang w:eastAsia="en-AU"/>
              </w:rPr>
              <w:tab/>
            </w:r>
            <w:r>
              <w:rPr>
                <w:noProof/>
              </w:rPr>
              <w:t>INTRODUCTION</w:t>
            </w:r>
            <w:r>
              <w:rPr>
                <w:noProof/>
              </w:rPr>
              <w:tab/>
            </w:r>
            <w:r w:rsidR="00B9555F">
              <w:rPr>
                <w:noProof/>
              </w:rPr>
              <w:fldChar w:fldCharType="begin"/>
            </w:r>
            <w:r>
              <w:rPr>
                <w:noProof/>
              </w:rPr>
              <w:instrText xml:space="preserve"> PAGEREF _Toc325020096 \h </w:instrText>
            </w:r>
            <w:r w:rsidR="00B9555F">
              <w:rPr>
                <w:noProof/>
              </w:rPr>
            </w:r>
            <w:r w:rsidR="00B9555F">
              <w:rPr>
                <w:noProof/>
              </w:rPr>
              <w:fldChar w:fldCharType="separate"/>
            </w:r>
            <w:r w:rsidR="00AE7E3B">
              <w:rPr>
                <w:noProof/>
              </w:rPr>
              <w:t>4</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sidRPr="002A3DDD">
              <w:rPr>
                <w:noProof/>
              </w:rPr>
              <w:t>2</w:t>
            </w:r>
            <w:r>
              <w:rPr>
                <w:rFonts w:asciiTheme="minorHAnsi" w:eastAsiaTheme="minorEastAsia" w:hAnsiTheme="minorHAnsi" w:cstheme="minorBidi"/>
                <w:noProof/>
                <w:color w:val="auto"/>
                <w:sz w:val="22"/>
                <w:szCs w:val="22"/>
                <w:lang w:eastAsia="en-AU"/>
              </w:rPr>
              <w:tab/>
            </w:r>
            <w:r w:rsidRPr="002A3DDD">
              <w:rPr>
                <w:noProof/>
              </w:rPr>
              <w:t>DEFINITIONS</w:t>
            </w:r>
            <w:r>
              <w:rPr>
                <w:noProof/>
              </w:rPr>
              <w:tab/>
            </w:r>
            <w:r w:rsidR="00B9555F">
              <w:rPr>
                <w:noProof/>
              </w:rPr>
              <w:fldChar w:fldCharType="begin"/>
            </w:r>
            <w:r>
              <w:rPr>
                <w:noProof/>
              </w:rPr>
              <w:instrText xml:space="preserve"> PAGEREF _Toc325020097 \h </w:instrText>
            </w:r>
            <w:r w:rsidR="00B9555F">
              <w:rPr>
                <w:noProof/>
              </w:rPr>
            </w:r>
            <w:r w:rsidR="00B9555F">
              <w:rPr>
                <w:noProof/>
              </w:rPr>
              <w:fldChar w:fldCharType="separate"/>
            </w:r>
            <w:r w:rsidR="00AE7E3B">
              <w:rPr>
                <w:noProof/>
              </w:rPr>
              <w:t>6</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Pr>
                <w:noProof/>
              </w:rPr>
              <w:t>3</w:t>
            </w:r>
            <w:r>
              <w:rPr>
                <w:rFonts w:asciiTheme="minorHAnsi" w:eastAsiaTheme="minorEastAsia" w:hAnsiTheme="minorHAnsi" w:cstheme="minorBidi"/>
                <w:noProof/>
                <w:color w:val="auto"/>
                <w:sz w:val="22"/>
                <w:szCs w:val="22"/>
                <w:lang w:eastAsia="en-AU"/>
              </w:rPr>
              <w:tab/>
            </w:r>
            <w:r>
              <w:rPr>
                <w:noProof/>
              </w:rPr>
              <w:t>METHOD REPORT RECOMMENDATIONS - TESTING FINDINGS</w:t>
            </w:r>
            <w:r>
              <w:rPr>
                <w:noProof/>
              </w:rPr>
              <w:tab/>
            </w:r>
            <w:r w:rsidR="00B9555F">
              <w:rPr>
                <w:noProof/>
              </w:rPr>
              <w:fldChar w:fldCharType="begin"/>
            </w:r>
            <w:r>
              <w:rPr>
                <w:noProof/>
              </w:rPr>
              <w:instrText xml:space="preserve"> PAGEREF _Toc325020098 \h </w:instrText>
            </w:r>
            <w:r w:rsidR="00B9555F">
              <w:rPr>
                <w:noProof/>
              </w:rPr>
            </w:r>
            <w:r w:rsidR="00B9555F">
              <w:rPr>
                <w:noProof/>
              </w:rPr>
              <w:fldChar w:fldCharType="separate"/>
            </w:r>
            <w:r w:rsidR="00AE7E3B">
              <w:rPr>
                <w:noProof/>
              </w:rPr>
              <w:t>13</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lang w:eastAsia="en-AU"/>
              </w:rPr>
              <w:t>3.1</w:t>
            </w:r>
            <w:r>
              <w:rPr>
                <w:rFonts w:asciiTheme="minorHAnsi" w:eastAsiaTheme="minorEastAsia" w:hAnsiTheme="minorHAnsi" w:cstheme="minorBidi"/>
                <w:noProof/>
                <w:sz w:val="22"/>
                <w:szCs w:val="22"/>
                <w:lang w:eastAsia="en-AU"/>
              </w:rPr>
              <w:tab/>
            </w:r>
            <w:r>
              <w:rPr>
                <w:noProof/>
                <w:lang w:eastAsia="en-AU"/>
              </w:rPr>
              <w:t>General considerations</w:t>
            </w:r>
            <w:r>
              <w:rPr>
                <w:noProof/>
              </w:rPr>
              <w:tab/>
            </w:r>
            <w:r w:rsidR="00B9555F">
              <w:rPr>
                <w:noProof/>
              </w:rPr>
              <w:fldChar w:fldCharType="begin"/>
            </w:r>
            <w:r>
              <w:rPr>
                <w:noProof/>
              </w:rPr>
              <w:instrText xml:space="preserve"> PAGEREF _Toc325020099 \h </w:instrText>
            </w:r>
            <w:r w:rsidR="00B9555F">
              <w:rPr>
                <w:noProof/>
              </w:rPr>
            </w:r>
            <w:r w:rsidR="00B9555F">
              <w:rPr>
                <w:noProof/>
              </w:rPr>
              <w:fldChar w:fldCharType="separate"/>
            </w:r>
            <w:r w:rsidR="00AE7E3B">
              <w:rPr>
                <w:noProof/>
              </w:rPr>
              <w:t>14</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lang w:eastAsia="en-AU"/>
              </w:rPr>
              <w:t>3.2</w:t>
            </w:r>
            <w:r>
              <w:rPr>
                <w:rFonts w:asciiTheme="minorHAnsi" w:eastAsiaTheme="minorEastAsia" w:hAnsiTheme="minorHAnsi" w:cstheme="minorBidi"/>
                <w:noProof/>
                <w:sz w:val="22"/>
                <w:szCs w:val="22"/>
                <w:lang w:eastAsia="en-AU"/>
              </w:rPr>
              <w:tab/>
            </w:r>
            <w:r>
              <w:rPr>
                <w:noProof/>
                <w:lang w:eastAsia="en-AU"/>
              </w:rPr>
              <w:t>Waste streams</w:t>
            </w:r>
            <w:r>
              <w:rPr>
                <w:noProof/>
              </w:rPr>
              <w:tab/>
            </w:r>
            <w:r w:rsidR="00B9555F">
              <w:rPr>
                <w:noProof/>
              </w:rPr>
              <w:fldChar w:fldCharType="begin"/>
            </w:r>
            <w:r>
              <w:rPr>
                <w:noProof/>
              </w:rPr>
              <w:instrText xml:space="preserve"> PAGEREF _Toc325020100 \h </w:instrText>
            </w:r>
            <w:r w:rsidR="00B9555F">
              <w:rPr>
                <w:noProof/>
              </w:rPr>
            </w:r>
            <w:r w:rsidR="00B9555F">
              <w:rPr>
                <w:noProof/>
              </w:rPr>
              <w:fldChar w:fldCharType="separate"/>
            </w:r>
            <w:r w:rsidR="00AE7E3B">
              <w:rPr>
                <w:noProof/>
              </w:rPr>
              <w:t>20</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Specific wastes</w:t>
            </w:r>
            <w:r>
              <w:rPr>
                <w:noProof/>
              </w:rPr>
              <w:tab/>
            </w:r>
            <w:r w:rsidR="00B9555F">
              <w:rPr>
                <w:noProof/>
              </w:rPr>
              <w:fldChar w:fldCharType="begin"/>
            </w:r>
            <w:r>
              <w:rPr>
                <w:noProof/>
              </w:rPr>
              <w:instrText xml:space="preserve"> PAGEREF _Toc325020101 \h </w:instrText>
            </w:r>
            <w:r w:rsidR="00B9555F">
              <w:rPr>
                <w:noProof/>
              </w:rPr>
            </w:r>
            <w:r w:rsidR="00B9555F">
              <w:rPr>
                <w:noProof/>
              </w:rPr>
              <w:fldChar w:fldCharType="separate"/>
            </w:r>
            <w:r w:rsidR="00AE7E3B">
              <w:rPr>
                <w:noProof/>
              </w:rPr>
              <w:t>24</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Measurement</w:t>
            </w:r>
            <w:r>
              <w:rPr>
                <w:noProof/>
              </w:rPr>
              <w:tab/>
            </w:r>
            <w:r w:rsidR="00B9555F">
              <w:rPr>
                <w:noProof/>
              </w:rPr>
              <w:fldChar w:fldCharType="begin"/>
            </w:r>
            <w:r>
              <w:rPr>
                <w:noProof/>
              </w:rPr>
              <w:instrText xml:space="preserve"> PAGEREF _Toc325020102 \h </w:instrText>
            </w:r>
            <w:r w:rsidR="00B9555F">
              <w:rPr>
                <w:noProof/>
              </w:rPr>
            </w:r>
            <w:r w:rsidR="00B9555F">
              <w:rPr>
                <w:noProof/>
              </w:rPr>
              <w:fldChar w:fldCharType="separate"/>
            </w:r>
            <w:r w:rsidR="00AE7E3B">
              <w:rPr>
                <w:noProof/>
              </w:rPr>
              <w:t>30</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Pr>
                <w:noProof/>
              </w:rPr>
              <w:t>4</w:t>
            </w:r>
            <w:r>
              <w:rPr>
                <w:rFonts w:asciiTheme="minorHAnsi" w:eastAsiaTheme="minorEastAsia" w:hAnsiTheme="minorHAnsi" w:cstheme="minorBidi"/>
                <w:noProof/>
                <w:color w:val="auto"/>
                <w:sz w:val="22"/>
                <w:szCs w:val="22"/>
                <w:lang w:eastAsia="en-AU"/>
              </w:rPr>
              <w:tab/>
            </w:r>
            <w:r>
              <w:rPr>
                <w:noProof/>
              </w:rPr>
              <w:t>WASTE &amp; RECYCLING DATA</w:t>
            </w:r>
            <w:r>
              <w:rPr>
                <w:noProof/>
              </w:rPr>
              <w:tab/>
            </w:r>
            <w:r w:rsidR="00B9555F">
              <w:rPr>
                <w:noProof/>
              </w:rPr>
              <w:fldChar w:fldCharType="begin"/>
            </w:r>
            <w:r>
              <w:rPr>
                <w:noProof/>
              </w:rPr>
              <w:instrText xml:space="preserve"> PAGEREF _Toc325020103 \h </w:instrText>
            </w:r>
            <w:r w:rsidR="00B9555F">
              <w:rPr>
                <w:noProof/>
              </w:rPr>
            </w:r>
            <w:r w:rsidR="00B9555F">
              <w:rPr>
                <w:noProof/>
              </w:rPr>
              <w:fldChar w:fldCharType="separate"/>
            </w:r>
            <w:r w:rsidR="00AE7E3B">
              <w:rPr>
                <w:noProof/>
              </w:rPr>
              <w:t>38</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National waste disposal and recovery</w:t>
            </w:r>
            <w:r>
              <w:rPr>
                <w:noProof/>
              </w:rPr>
              <w:tab/>
            </w:r>
            <w:r w:rsidR="00B9555F">
              <w:rPr>
                <w:noProof/>
              </w:rPr>
              <w:fldChar w:fldCharType="begin"/>
            </w:r>
            <w:r>
              <w:rPr>
                <w:noProof/>
              </w:rPr>
              <w:instrText xml:space="preserve"> PAGEREF _Toc325020104 \h </w:instrText>
            </w:r>
            <w:r w:rsidR="00B9555F">
              <w:rPr>
                <w:noProof/>
              </w:rPr>
            </w:r>
            <w:r w:rsidR="00B9555F">
              <w:rPr>
                <w:noProof/>
              </w:rPr>
              <w:fldChar w:fldCharType="separate"/>
            </w:r>
            <w:r w:rsidR="00AE7E3B">
              <w:rPr>
                <w:noProof/>
              </w:rPr>
              <w:t>39</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New South Wales waste disposal and recovery</w:t>
            </w:r>
            <w:r>
              <w:rPr>
                <w:noProof/>
              </w:rPr>
              <w:tab/>
            </w:r>
            <w:r w:rsidR="00B9555F">
              <w:rPr>
                <w:noProof/>
              </w:rPr>
              <w:fldChar w:fldCharType="begin"/>
            </w:r>
            <w:r>
              <w:rPr>
                <w:noProof/>
              </w:rPr>
              <w:instrText xml:space="preserve"> PAGEREF _Toc325020105 \h </w:instrText>
            </w:r>
            <w:r w:rsidR="00B9555F">
              <w:rPr>
                <w:noProof/>
              </w:rPr>
            </w:r>
            <w:r w:rsidR="00B9555F">
              <w:rPr>
                <w:noProof/>
              </w:rPr>
              <w:fldChar w:fldCharType="separate"/>
            </w:r>
            <w:r w:rsidR="00AE7E3B">
              <w:rPr>
                <w:noProof/>
              </w:rPr>
              <w:t>50</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Victoria waste disposal and recovery</w:t>
            </w:r>
            <w:r>
              <w:rPr>
                <w:noProof/>
              </w:rPr>
              <w:tab/>
            </w:r>
            <w:r w:rsidR="00B9555F">
              <w:rPr>
                <w:noProof/>
              </w:rPr>
              <w:fldChar w:fldCharType="begin"/>
            </w:r>
            <w:r>
              <w:rPr>
                <w:noProof/>
              </w:rPr>
              <w:instrText xml:space="preserve"> PAGEREF _Toc325020106 \h </w:instrText>
            </w:r>
            <w:r w:rsidR="00B9555F">
              <w:rPr>
                <w:noProof/>
              </w:rPr>
            </w:r>
            <w:r w:rsidR="00B9555F">
              <w:rPr>
                <w:noProof/>
              </w:rPr>
              <w:fldChar w:fldCharType="separate"/>
            </w:r>
            <w:r w:rsidR="00AE7E3B">
              <w:rPr>
                <w:noProof/>
              </w:rPr>
              <w:t>58</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Queensland waste disposal and recovery</w:t>
            </w:r>
            <w:r>
              <w:rPr>
                <w:noProof/>
              </w:rPr>
              <w:tab/>
            </w:r>
            <w:r w:rsidR="00B9555F">
              <w:rPr>
                <w:noProof/>
              </w:rPr>
              <w:fldChar w:fldCharType="begin"/>
            </w:r>
            <w:r>
              <w:rPr>
                <w:noProof/>
              </w:rPr>
              <w:instrText xml:space="preserve"> PAGEREF _Toc325020107 \h </w:instrText>
            </w:r>
            <w:r w:rsidR="00B9555F">
              <w:rPr>
                <w:noProof/>
              </w:rPr>
            </w:r>
            <w:r w:rsidR="00B9555F">
              <w:rPr>
                <w:noProof/>
              </w:rPr>
              <w:fldChar w:fldCharType="separate"/>
            </w:r>
            <w:r w:rsidR="00AE7E3B">
              <w:rPr>
                <w:noProof/>
              </w:rPr>
              <w:t>66</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South Australia waste disposal and recovery</w:t>
            </w:r>
            <w:r>
              <w:rPr>
                <w:noProof/>
              </w:rPr>
              <w:tab/>
            </w:r>
            <w:r w:rsidR="00B9555F">
              <w:rPr>
                <w:noProof/>
              </w:rPr>
              <w:fldChar w:fldCharType="begin"/>
            </w:r>
            <w:r>
              <w:rPr>
                <w:noProof/>
              </w:rPr>
              <w:instrText xml:space="preserve"> PAGEREF _Toc325020108 \h </w:instrText>
            </w:r>
            <w:r w:rsidR="00B9555F">
              <w:rPr>
                <w:noProof/>
              </w:rPr>
            </w:r>
            <w:r w:rsidR="00B9555F">
              <w:rPr>
                <w:noProof/>
              </w:rPr>
              <w:fldChar w:fldCharType="separate"/>
            </w:r>
            <w:r w:rsidR="00AE7E3B">
              <w:rPr>
                <w:noProof/>
              </w:rPr>
              <w:t>73</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Western Australia waste disposal and recovery</w:t>
            </w:r>
            <w:r>
              <w:rPr>
                <w:noProof/>
              </w:rPr>
              <w:tab/>
            </w:r>
            <w:r w:rsidR="00B9555F">
              <w:rPr>
                <w:noProof/>
              </w:rPr>
              <w:fldChar w:fldCharType="begin"/>
            </w:r>
            <w:r>
              <w:rPr>
                <w:noProof/>
              </w:rPr>
              <w:instrText xml:space="preserve"> PAGEREF _Toc325020109 \h </w:instrText>
            </w:r>
            <w:r w:rsidR="00B9555F">
              <w:rPr>
                <w:noProof/>
              </w:rPr>
            </w:r>
            <w:r w:rsidR="00B9555F">
              <w:rPr>
                <w:noProof/>
              </w:rPr>
              <w:fldChar w:fldCharType="separate"/>
            </w:r>
            <w:r w:rsidR="00AE7E3B">
              <w:rPr>
                <w:noProof/>
              </w:rPr>
              <w:t>80</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4.7</w:t>
            </w:r>
            <w:r>
              <w:rPr>
                <w:rFonts w:asciiTheme="minorHAnsi" w:eastAsiaTheme="minorEastAsia" w:hAnsiTheme="minorHAnsi" w:cstheme="minorBidi"/>
                <w:noProof/>
                <w:sz w:val="22"/>
                <w:szCs w:val="22"/>
                <w:lang w:eastAsia="en-AU"/>
              </w:rPr>
              <w:tab/>
            </w:r>
            <w:r>
              <w:rPr>
                <w:noProof/>
              </w:rPr>
              <w:t>Tasmania waste disposal and recovery</w:t>
            </w:r>
            <w:r>
              <w:rPr>
                <w:noProof/>
              </w:rPr>
              <w:tab/>
            </w:r>
            <w:r w:rsidR="00B9555F">
              <w:rPr>
                <w:noProof/>
              </w:rPr>
              <w:fldChar w:fldCharType="begin"/>
            </w:r>
            <w:r>
              <w:rPr>
                <w:noProof/>
              </w:rPr>
              <w:instrText xml:space="preserve"> PAGEREF _Toc325020110 \h </w:instrText>
            </w:r>
            <w:r w:rsidR="00B9555F">
              <w:rPr>
                <w:noProof/>
              </w:rPr>
            </w:r>
            <w:r w:rsidR="00B9555F">
              <w:rPr>
                <w:noProof/>
              </w:rPr>
              <w:fldChar w:fldCharType="separate"/>
            </w:r>
            <w:r w:rsidR="00AE7E3B">
              <w:rPr>
                <w:noProof/>
              </w:rPr>
              <w:t>87</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4.8</w:t>
            </w:r>
            <w:r>
              <w:rPr>
                <w:rFonts w:asciiTheme="minorHAnsi" w:eastAsiaTheme="minorEastAsia" w:hAnsiTheme="minorHAnsi" w:cstheme="minorBidi"/>
                <w:noProof/>
                <w:sz w:val="22"/>
                <w:szCs w:val="22"/>
                <w:lang w:eastAsia="en-AU"/>
              </w:rPr>
              <w:tab/>
            </w:r>
            <w:r>
              <w:rPr>
                <w:noProof/>
              </w:rPr>
              <w:t>Australian Capital Territory waste disposal and recovery</w:t>
            </w:r>
            <w:r>
              <w:rPr>
                <w:noProof/>
              </w:rPr>
              <w:tab/>
            </w:r>
            <w:r w:rsidR="00B9555F">
              <w:rPr>
                <w:noProof/>
              </w:rPr>
              <w:fldChar w:fldCharType="begin"/>
            </w:r>
            <w:r>
              <w:rPr>
                <w:noProof/>
              </w:rPr>
              <w:instrText xml:space="preserve"> PAGEREF _Toc325020111 \h </w:instrText>
            </w:r>
            <w:r w:rsidR="00B9555F">
              <w:rPr>
                <w:noProof/>
              </w:rPr>
            </w:r>
            <w:r w:rsidR="00B9555F">
              <w:rPr>
                <w:noProof/>
              </w:rPr>
              <w:fldChar w:fldCharType="separate"/>
            </w:r>
            <w:r w:rsidR="00AE7E3B">
              <w:rPr>
                <w:noProof/>
              </w:rPr>
              <w:t>94</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4.9</w:t>
            </w:r>
            <w:r>
              <w:rPr>
                <w:rFonts w:asciiTheme="minorHAnsi" w:eastAsiaTheme="minorEastAsia" w:hAnsiTheme="minorHAnsi" w:cstheme="minorBidi"/>
                <w:noProof/>
                <w:sz w:val="22"/>
                <w:szCs w:val="22"/>
                <w:lang w:eastAsia="en-AU"/>
              </w:rPr>
              <w:tab/>
            </w:r>
            <w:r>
              <w:rPr>
                <w:noProof/>
              </w:rPr>
              <w:t>Northern Territory waste disposal and recovery</w:t>
            </w:r>
            <w:r>
              <w:rPr>
                <w:noProof/>
              </w:rPr>
              <w:tab/>
            </w:r>
            <w:r w:rsidR="00B9555F">
              <w:rPr>
                <w:noProof/>
              </w:rPr>
              <w:fldChar w:fldCharType="begin"/>
            </w:r>
            <w:r>
              <w:rPr>
                <w:noProof/>
              </w:rPr>
              <w:instrText xml:space="preserve"> PAGEREF _Toc325020112 \h </w:instrText>
            </w:r>
            <w:r w:rsidR="00B9555F">
              <w:rPr>
                <w:noProof/>
              </w:rPr>
            </w:r>
            <w:r w:rsidR="00B9555F">
              <w:rPr>
                <w:noProof/>
              </w:rPr>
              <w:fldChar w:fldCharType="separate"/>
            </w:r>
            <w:r w:rsidR="00AE7E3B">
              <w:rPr>
                <w:noProof/>
              </w:rPr>
              <w:t>100</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sidRPr="002A3DDD">
              <w:rPr>
                <w:noProof/>
              </w:rPr>
              <w:t>5</w:t>
            </w:r>
            <w:r>
              <w:rPr>
                <w:rFonts w:asciiTheme="minorHAnsi" w:eastAsiaTheme="minorEastAsia" w:hAnsiTheme="minorHAnsi" w:cstheme="minorBidi"/>
                <w:noProof/>
                <w:color w:val="auto"/>
                <w:sz w:val="22"/>
                <w:szCs w:val="22"/>
                <w:lang w:eastAsia="en-AU"/>
              </w:rPr>
              <w:tab/>
            </w:r>
            <w:r w:rsidRPr="002A3DDD">
              <w:rPr>
                <w:noProof/>
              </w:rPr>
              <w:t>ENVIRONMENTAL ASSESSMENT</w:t>
            </w:r>
            <w:r>
              <w:rPr>
                <w:noProof/>
              </w:rPr>
              <w:tab/>
            </w:r>
            <w:r w:rsidR="00B9555F">
              <w:rPr>
                <w:noProof/>
              </w:rPr>
              <w:fldChar w:fldCharType="begin"/>
            </w:r>
            <w:r>
              <w:rPr>
                <w:noProof/>
              </w:rPr>
              <w:instrText xml:space="preserve"> PAGEREF _Toc325020113 \h </w:instrText>
            </w:r>
            <w:r w:rsidR="00B9555F">
              <w:rPr>
                <w:noProof/>
              </w:rPr>
            </w:r>
            <w:r w:rsidR="00B9555F">
              <w:rPr>
                <w:noProof/>
              </w:rPr>
              <w:fldChar w:fldCharType="separate"/>
            </w:r>
            <w:r w:rsidR="00AE7E3B">
              <w:rPr>
                <w:noProof/>
              </w:rPr>
              <w:t>107</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Environmental assessment of landfilling</w:t>
            </w:r>
            <w:r>
              <w:rPr>
                <w:noProof/>
              </w:rPr>
              <w:tab/>
            </w:r>
            <w:r w:rsidR="00B9555F">
              <w:rPr>
                <w:noProof/>
              </w:rPr>
              <w:fldChar w:fldCharType="begin"/>
            </w:r>
            <w:r>
              <w:rPr>
                <w:noProof/>
              </w:rPr>
              <w:instrText xml:space="preserve"> PAGEREF _Toc325020114 \h </w:instrText>
            </w:r>
            <w:r w:rsidR="00B9555F">
              <w:rPr>
                <w:noProof/>
              </w:rPr>
            </w:r>
            <w:r w:rsidR="00B9555F">
              <w:rPr>
                <w:noProof/>
              </w:rPr>
              <w:fldChar w:fldCharType="separate"/>
            </w:r>
            <w:r w:rsidR="00AE7E3B">
              <w:rPr>
                <w:noProof/>
              </w:rPr>
              <w:t>107</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Environmental assessment of resource recovery</w:t>
            </w:r>
            <w:r>
              <w:rPr>
                <w:noProof/>
              </w:rPr>
              <w:tab/>
            </w:r>
            <w:r w:rsidR="00B9555F">
              <w:rPr>
                <w:noProof/>
              </w:rPr>
              <w:fldChar w:fldCharType="begin"/>
            </w:r>
            <w:r>
              <w:rPr>
                <w:noProof/>
              </w:rPr>
              <w:instrText xml:space="preserve"> PAGEREF _Toc325020115 \h </w:instrText>
            </w:r>
            <w:r w:rsidR="00B9555F">
              <w:rPr>
                <w:noProof/>
              </w:rPr>
            </w:r>
            <w:r w:rsidR="00B9555F">
              <w:rPr>
                <w:noProof/>
              </w:rPr>
              <w:fldChar w:fldCharType="separate"/>
            </w:r>
            <w:r w:rsidR="00AE7E3B">
              <w:rPr>
                <w:noProof/>
              </w:rPr>
              <w:t>117</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Pr>
                <w:noProof/>
              </w:rPr>
              <w:t>6</w:t>
            </w:r>
            <w:r>
              <w:rPr>
                <w:rFonts w:asciiTheme="minorHAnsi" w:eastAsiaTheme="minorEastAsia" w:hAnsiTheme="minorHAnsi" w:cstheme="minorBidi"/>
                <w:noProof/>
                <w:color w:val="auto"/>
                <w:sz w:val="22"/>
                <w:szCs w:val="22"/>
                <w:lang w:eastAsia="en-AU"/>
              </w:rPr>
              <w:tab/>
            </w:r>
            <w:r>
              <w:rPr>
                <w:noProof/>
              </w:rPr>
              <w:t>STRATEGIES &amp; POLICIES</w:t>
            </w:r>
            <w:r>
              <w:rPr>
                <w:noProof/>
              </w:rPr>
              <w:tab/>
            </w:r>
            <w:r w:rsidR="00B9555F">
              <w:rPr>
                <w:noProof/>
              </w:rPr>
              <w:fldChar w:fldCharType="begin"/>
            </w:r>
            <w:r>
              <w:rPr>
                <w:noProof/>
              </w:rPr>
              <w:instrText xml:space="preserve"> PAGEREF _Toc325020116 \h </w:instrText>
            </w:r>
            <w:r w:rsidR="00B9555F">
              <w:rPr>
                <w:noProof/>
              </w:rPr>
            </w:r>
            <w:r w:rsidR="00B9555F">
              <w:rPr>
                <w:noProof/>
              </w:rPr>
              <w:fldChar w:fldCharType="separate"/>
            </w:r>
            <w:r w:rsidR="00AE7E3B">
              <w:rPr>
                <w:noProof/>
              </w:rPr>
              <w:t>119</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New South Wales</w:t>
            </w:r>
            <w:r>
              <w:rPr>
                <w:noProof/>
              </w:rPr>
              <w:tab/>
            </w:r>
            <w:r w:rsidR="00B9555F">
              <w:rPr>
                <w:noProof/>
              </w:rPr>
              <w:fldChar w:fldCharType="begin"/>
            </w:r>
            <w:r>
              <w:rPr>
                <w:noProof/>
              </w:rPr>
              <w:instrText xml:space="preserve"> PAGEREF _Toc325020117 \h </w:instrText>
            </w:r>
            <w:r w:rsidR="00B9555F">
              <w:rPr>
                <w:noProof/>
              </w:rPr>
            </w:r>
            <w:r w:rsidR="00B9555F">
              <w:rPr>
                <w:noProof/>
              </w:rPr>
              <w:fldChar w:fldCharType="separate"/>
            </w:r>
            <w:r w:rsidR="00AE7E3B">
              <w:rPr>
                <w:noProof/>
              </w:rPr>
              <w:t>120</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Victoria</w:t>
            </w:r>
            <w:r>
              <w:rPr>
                <w:noProof/>
              </w:rPr>
              <w:tab/>
            </w:r>
            <w:r w:rsidR="00B9555F">
              <w:rPr>
                <w:noProof/>
              </w:rPr>
              <w:fldChar w:fldCharType="begin"/>
            </w:r>
            <w:r>
              <w:rPr>
                <w:noProof/>
              </w:rPr>
              <w:instrText xml:space="preserve"> PAGEREF _Toc325020118 \h </w:instrText>
            </w:r>
            <w:r w:rsidR="00B9555F">
              <w:rPr>
                <w:noProof/>
              </w:rPr>
            </w:r>
            <w:r w:rsidR="00B9555F">
              <w:rPr>
                <w:noProof/>
              </w:rPr>
              <w:fldChar w:fldCharType="separate"/>
            </w:r>
            <w:r w:rsidR="00AE7E3B">
              <w:rPr>
                <w:noProof/>
              </w:rPr>
              <w:t>124</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Queensland</w:t>
            </w:r>
            <w:r>
              <w:rPr>
                <w:noProof/>
              </w:rPr>
              <w:tab/>
            </w:r>
            <w:r w:rsidR="00B9555F">
              <w:rPr>
                <w:noProof/>
              </w:rPr>
              <w:fldChar w:fldCharType="begin"/>
            </w:r>
            <w:r>
              <w:rPr>
                <w:noProof/>
              </w:rPr>
              <w:instrText xml:space="preserve"> PAGEREF _Toc325020119 \h </w:instrText>
            </w:r>
            <w:r w:rsidR="00B9555F">
              <w:rPr>
                <w:noProof/>
              </w:rPr>
            </w:r>
            <w:r w:rsidR="00B9555F">
              <w:rPr>
                <w:noProof/>
              </w:rPr>
              <w:fldChar w:fldCharType="separate"/>
            </w:r>
            <w:r w:rsidR="00AE7E3B">
              <w:rPr>
                <w:noProof/>
              </w:rPr>
              <w:t>130</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South Australia</w:t>
            </w:r>
            <w:r>
              <w:rPr>
                <w:noProof/>
              </w:rPr>
              <w:tab/>
            </w:r>
            <w:r w:rsidR="00B9555F">
              <w:rPr>
                <w:noProof/>
              </w:rPr>
              <w:fldChar w:fldCharType="begin"/>
            </w:r>
            <w:r>
              <w:rPr>
                <w:noProof/>
              </w:rPr>
              <w:instrText xml:space="preserve"> PAGEREF _Toc325020120 \h </w:instrText>
            </w:r>
            <w:r w:rsidR="00B9555F">
              <w:rPr>
                <w:noProof/>
              </w:rPr>
            </w:r>
            <w:r w:rsidR="00B9555F">
              <w:rPr>
                <w:noProof/>
              </w:rPr>
              <w:fldChar w:fldCharType="separate"/>
            </w:r>
            <w:r w:rsidR="00AE7E3B">
              <w:rPr>
                <w:noProof/>
              </w:rPr>
              <w:t>133</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Western Australia</w:t>
            </w:r>
            <w:r>
              <w:rPr>
                <w:noProof/>
              </w:rPr>
              <w:tab/>
            </w:r>
            <w:r w:rsidR="00B9555F">
              <w:rPr>
                <w:noProof/>
              </w:rPr>
              <w:fldChar w:fldCharType="begin"/>
            </w:r>
            <w:r>
              <w:rPr>
                <w:noProof/>
              </w:rPr>
              <w:instrText xml:space="preserve"> PAGEREF _Toc325020121 \h </w:instrText>
            </w:r>
            <w:r w:rsidR="00B9555F">
              <w:rPr>
                <w:noProof/>
              </w:rPr>
            </w:r>
            <w:r w:rsidR="00B9555F">
              <w:rPr>
                <w:noProof/>
              </w:rPr>
              <w:fldChar w:fldCharType="separate"/>
            </w:r>
            <w:r w:rsidR="00AE7E3B">
              <w:rPr>
                <w:noProof/>
              </w:rPr>
              <w:t>139</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Tasmania</w:t>
            </w:r>
            <w:r>
              <w:rPr>
                <w:noProof/>
              </w:rPr>
              <w:tab/>
            </w:r>
            <w:r w:rsidR="00B9555F">
              <w:rPr>
                <w:noProof/>
              </w:rPr>
              <w:fldChar w:fldCharType="begin"/>
            </w:r>
            <w:r>
              <w:rPr>
                <w:noProof/>
              </w:rPr>
              <w:instrText xml:space="preserve"> PAGEREF _Toc325020122 \h </w:instrText>
            </w:r>
            <w:r w:rsidR="00B9555F">
              <w:rPr>
                <w:noProof/>
              </w:rPr>
            </w:r>
            <w:r w:rsidR="00B9555F">
              <w:rPr>
                <w:noProof/>
              </w:rPr>
              <w:fldChar w:fldCharType="separate"/>
            </w:r>
            <w:r w:rsidR="00AE7E3B">
              <w:rPr>
                <w:noProof/>
              </w:rPr>
              <w:t>143</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6.7</w:t>
            </w:r>
            <w:r>
              <w:rPr>
                <w:rFonts w:asciiTheme="minorHAnsi" w:eastAsiaTheme="minorEastAsia" w:hAnsiTheme="minorHAnsi" w:cstheme="minorBidi"/>
                <w:noProof/>
                <w:sz w:val="22"/>
                <w:szCs w:val="22"/>
                <w:lang w:eastAsia="en-AU"/>
              </w:rPr>
              <w:tab/>
            </w:r>
            <w:r>
              <w:rPr>
                <w:noProof/>
              </w:rPr>
              <w:t>Australian Capital Territory</w:t>
            </w:r>
            <w:r>
              <w:rPr>
                <w:noProof/>
              </w:rPr>
              <w:tab/>
            </w:r>
            <w:r w:rsidR="00B9555F">
              <w:rPr>
                <w:noProof/>
              </w:rPr>
              <w:fldChar w:fldCharType="begin"/>
            </w:r>
            <w:r>
              <w:rPr>
                <w:noProof/>
              </w:rPr>
              <w:instrText xml:space="preserve"> PAGEREF _Toc325020123 \h </w:instrText>
            </w:r>
            <w:r w:rsidR="00B9555F">
              <w:rPr>
                <w:noProof/>
              </w:rPr>
            </w:r>
            <w:r w:rsidR="00B9555F">
              <w:rPr>
                <w:noProof/>
              </w:rPr>
              <w:fldChar w:fldCharType="separate"/>
            </w:r>
            <w:r w:rsidR="00AE7E3B">
              <w:rPr>
                <w:noProof/>
              </w:rPr>
              <w:t>145</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6.8</w:t>
            </w:r>
            <w:r>
              <w:rPr>
                <w:rFonts w:asciiTheme="minorHAnsi" w:eastAsiaTheme="minorEastAsia" w:hAnsiTheme="minorHAnsi" w:cstheme="minorBidi"/>
                <w:noProof/>
                <w:sz w:val="22"/>
                <w:szCs w:val="22"/>
                <w:lang w:eastAsia="en-AU"/>
              </w:rPr>
              <w:tab/>
            </w:r>
            <w:r>
              <w:rPr>
                <w:noProof/>
              </w:rPr>
              <w:t>Northern Territory</w:t>
            </w:r>
            <w:r>
              <w:rPr>
                <w:noProof/>
              </w:rPr>
              <w:tab/>
            </w:r>
            <w:r w:rsidR="00B9555F">
              <w:rPr>
                <w:noProof/>
              </w:rPr>
              <w:fldChar w:fldCharType="begin"/>
            </w:r>
            <w:r>
              <w:rPr>
                <w:noProof/>
              </w:rPr>
              <w:instrText xml:space="preserve"> PAGEREF _Toc325020124 \h </w:instrText>
            </w:r>
            <w:r w:rsidR="00B9555F">
              <w:rPr>
                <w:noProof/>
              </w:rPr>
            </w:r>
            <w:r w:rsidR="00B9555F">
              <w:rPr>
                <w:noProof/>
              </w:rPr>
              <w:fldChar w:fldCharType="separate"/>
            </w:r>
            <w:r w:rsidR="00AE7E3B">
              <w:rPr>
                <w:noProof/>
              </w:rPr>
              <w:t>147</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Pr>
                <w:noProof/>
              </w:rPr>
              <w:t>7</w:t>
            </w:r>
            <w:r>
              <w:rPr>
                <w:rFonts w:asciiTheme="minorHAnsi" w:eastAsiaTheme="minorEastAsia" w:hAnsiTheme="minorHAnsi" w:cstheme="minorBidi"/>
                <w:noProof/>
                <w:color w:val="auto"/>
                <w:sz w:val="22"/>
                <w:szCs w:val="22"/>
                <w:lang w:eastAsia="en-AU"/>
              </w:rPr>
              <w:tab/>
            </w:r>
            <w:r w:rsidRPr="002A3DDD">
              <w:rPr>
                <w:noProof/>
              </w:rPr>
              <w:t>BARRIERS TO RESOURCE RECOVERY &amp; WASTE MINIMISATION</w:t>
            </w:r>
            <w:r>
              <w:rPr>
                <w:noProof/>
              </w:rPr>
              <w:tab/>
            </w:r>
            <w:r w:rsidR="00B9555F">
              <w:rPr>
                <w:noProof/>
              </w:rPr>
              <w:fldChar w:fldCharType="begin"/>
            </w:r>
            <w:r>
              <w:rPr>
                <w:noProof/>
              </w:rPr>
              <w:instrText xml:space="preserve"> PAGEREF _Toc325020125 \h </w:instrText>
            </w:r>
            <w:r w:rsidR="00B9555F">
              <w:rPr>
                <w:noProof/>
              </w:rPr>
            </w:r>
            <w:r w:rsidR="00B9555F">
              <w:rPr>
                <w:noProof/>
              </w:rPr>
              <w:fldChar w:fldCharType="separate"/>
            </w:r>
            <w:r w:rsidR="00AE7E3B">
              <w:rPr>
                <w:noProof/>
              </w:rPr>
              <w:t>149</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Unrestricted disposal</w:t>
            </w:r>
            <w:r>
              <w:rPr>
                <w:noProof/>
              </w:rPr>
              <w:tab/>
            </w:r>
            <w:r w:rsidR="00B9555F">
              <w:rPr>
                <w:noProof/>
              </w:rPr>
              <w:fldChar w:fldCharType="begin"/>
            </w:r>
            <w:r>
              <w:rPr>
                <w:noProof/>
              </w:rPr>
              <w:instrText xml:space="preserve"> PAGEREF _Toc325020126 \h </w:instrText>
            </w:r>
            <w:r w:rsidR="00B9555F">
              <w:rPr>
                <w:noProof/>
              </w:rPr>
            </w:r>
            <w:r w:rsidR="00B9555F">
              <w:rPr>
                <w:noProof/>
              </w:rPr>
              <w:fldChar w:fldCharType="separate"/>
            </w:r>
            <w:r w:rsidR="00AE7E3B">
              <w:rPr>
                <w:noProof/>
              </w:rPr>
              <w:t>149</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Disposal pricing</w:t>
            </w:r>
            <w:r>
              <w:rPr>
                <w:noProof/>
              </w:rPr>
              <w:tab/>
            </w:r>
            <w:r w:rsidR="00B9555F">
              <w:rPr>
                <w:noProof/>
              </w:rPr>
              <w:fldChar w:fldCharType="begin"/>
            </w:r>
            <w:r>
              <w:rPr>
                <w:noProof/>
              </w:rPr>
              <w:instrText xml:space="preserve"> PAGEREF _Toc325020127 \h </w:instrText>
            </w:r>
            <w:r w:rsidR="00B9555F">
              <w:rPr>
                <w:noProof/>
              </w:rPr>
            </w:r>
            <w:r w:rsidR="00B9555F">
              <w:rPr>
                <w:noProof/>
              </w:rPr>
              <w:fldChar w:fldCharType="separate"/>
            </w:r>
            <w:r w:rsidR="00AE7E3B">
              <w:rPr>
                <w:noProof/>
              </w:rPr>
              <w:t>151</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Market demand and resource pricing</w:t>
            </w:r>
            <w:r>
              <w:rPr>
                <w:noProof/>
              </w:rPr>
              <w:tab/>
            </w:r>
            <w:r w:rsidR="00B9555F">
              <w:rPr>
                <w:noProof/>
              </w:rPr>
              <w:fldChar w:fldCharType="begin"/>
            </w:r>
            <w:r>
              <w:rPr>
                <w:noProof/>
              </w:rPr>
              <w:instrText xml:space="preserve"> PAGEREF _Toc325020128 \h </w:instrText>
            </w:r>
            <w:r w:rsidR="00B9555F">
              <w:rPr>
                <w:noProof/>
              </w:rPr>
            </w:r>
            <w:r w:rsidR="00B9555F">
              <w:rPr>
                <w:noProof/>
              </w:rPr>
              <w:fldChar w:fldCharType="separate"/>
            </w:r>
            <w:r w:rsidR="00AE7E3B">
              <w:rPr>
                <w:noProof/>
              </w:rPr>
              <w:t>153</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Services, technology and infrastructure</w:t>
            </w:r>
            <w:r>
              <w:rPr>
                <w:noProof/>
              </w:rPr>
              <w:tab/>
            </w:r>
            <w:r w:rsidR="00B9555F">
              <w:rPr>
                <w:noProof/>
              </w:rPr>
              <w:fldChar w:fldCharType="begin"/>
            </w:r>
            <w:r>
              <w:rPr>
                <w:noProof/>
              </w:rPr>
              <w:instrText xml:space="preserve"> PAGEREF _Toc325020129 \h </w:instrText>
            </w:r>
            <w:r w:rsidR="00B9555F">
              <w:rPr>
                <w:noProof/>
              </w:rPr>
            </w:r>
            <w:r w:rsidR="00B9555F">
              <w:rPr>
                <w:noProof/>
              </w:rPr>
              <w:fldChar w:fldCharType="separate"/>
            </w:r>
            <w:r w:rsidR="00AE7E3B">
              <w:rPr>
                <w:noProof/>
              </w:rPr>
              <w:t>154</w:t>
            </w:r>
            <w:r w:rsidR="00B9555F">
              <w:rPr>
                <w:noProof/>
              </w:rPr>
              <w:fldChar w:fldCharType="end"/>
            </w:r>
          </w:p>
          <w:p w:rsidR="00BE391E" w:rsidRDefault="00BE391E">
            <w:pPr>
              <w:pStyle w:val="TOC2"/>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Waste minimisation</w:t>
            </w:r>
            <w:r>
              <w:rPr>
                <w:noProof/>
              </w:rPr>
              <w:tab/>
            </w:r>
            <w:r w:rsidR="00B9555F">
              <w:rPr>
                <w:noProof/>
              </w:rPr>
              <w:fldChar w:fldCharType="begin"/>
            </w:r>
            <w:r>
              <w:rPr>
                <w:noProof/>
              </w:rPr>
              <w:instrText xml:space="preserve"> PAGEREF _Toc325020130 \h </w:instrText>
            </w:r>
            <w:r w:rsidR="00B9555F">
              <w:rPr>
                <w:noProof/>
              </w:rPr>
            </w:r>
            <w:r w:rsidR="00B9555F">
              <w:rPr>
                <w:noProof/>
              </w:rPr>
              <w:fldChar w:fldCharType="separate"/>
            </w:r>
            <w:r w:rsidR="00AE7E3B">
              <w:rPr>
                <w:noProof/>
              </w:rPr>
              <w:t>155</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sidRPr="002A3DDD">
              <w:rPr>
                <w:noProof/>
              </w:rPr>
              <w:t>REFERENCES</w:t>
            </w:r>
            <w:r>
              <w:rPr>
                <w:noProof/>
              </w:rPr>
              <w:tab/>
            </w:r>
            <w:r w:rsidR="00B9555F">
              <w:rPr>
                <w:noProof/>
              </w:rPr>
              <w:fldChar w:fldCharType="begin"/>
            </w:r>
            <w:r>
              <w:rPr>
                <w:noProof/>
              </w:rPr>
              <w:instrText xml:space="preserve"> PAGEREF _Toc325020131 \h </w:instrText>
            </w:r>
            <w:r w:rsidR="00B9555F">
              <w:rPr>
                <w:noProof/>
              </w:rPr>
            </w:r>
            <w:r w:rsidR="00B9555F">
              <w:rPr>
                <w:noProof/>
              </w:rPr>
              <w:fldChar w:fldCharType="separate"/>
            </w:r>
            <w:r w:rsidR="00AE7E3B">
              <w:rPr>
                <w:noProof/>
              </w:rPr>
              <w:t>156</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Pr>
                <w:noProof/>
              </w:rPr>
              <w:t xml:space="preserve">APPENDIX 1: </w:t>
            </w:r>
            <w:r w:rsidRPr="002A3DDD">
              <w:rPr>
                <w:noProof/>
              </w:rPr>
              <w:t>WMAA Landfill Inventory (2007)</w:t>
            </w:r>
            <w:r>
              <w:rPr>
                <w:noProof/>
              </w:rPr>
              <w:tab/>
            </w:r>
            <w:r w:rsidR="00B9555F">
              <w:rPr>
                <w:noProof/>
              </w:rPr>
              <w:fldChar w:fldCharType="begin"/>
            </w:r>
            <w:r>
              <w:rPr>
                <w:noProof/>
              </w:rPr>
              <w:instrText xml:space="preserve"> PAGEREF _Toc325020132 \h </w:instrText>
            </w:r>
            <w:r w:rsidR="00B9555F">
              <w:rPr>
                <w:noProof/>
              </w:rPr>
            </w:r>
            <w:r w:rsidR="00B9555F">
              <w:rPr>
                <w:noProof/>
              </w:rPr>
              <w:fldChar w:fldCharType="separate"/>
            </w:r>
            <w:r w:rsidR="00AE7E3B">
              <w:rPr>
                <w:noProof/>
              </w:rPr>
              <w:t>160</w:t>
            </w:r>
            <w:r w:rsidR="00B9555F">
              <w:rPr>
                <w:noProof/>
              </w:rPr>
              <w:fldChar w:fldCharType="end"/>
            </w:r>
          </w:p>
          <w:p w:rsidR="00BE391E" w:rsidRDefault="00BE391E">
            <w:pPr>
              <w:pStyle w:val="TOC1"/>
              <w:rPr>
                <w:rFonts w:asciiTheme="minorHAnsi" w:eastAsiaTheme="minorEastAsia" w:hAnsiTheme="minorHAnsi" w:cstheme="minorBidi"/>
                <w:noProof/>
                <w:color w:val="auto"/>
                <w:sz w:val="22"/>
                <w:szCs w:val="22"/>
                <w:lang w:eastAsia="en-AU"/>
              </w:rPr>
            </w:pPr>
            <w:r>
              <w:rPr>
                <w:noProof/>
              </w:rPr>
              <w:t>APPENDIX 2: The Method Report</w:t>
            </w:r>
            <w:r>
              <w:rPr>
                <w:noProof/>
              </w:rPr>
              <w:tab/>
            </w:r>
            <w:r w:rsidR="00B9555F">
              <w:rPr>
                <w:noProof/>
              </w:rPr>
              <w:fldChar w:fldCharType="begin"/>
            </w:r>
            <w:r>
              <w:rPr>
                <w:noProof/>
              </w:rPr>
              <w:instrText xml:space="preserve"> PAGEREF _Toc325020133 \h </w:instrText>
            </w:r>
            <w:r w:rsidR="00B9555F">
              <w:rPr>
                <w:noProof/>
              </w:rPr>
            </w:r>
            <w:r w:rsidR="00B9555F">
              <w:rPr>
                <w:noProof/>
              </w:rPr>
              <w:fldChar w:fldCharType="separate"/>
            </w:r>
            <w:r w:rsidR="00AE7E3B">
              <w:rPr>
                <w:noProof/>
              </w:rPr>
              <w:t>163</w:t>
            </w:r>
            <w:r w:rsidR="00B9555F">
              <w:rPr>
                <w:noProof/>
              </w:rPr>
              <w:fldChar w:fldCharType="end"/>
            </w:r>
          </w:p>
          <w:p w:rsidR="009B7FB4" w:rsidRPr="00C36C8F" w:rsidRDefault="00B9555F" w:rsidP="008503D1">
            <w:pPr>
              <w:pStyle w:val="ParaMargin"/>
            </w:pPr>
            <w:r w:rsidRPr="00C36C8F">
              <w:fldChar w:fldCharType="end"/>
            </w:r>
          </w:p>
        </w:tc>
      </w:tr>
    </w:tbl>
    <w:p w:rsidR="005F6B37" w:rsidRPr="00C36C8F" w:rsidRDefault="005F6B37" w:rsidP="00737A4B">
      <w:pPr>
        <w:pStyle w:val="ParaMargin"/>
        <w:sectPr w:rsidR="005F6B37" w:rsidRPr="00C36C8F" w:rsidSect="00860B52">
          <w:footerReference w:type="default" r:id="rId16"/>
          <w:type w:val="oddPage"/>
          <w:pgSz w:w="11907" w:h="16840" w:code="9"/>
          <w:pgMar w:top="1134" w:right="1134" w:bottom="1134" w:left="1134" w:header="567" w:footer="567" w:gutter="0"/>
          <w:pgNumType w:fmt="lowerRoman" w:start="1"/>
          <w:cols w:space="708"/>
          <w:docGrid w:linePitch="360"/>
        </w:sectPr>
      </w:pPr>
    </w:p>
    <w:p w:rsidR="005F6B37" w:rsidRPr="00C36C8F" w:rsidRDefault="005F6B37" w:rsidP="00737A4B">
      <w:pPr>
        <w:pStyle w:val="ParaMargin"/>
        <w:sectPr w:rsidR="005F6B37" w:rsidRPr="00C36C8F" w:rsidSect="00860B52">
          <w:type w:val="continuous"/>
          <w:pgSz w:w="11907" w:h="16840" w:code="9"/>
          <w:pgMar w:top="1134" w:right="1134" w:bottom="1134" w:left="1134" w:header="567" w:footer="567" w:gutter="0"/>
          <w:pgNumType w:fmt="lowerRoman" w:start="1"/>
          <w:cols w:space="708"/>
          <w:docGrid w:linePitch="360"/>
        </w:sectPr>
      </w:pPr>
    </w:p>
    <w:p w:rsidR="002B1738" w:rsidRPr="00C36C8F" w:rsidRDefault="002B1738" w:rsidP="00737A4B">
      <w:pPr>
        <w:pStyle w:val="ParaMargin"/>
      </w:pPr>
      <w:bookmarkStart w:id="7" w:name="TOC2"/>
      <w:bookmarkEnd w:id="7"/>
    </w:p>
    <w:p w:rsidR="002B1738" w:rsidRPr="00C36C8F" w:rsidRDefault="002B1738" w:rsidP="00737A4B">
      <w:pPr>
        <w:pStyle w:val="ParaMargin"/>
        <w:sectPr w:rsidR="002B1738" w:rsidRPr="00C36C8F" w:rsidSect="00860B52">
          <w:type w:val="continuous"/>
          <w:pgSz w:w="11907" w:h="16840" w:code="9"/>
          <w:pgMar w:top="1134" w:right="1134" w:bottom="1134" w:left="1134" w:header="567" w:footer="567" w:gutter="0"/>
          <w:pgNumType w:fmt="lowerRoman" w:start="1"/>
          <w:cols w:space="708"/>
          <w:docGrid w:linePitch="360"/>
        </w:sectPr>
      </w:pPr>
    </w:p>
    <w:p w:rsidR="001968DC" w:rsidRPr="00C36C8F" w:rsidRDefault="001968DC" w:rsidP="001968DC">
      <w:pPr>
        <w:pStyle w:val="Heading1"/>
        <w:numPr>
          <w:ilvl w:val="0"/>
          <w:numId w:val="0"/>
        </w:numPr>
        <w:ind w:left="1134"/>
      </w:pPr>
      <w:bookmarkStart w:id="8" w:name="_Toc207189850"/>
      <w:bookmarkStart w:id="9" w:name="_Toc207190039"/>
      <w:bookmarkStart w:id="10" w:name="_Toc284506819"/>
      <w:bookmarkStart w:id="11" w:name="_Toc325020094"/>
      <w:bookmarkStart w:id="12" w:name="_Toc305049742"/>
      <w:r w:rsidRPr="00C36C8F">
        <w:rPr>
          <w:caps w:val="0"/>
        </w:rPr>
        <w:t xml:space="preserve">EXECUTIVE </w:t>
      </w:r>
      <w:r w:rsidRPr="00C36C8F">
        <w:t>SUMMARY</w:t>
      </w:r>
      <w:bookmarkEnd w:id="8"/>
      <w:bookmarkEnd w:id="9"/>
      <w:bookmarkEnd w:id="10"/>
      <w:bookmarkEnd w:id="11"/>
      <w:bookmarkEnd w:id="12"/>
    </w:p>
    <w:p w:rsidR="00240F4F" w:rsidRPr="00C36C8F" w:rsidRDefault="00BA74FA" w:rsidP="000413DC">
      <w:pPr>
        <w:pStyle w:val="ParaIndent"/>
        <w:jc w:val="both"/>
      </w:pPr>
      <w:bookmarkStart w:id="13" w:name="Body"/>
      <w:bookmarkEnd w:id="13"/>
      <w:r w:rsidRPr="00C36C8F">
        <w:t xml:space="preserve">The </w:t>
      </w:r>
      <w:r w:rsidR="002B6B01" w:rsidRPr="00C36C8F">
        <w:t xml:space="preserve">primary </w:t>
      </w:r>
      <w:r w:rsidRPr="00C36C8F">
        <w:t xml:space="preserve">purpose of this report is to </w:t>
      </w:r>
      <w:r w:rsidR="00F4083C" w:rsidRPr="00C36C8F">
        <w:t>compile</w:t>
      </w:r>
      <w:r w:rsidR="00422B9A" w:rsidRPr="00C36C8F">
        <w:t xml:space="preserve"> </w:t>
      </w:r>
      <w:r w:rsidR="00FC3D06" w:rsidRPr="00C36C8F">
        <w:t xml:space="preserve">solid </w:t>
      </w:r>
      <w:r w:rsidR="00422B9A" w:rsidRPr="00C36C8F">
        <w:t>waste and recycling data published by the state</w:t>
      </w:r>
      <w:r w:rsidR="002F3CB9">
        <w:t>s,</w:t>
      </w:r>
      <w:r w:rsidR="00422B9A" w:rsidRPr="00C36C8F">
        <w:t xml:space="preserve"> territories</w:t>
      </w:r>
      <w:r w:rsidR="002F3CB9">
        <w:t xml:space="preserve"> and industry</w:t>
      </w:r>
      <w:r w:rsidR="00422B9A" w:rsidRPr="00C36C8F">
        <w:t xml:space="preserve">. </w:t>
      </w:r>
      <w:r w:rsidR="002B6B01" w:rsidRPr="00C36C8F">
        <w:t>This is the</w:t>
      </w:r>
      <w:r w:rsidRPr="00C36C8F">
        <w:t xml:space="preserve"> fourth </w:t>
      </w:r>
      <w:r w:rsidR="001C60B8" w:rsidRPr="00C36C8F">
        <w:rPr>
          <w:i/>
        </w:rPr>
        <w:t>Waste and Recycling in Australia</w:t>
      </w:r>
      <w:r w:rsidRPr="00C36C8F">
        <w:t xml:space="preserve"> report</w:t>
      </w:r>
      <w:r w:rsidR="002B6B01" w:rsidRPr="00C36C8F">
        <w:t>, and now provides data covering the 2008–09 financial year. T</w:t>
      </w:r>
      <w:r w:rsidR="00240F4F" w:rsidRPr="00C36C8F">
        <w:t xml:space="preserve">he report again endeavours to provide the most up-to-date and comprehensive picture of </w:t>
      </w:r>
      <w:r w:rsidR="00FC3D06" w:rsidRPr="00C36C8F">
        <w:t xml:space="preserve">solid </w:t>
      </w:r>
      <w:r w:rsidR="00240F4F" w:rsidRPr="00C36C8F">
        <w:t>waste and recycling activity in Australia.</w:t>
      </w:r>
      <w:r w:rsidR="00422B9A" w:rsidRPr="00C36C8F">
        <w:t xml:space="preserve"> </w:t>
      </w:r>
    </w:p>
    <w:p w:rsidR="001232C7" w:rsidRPr="00C36C8F" w:rsidRDefault="00240F4F" w:rsidP="000413DC">
      <w:pPr>
        <w:pStyle w:val="ParaIndent"/>
        <w:jc w:val="both"/>
      </w:pPr>
      <w:r w:rsidRPr="00C36C8F">
        <w:t xml:space="preserve">Previous </w:t>
      </w:r>
      <w:r w:rsidRPr="00C36C8F">
        <w:rPr>
          <w:i/>
        </w:rPr>
        <w:t>Waste and Recycling in Australia</w:t>
      </w:r>
      <w:r w:rsidRPr="00C36C8F">
        <w:t xml:space="preserve"> reports have noted </w:t>
      </w:r>
      <w:r w:rsidR="00F4083C" w:rsidRPr="00C36C8F">
        <w:t xml:space="preserve">differences </w:t>
      </w:r>
      <w:r w:rsidR="009329C0" w:rsidRPr="00C36C8F">
        <w:t>in</w:t>
      </w:r>
      <w:r w:rsidRPr="00C36C8F">
        <w:t xml:space="preserve"> the datasets </w:t>
      </w:r>
      <w:r w:rsidR="00367A65" w:rsidRPr="00C36C8F">
        <w:t>published</w:t>
      </w:r>
      <w:r w:rsidRPr="00C36C8F">
        <w:t xml:space="preserve"> by </w:t>
      </w:r>
      <w:r w:rsidR="00FC3D06" w:rsidRPr="00C36C8F">
        <w:t xml:space="preserve">the </w:t>
      </w:r>
      <w:r w:rsidRPr="00C36C8F">
        <w:t>states and territories</w:t>
      </w:r>
      <w:r w:rsidR="00F33D7B" w:rsidRPr="00C36C8F">
        <w:t xml:space="preserve"> </w:t>
      </w:r>
      <w:r w:rsidR="00367A65" w:rsidRPr="00C36C8F">
        <w:t xml:space="preserve">which resulted in some incidence of ‘apples </w:t>
      </w:r>
      <w:r w:rsidR="00FC3D06" w:rsidRPr="00C36C8F">
        <w:t>to</w:t>
      </w:r>
      <w:r w:rsidR="00367A65" w:rsidRPr="00C36C8F">
        <w:t xml:space="preserve"> oranges’ data comparisons across different jurisdictions (see Section </w:t>
      </w:r>
      <w:fldSimple w:instr=" REF _Ref295214668 \r \h  \* MERGEFORMAT ">
        <w:r w:rsidR="00AE7E3B">
          <w:t>1</w:t>
        </w:r>
      </w:fldSimple>
      <w:r w:rsidR="00367A65" w:rsidRPr="00C36C8F">
        <w:t xml:space="preserve"> for further detail</w:t>
      </w:r>
      <w:r w:rsidR="00A65B49" w:rsidRPr="00C36C8F">
        <w:t xml:space="preserve">). </w:t>
      </w:r>
      <w:r w:rsidRPr="00C36C8F">
        <w:t xml:space="preserve">In response to this, Hyder Consulting </w:t>
      </w:r>
      <w:r w:rsidR="00065C48" w:rsidRPr="00C36C8F">
        <w:t>was</w:t>
      </w:r>
      <w:r w:rsidRPr="00C36C8F">
        <w:t xml:space="preserve"> commissioned by the Department of Sustainability, Environment, Water, Population and Communities (the Department) to produce a report</w:t>
      </w:r>
      <w:r w:rsidR="000B5CE5" w:rsidRPr="00C36C8F">
        <w:t xml:space="preserve"> in 2010</w:t>
      </w:r>
      <w:r w:rsidRPr="00C36C8F">
        <w:t xml:space="preserve"> titled </w:t>
      </w:r>
      <w:r w:rsidRPr="00C36C8F">
        <w:rPr>
          <w:i/>
        </w:rPr>
        <w:t>National waste and recycling reporting – A more uniform approach to data</w:t>
      </w:r>
      <w:r w:rsidRPr="00C36C8F">
        <w:t xml:space="preserve"> (the method report) which contained recommendations for a more consistent </w:t>
      </w:r>
      <w:r w:rsidR="00367A65" w:rsidRPr="00C36C8F">
        <w:t xml:space="preserve">compilation </w:t>
      </w:r>
      <w:r w:rsidRPr="00C36C8F">
        <w:t>of state and territory datasets.</w:t>
      </w:r>
      <w:r w:rsidR="001232C7" w:rsidRPr="00C36C8F">
        <w:t xml:space="preserve"> This method report is attached as Appendix 2.</w:t>
      </w:r>
    </w:p>
    <w:p w:rsidR="004073A7" w:rsidRPr="00C36C8F" w:rsidRDefault="00240F4F" w:rsidP="000413DC">
      <w:pPr>
        <w:pStyle w:val="ParaIndent"/>
        <w:jc w:val="both"/>
      </w:pPr>
      <w:r w:rsidRPr="00C36C8F">
        <w:t>The central components of the method report are reproduced in this report</w:t>
      </w:r>
      <w:r w:rsidR="005B737D" w:rsidRPr="00C36C8F">
        <w:t xml:space="preserve">, </w:t>
      </w:r>
      <w:r w:rsidR="00A65B49" w:rsidRPr="00C36C8F">
        <w:t>namely</w:t>
      </w:r>
      <w:r w:rsidR="005B737D" w:rsidRPr="00C36C8F">
        <w:t xml:space="preserve"> </w:t>
      </w:r>
      <w:r w:rsidR="00F33D7B" w:rsidRPr="00C36C8F">
        <w:t xml:space="preserve">the definitions of </w:t>
      </w:r>
      <w:r w:rsidR="00367A65" w:rsidRPr="00C36C8F">
        <w:t>key</w:t>
      </w:r>
      <w:r w:rsidR="00F33D7B" w:rsidRPr="00C36C8F">
        <w:t xml:space="preserve"> terms (S</w:t>
      </w:r>
      <w:r w:rsidR="005B737D" w:rsidRPr="00C36C8F">
        <w:t xml:space="preserve">ection </w:t>
      </w:r>
      <w:fldSimple w:instr=" REF _Ref295303754 \r \h  \* MERGEFORMAT ">
        <w:r w:rsidR="00AE7E3B">
          <w:t>2</w:t>
        </w:r>
      </w:fldSimple>
      <w:r w:rsidR="005B737D" w:rsidRPr="00C36C8F">
        <w:t xml:space="preserve">) and the </w:t>
      </w:r>
      <w:r w:rsidR="00F33D7B" w:rsidRPr="00C36C8F">
        <w:t>recommendations (S</w:t>
      </w:r>
      <w:r w:rsidR="005B737D" w:rsidRPr="00C36C8F">
        <w:t xml:space="preserve">ection </w:t>
      </w:r>
      <w:fldSimple w:instr=" REF _Ref295210521 \r \h  \* MERGEFORMAT ">
        <w:r w:rsidR="00AE7E3B">
          <w:t>3</w:t>
        </w:r>
      </w:fldSimple>
      <w:r w:rsidR="005B737D" w:rsidRPr="00C36C8F">
        <w:t>)</w:t>
      </w:r>
      <w:r w:rsidR="00367A65" w:rsidRPr="00C36C8F">
        <w:t>. In addition</w:t>
      </w:r>
      <w:r w:rsidR="00FC3D06" w:rsidRPr="00C36C8F">
        <w:t>,</w:t>
      </w:r>
      <w:r w:rsidR="00367A65" w:rsidRPr="00C36C8F">
        <w:t xml:space="preserve"> this report includes a</w:t>
      </w:r>
      <w:r w:rsidR="005B737D" w:rsidRPr="00C36C8F">
        <w:t xml:space="preserve"> discussion regarding the testing of the method</w:t>
      </w:r>
      <w:r w:rsidR="00367A65" w:rsidRPr="00C36C8F">
        <w:t xml:space="preserve"> report</w:t>
      </w:r>
      <w:r w:rsidR="005B737D" w:rsidRPr="00C36C8F">
        <w:t xml:space="preserve"> and </w:t>
      </w:r>
      <w:r w:rsidR="00065C48" w:rsidRPr="00C36C8F">
        <w:t>any refinements made as a result of the testing.</w:t>
      </w:r>
      <w:r w:rsidR="001232C7" w:rsidRPr="00C36C8F">
        <w:t xml:space="preserve"> </w:t>
      </w:r>
    </w:p>
    <w:p w:rsidR="00A82390" w:rsidRPr="00C36C8F" w:rsidRDefault="00A82390" w:rsidP="000413DC">
      <w:pPr>
        <w:pStyle w:val="ParaIndent"/>
        <w:jc w:val="both"/>
      </w:pPr>
      <w:r w:rsidRPr="00C36C8F">
        <w:t>The focus of</w:t>
      </w:r>
      <w:r w:rsidR="0054101D" w:rsidRPr="00C36C8F">
        <w:t xml:space="preserve"> the method</w:t>
      </w:r>
      <w:r w:rsidR="00367A65" w:rsidRPr="00C36C8F">
        <w:t xml:space="preserve"> report</w:t>
      </w:r>
      <w:r w:rsidR="00023821">
        <w:t>,</w:t>
      </w:r>
      <w:r w:rsidR="0054101D" w:rsidRPr="00C36C8F">
        <w:t xml:space="preserve"> and</w:t>
      </w:r>
      <w:r w:rsidRPr="00C36C8F">
        <w:t xml:space="preserve"> this report</w:t>
      </w:r>
      <w:r w:rsidR="00023821">
        <w:t>,</w:t>
      </w:r>
      <w:r w:rsidRPr="00C36C8F">
        <w:t xml:space="preserve"> is the presentation of data on </w:t>
      </w:r>
      <w:r w:rsidR="00367A65" w:rsidRPr="00C36C8F">
        <w:t xml:space="preserve">the recycling of solid waste, </w:t>
      </w:r>
      <w:r w:rsidRPr="00C36C8F">
        <w:t>energy recovery from solid waste</w:t>
      </w:r>
      <w:r w:rsidR="00367A65" w:rsidRPr="00C36C8F">
        <w:t xml:space="preserve">, and the disposal of solid waste to landfill </w:t>
      </w:r>
      <w:r w:rsidR="00F33D7B" w:rsidRPr="00C36C8F">
        <w:t>(S</w:t>
      </w:r>
      <w:r w:rsidR="005B737D" w:rsidRPr="00C36C8F">
        <w:t>ection</w:t>
      </w:r>
      <w:r w:rsidR="00CD2D28">
        <w:rPr>
          <w:rFonts w:cs="Arial"/>
        </w:rPr>
        <w:t> </w:t>
      </w:r>
      <w:fldSimple w:instr=" REF _Ref295214600 \r \h  \* MERGEFORMAT ">
        <w:r w:rsidR="00AE7E3B">
          <w:t>4</w:t>
        </w:r>
      </w:fldSimple>
      <w:r w:rsidR="005B737D" w:rsidRPr="00C36C8F">
        <w:t>)</w:t>
      </w:r>
      <w:r w:rsidRPr="00C36C8F">
        <w:t>. This report also endeavours to present</w:t>
      </w:r>
      <w:r w:rsidR="0054101D" w:rsidRPr="00C36C8F">
        <w:t xml:space="preserve"> data, to the extent that is possible, </w:t>
      </w:r>
      <w:r w:rsidRPr="00C36C8F">
        <w:t>by material</w:t>
      </w:r>
      <w:r w:rsidR="000D6A1A" w:rsidRPr="00C36C8F">
        <w:t xml:space="preserve"> categories and material type (R</w:t>
      </w:r>
      <w:r w:rsidRPr="00C36C8F">
        <w:t>ecommendation 18)</w:t>
      </w:r>
      <w:r w:rsidR="0054101D" w:rsidRPr="00C36C8F">
        <w:t>, and</w:t>
      </w:r>
      <w:r w:rsidR="00F33D7B" w:rsidRPr="00C36C8F">
        <w:t xml:space="preserve"> in terms of the</w:t>
      </w:r>
      <w:r w:rsidRPr="00C36C8F">
        <w:t xml:space="preserve"> three major solid waste streams (</w:t>
      </w:r>
      <w:r w:rsidR="00E117C2" w:rsidRPr="00C36C8F">
        <w:t>Recommendation 7</w:t>
      </w:r>
      <w:r w:rsidRPr="00C36C8F">
        <w:t xml:space="preserve">), </w:t>
      </w:r>
      <w:r w:rsidR="00F33D7B" w:rsidRPr="00C36C8F">
        <w:t>which are</w:t>
      </w:r>
      <w:r w:rsidRPr="00C36C8F">
        <w:t>:</w:t>
      </w:r>
    </w:p>
    <w:p w:rsidR="00A82390" w:rsidRPr="00C36C8F" w:rsidRDefault="00447BAC" w:rsidP="000413DC">
      <w:pPr>
        <w:pStyle w:val="BulletPoints"/>
        <w:tabs>
          <w:tab w:val="clear" w:pos="567"/>
          <w:tab w:val="left" w:pos="1134"/>
          <w:tab w:val="num" w:pos="1701"/>
          <w:tab w:val="left" w:pos="2268"/>
        </w:tabs>
        <w:spacing w:after="180"/>
        <w:ind w:left="1701"/>
        <w:jc w:val="both"/>
      </w:pPr>
      <w:r w:rsidRPr="00C36C8F">
        <w:t>M</w:t>
      </w:r>
      <w:r w:rsidR="00A82390" w:rsidRPr="00C36C8F">
        <w:t>unicipal solid waste (municipal or MSW)</w:t>
      </w:r>
    </w:p>
    <w:p w:rsidR="00A82390" w:rsidRPr="00C36C8F" w:rsidRDefault="00447BAC" w:rsidP="000413DC">
      <w:pPr>
        <w:pStyle w:val="BulletPoints"/>
        <w:tabs>
          <w:tab w:val="clear" w:pos="567"/>
          <w:tab w:val="left" w:pos="1134"/>
          <w:tab w:val="num" w:pos="1701"/>
          <w:tab w:val="left" w:pos="2268"/>
        </w:tabs>
        <w:spacing w:after="180"/>
        <w:ind w:left="1701"/>
        <w:jc w:val="both"/>
      </w:pPr>
      <w:r w:rsidRPr="00C36C8F">
        <w:t>C</w:t>
      </w:r>
      <w:r w:rsidR="00F33D7B" w:rsidRPr="00C36C8F">
        <w:t>ommercial and industrial (C&amp;I)</w:t>
      </w:r>
    </w:p>
    <w:p w:rsidR="00A82390" w:rsidRPr="00C36C8F" w:rsidRDefault="00447BAC" w:rsidP="000413DC">
      <w:pPr>
        <w:pStyle w:val="BulletPoints"/>
        <w:tabs>
          <w:tab w:val="clear" w:pos="567"/>
          <w:tab w:val="left" w:pos="1134"/>
          <w:tab w:val="num" w:pos="1701"/>
          <w:tab w:val="left" w:pos="2268"/>
        </w:tabs>
        <w:spacing w:after="180"/>
        <w:ind w:left="1701"/>
        <w:jc w:val="both"/>
      </w:pPr>
      <w:r w:rsidRPr="00C36C8F">
        <w:t>C</w:t>
      </w:r>
      <w:r w:rsidR="00A82390" w:rsidRPr="00C36C8F">
        <w:t>onstruction and demolition (C&amp;D)</w:t>
      </w:r>
      <w:r w:rsidR="00F33D7B" w:rsidRPr="00C36C8F">
        <w:t>.</w:t>
      </w:r>
    </w:p>
    <w:p w:rsidR="0054101D" w:rsidRPr="00C36C8F" w:rsidRDefault="0054101D" w:rsidP="000413DC">
      <w:pPr>
        <w:pStyle w:val="ParaIndent"/>
        <w:jc w:val="both"/>
      </w:pPr>
      <w:r w:rsidRPr="00C36C8F">
        <w:t xml:space="preserve">Previous </w:t>
      </w:r>
      <w:r w:rsidR="005338E9" w:rsidRPr="00C36C8F">
        <w:rPr>
          <w:i/>
        </w:rPr>
        <w:t xml:space="preserve">Waste and Recycling in Australia </w:t>
      </w:r>
      <w:r w:rsidR="00F33D7B" w:rsidRPr="00C36C8F">
        <w:t>r</w:t>
      </w:r>
      <w:r w:rsidRPr="00C36C8F">
        <w:t xml:space="preserve">eports sourced data from publicly available </w:t>
      </w:r>
      <w:r w:rsidR="001D797D" w:rsidRPr="00C36C8F">
        <w:t>reports,</w:t>
      </w:r>
      <w:r w:rsidRPr="00C36C8F">
        <w:t xml:space="preserve"> or directly from state and territory departments or agencies that were able to provide unpublished data that was more up-to-date. Data for this report was gathered in the same manner and f</w:t>
      </w:r>
      <w:r w:rsidR="001D797D" w:rsidRPr="00C36C8F">
        <w:t>rom the same principal sources.</w:t>
      </w:r>
      <w:r w:rsidR="00F8669C" w:rsidRPr="00C36C8F">
        <w:t xml:space="preserve"> </w:t>
      </w:r>
      <w:r w:rsidR="00D93F23" w:rsidRPr="00C36C8F">
        <w:t xml:space="preserve">Section </w:t>
      </w:r>
      <w:r w:rsidR="00B9555F" w:rsidRPr="00C36C8F">
        <w:fldChar w:fldCharType="begin"/>
      </w:r>
      <w:r w:rsidR="00D74B56" w:rsidRPr="00C36C8F">
        <w:instrText xml:space="preserve"> REF _Ref295214600 \r \h </w:instrText>
      </w:r>
      <w:r w:rsidR="00B9555F" w:rsidRPr="00C36C8F">
        <w:fldChar w:fldCharType="separate"/>
      </w:r>
      <w:r w:rsidR="00AE7E3B">
        <w:t>4</w:t>
      </w:r>
      <w:r w:rsidR="00B9555F" w:rsidRPr="00C36C8F">
        <w:fldChar w:fldCharType="end"/>
      </w:r>
      <w:r w:rsidR="00F8669C" w:rsidRPr="00C36C8F">
        <w:t xml:space="preserve"> includes summary table</w:t>
      </w:r>
      <w:r w:rsidR="00D93F23" w:rsidRPr="00C36C8F">
        <w:t>s</w:t>
      </w:r>
      <w:r w:rsidR="00F8669C" w:rsidRPr="00C36C8F">
        <w:t xml:space="preserve"> of the sources used to compile data for each of the jurisdictions and also notes any assumptions that have been </w:t>
      </w:r>
      <w:r w:rsidR="00023E17" w:rsidRPr="00C36C8F">
        <w:t>made</w:t>
      </w:r>
      <w:r w:rsidR="00F8669C" w:rsidRPr="00C36C8F">
        <w:t xml:space="preserve"> in the application of the method report.</w:t>
      </w:r>
    </w:p>
    <w:p w:rsidR="00184030" w:rsidRPr="00C36C8F" w:rsidRDefault="00023E17" w:rsidP="000413DC">
      <w:pPr>
        <w:pStyle w:val="ParaIndent"/>
        <w:jc w:val="both"/>
      </w:pPr>
      <w:r w:rsidRPr="00C36C8F">
        <w:t>A</w:t>
      </w:r>
      <w:r w:rsidR="0054101D" w:rsidRPr="00C36C8F">
        <w:t xml:space="preserve"> key </w:t>
      </w:r>
      <w:r w:rsidR="00F8669C" w:rsidRPr="00C36C8F">
        <w:t>difference i</w:t>
      </w:r>
      <w:r w:rsidR="0054101D" w:rsidRPr="00C36C8F">
        <w:t xml:space="preserve">n this version of </w:t>
      </w:r>
      <w:r w:rsidR="005338E9" w:rsidRPr="00C36C8F">
        <w:rPr>
          <w:i/>
        </w:rPr>
        <w:t>Waste and Recycling in Australia</w:t>
      </w:r>
      <w:r w:rsidR="00F8669C" w:rsidRPr="00C36C8F">
        <w:t>, from previous versions,</w:t>
      </w:r>
      <w:r w:rsidR="0054101D" w:rsidRPr="00C36C8F">
        <w:t xml:space="preserve"> is that datasets from states and territories have been </w:t>
      </w:r>
      <w:r w:rsidR="00F8669C" w:rsidRPr="00C36C8F">
        <w:t xml:space="preserve">grouped into the </w:t>
      </w:r>
      <w:r w:rsidR="0054101D" w:rsidRPr="00C36C8F">
        <w:t xml:space="preserve">waste </w:t>
      </w:r>
      <w:r w:rsidR="00184030" w:rsidRPr="00C36C8F">
        <w:t xml:space="preserve">material </w:t>
      </w:r>
      <w:r w:rsidR="0054101D" w:rsidRPr="00C36C8F">
        <w:t>categories</w:t>
      </w:r>
      <w:r w:rsidR="00184030" w:rsidRPr="00C36C8F">
        <w:t xml:space="preserve"> (for example metals) </w:t>
      </w:r>
      <w:r w:rsidR="0054101D" w:rsidRPr="00C36C8F">
        <w:t xml:space="preserve">and types </w:t>
      </w:r>
      <w:r w:rsidR="00184030" w:rsidRPr="00C36C8F">
        <w:t xml:space="preserve">(for example aluminium) </w:t>
      </w:r>
      <w:r w:rsidR="0054101D" w:rsidRPr="00C36C8F">
        <w:t xml:space="preserve">outlined in the method report. This includes a number of waste </w:t>
      </w:r>
      <w:r w:rsidR="00184030" w:rsidRPr="00C36C8F">
        <w:t xml:space="preserve">material </w:t>
      </w:r>
      <w:r w:rsidR="0054101D" w:rsidRPr="00C36C8F">
        <w:t xml:space="preserve">categories and </w:t>
      </w:r>
      <w:r w:rsidR="001D797D" w:rsidRPr="00C36C8F">
        <w:t>types that were not reported</w:t>
      </w:r>
      <w:r w:rsidR="0054101D" w:rsidRPr="00C36C8F">
        <w:t xml:space="preserve"> previous</w:t>
      </w:r>
      <w:r w:rsidR="00FC3D06" w:rsidRPr="00C36C8F">
        <w:t>ly.</w:t>
      </w:r>
      <w:r w:rsidR="00F8669C" w:rsidRPr="00C36C8F">
        <w:t xml:space="preserve"> </w:t>
      </w:r>
    </w:p>
    <w:p w:rsidR="00184030" w:rsidRPr="00C36C8F" w:rsidRDefault="00184030" w:rsidP="000413DC">
      <w:pPr>
        <w:pStyle w:val="ParaIndent"/>
        <w:jc w:val="both"/>
      </w:pPr>
      <w:r w:rsidRPr="00C36C8F">
        <w:t>This report also contains an overview of:</w:t>
      </w:r>
    </w:p>
    <w:p w:rsidR="00184030" w:rsidRPr="00C36C8F" w:rsidRDefault="00184030" w:rsidP="000413DC">
      <w:pPr>
        <w:pStyle w:val="BulletPoints"/>
        <w:tabs>
          <w:tab w:val="clear" w:pos="567"/>
          <w:tab w:val="left" w:pos="1134"/>
          <w:tab w:val="num" w:pos="1701"/>
          <w:tab w:val="left" w:pos="2268"/>
        </w:tabs>
        <w:spacing w:after="180"/>
        <w:ind w:left="1701"/>
        <w:jc w:val="both"/>
      </w:pPr>
      <w:r w:rsidRPr="00C36C8F">
        <w:t xml:space="preserve">Environmental impacts of waste management in Australia (Section </w:t>
      </w:r>
      <w:fldSimple w:instr=" REF _Ref295214620 \r \h  \* MERGEFORMAT ">
        <w:r w:rsidR="00AE7E3B">
          <w:t>5</w:t>
        </w:r>
      </w:fldSimple>
      <w:r w:rsidRPr="00C36C8F">
        <w:t>)</w:t>
      </w:r>
    </w:p>
    <w:p w:rsidR="00184030" w:rsidRPr="00C36C8F" w:rsidRDefault="00184030" w:rsidP="000413DC">
      <w:pPr>
        <w:pStyle w:val="BulletPoints"/>
        <w:tabs>
          <w:tab w:val="clear" w:pos="567"/>
          <w:tab w:val="left" w:pos="1134"/>
          <w:tab w:val="num" w:pos="1701"/>
          <w:tab w:val="left" w:pos="2268"/>
        </w:tabs>
        <w:spacing w:after="180"/>
        <w:ind w:left="1701"/>
        <w:jc w:val="both"/>
      </w:pPr>
      <w:r w:rsidRPr="00C36C8F">
        <w:t xml:space="preserve">Solid waste management strategies and policies (Section </w:t>
      </w:r>
      <w:fldSimple w:instr=" REF _Ref284327737 \r \h  \* MERGEFORMAT ">
        <w:r w:rsidR="00AE7E3B">
          <w:t>6</w:t>
        </w:r>
      </w:fldSimple>
      <w:r w:rsidRPr="00C36C8F">
        <w:t>)</w:t>
      </w:r>
    </w:p>
    <w:p w:rsidR="00184030" w:rsidRPr="00C36C8F" w:rsidRDefault="00184030" w:rsidP="000413DC">
      <w:pPr>
        <w:pStyle w:val="BulletPoints"/>
        <w:tabs>
          <w:tab w:val="clear" w:pos="567"/>
          <w:tab w:val="left" w:pos="1134"/>
          <w:tab w:val="num" w:pos="1701"/>
          <w:tab w:val="left" w:pos="2268"/>
        </w:tabs>
        <w:spacing w:after="180"/>
        <w:ind w:left="1701"/>
        <w:jc w:val="both"/>
      </w:pPr>
      <w:r w:rsidRPr="00C36C8F">
        <w:t xml:space="preserve">Barriers to resource recovery of solid waste (Section </w:t>
      </w:r>
      <w:fldSimple w:instr=" REF _Ref295214643 \r \h  \* MERGEFORMAT ">
        <w:r w:rsidR="00AE7E3B">
          <w:t>7</w:t>
        </w:r>
      </w:fldSimple>
      <w:r w:rsidRPr="00C36C8F">
        <w:t>).</w:t>
      </w:r>
    </w:p>
    <w:p w:rsidR="00FC3D06" w:rsidRPr="00C36C8F" w:rsidRDefault="00FC3D06">
      <w:pPr>
        <w:spacing w:after="0" w:line="240" w:lineRule="auto"/>
        <w:ind w:left="0"/>
      </w:pPr>
      <w:r w:rsidRPr="00C36C8F">
        <w:br w:type="page"/>
      </w:r>
    </w:p>
    <w:tbl>
      <w:tblPr>
        <w:tblStyle w:val="TableGrid"/>
        <w:tblW w:w="0" w:type="auto"/>
        <w:tblInd w:w="1134" w:type="dxa"/>
        <w:shd w:val="clear" w:color="auto" w:fill="C6D9F1" w:themeFill="text2" w:themeFillTint="33"/>
        <w:tblLook w:val="04A0"/>
      </w:tblPr>
      <w:tblGrid>
        <w:gridCol w:w="8721"/>
      </w:tblGrid>
      <w:tr w:rsidR="00B30560" w:rsidRPr="00C36C8F" w:rsidTr="00B30560">
        <w:tc>
          <w:tcPr>
            <w:tcW w:w="9855" w:type="dxa"/>
            <w:shd w:val="clear" w:color="auto" w:fill="C6D9F1" w:themeFill="text2" w:themeFillTint="33"/>
          </w:tcPr>
          <w:p w:rsidR="00B30560" w:rsidRPr="00C36C8F" w:rsidRDefault="00B30560" w:rsidP="000413DC">
            <w:pPr>
              <w:pStyle w:val="ParaIndent"/>
              <w:ind w:left="0"/>
              <w:rPr>
                <w:b/>
              </w:rPr>
            </w:pPr>
            <w:r w:rsidRPr="00C36C8F">
              <w:rPr>
                <w:b/>
              </w:rPr>
              <w:t>Important</w:t>
            </w:r>
          </w:p>
          <w:p w:rsidR="00B30560" w:rsidRPr="00C36C8F" w:rsidRDefault="00B30560" w:rsidP="000413DC">
            <w:pPr>
              <w:pStyle w:val="ParaIndent"/>
              <w:ind w:left="0"/>
              <w:jc w:val="both"/>
            </w:pPr>
            <w:r w:rsidRPr="00C36C8F">
              <w:t xml:space="preserve">Data from previous </w:t>
            </w:r>
            <w:r w:rsidR="005338E9" w:rsidRPr="00C36C8F">
              <w:rPr>
                <w:i/>
              </w:rPr>
              <w:t>Waste and Recycling in Australia</w:t>
            </w:r>
            <w:r w:rsidRPr="00C36C8F">
              <w:t xml:space="preserve"> reports has not been grouped into the waste material categories and types outlined in the method report. This should be taken into consideration when comparing data reported in this report and that reported in previous years.</w:t>
            </w:r>
          </w:p>
          <w:p w:rsidR="00B30560" w:rsidRPr="00C36C8F" w:rsidRDefault="00B30560" w:rsidP="000413DC">
            <w:pPr>
              <w:pStyle w:val="ParaIndent"/>
              <w:ind w:left="0"/>
              <w:jc w:val="both"/>
            </w:pPr>
            <w:r w:rsidRPr="00C36C8F">
              <w:t xml:space="preserve">The method report and this version of </w:t>
            </w:r>
            <w:r w:rsidRPr="00C36C8F">
              <w:rPr>
                <w:i/>
              </w:rPr>
              <w:t>Waste and Recycling in Australia</w:t>
            </w:r>
            <w:r w:rsidRPr="00C36C8F">
              <w:t xml:space="preserve"> are not intended to set out the framework for the National Waste </w:t>
            </w:r>
            <w:r w:rsidR="00023E17" w:rsidRPr="00C36C8F">
              <w:t>Data System</w:t>
            </w:r>
            <w:r w:rsidRPr="00C36C8F">
              <w:t xml:space="preserve"> </w:t>
            </w:r>
            <w:r w:rsidR="00023E17" w:rsidRPr="00C36C8F">
              <w:t xml:space="preserve">under Strategy 16 of the </w:t>
            </w:r>
            <w:r w:rsidR="00023E17" w:rsidRPr="00C36C8F">
              <w:rPr>
                <w:i/>
              </w:rPr>
              <w:t>N</w:t>
            </w:r>
            <w:r w:rsidR="00C24514" w:rsidRPr="00C36C8F">
              <w:rPr>
                <w:i/>
              </w:rPr>
              <w:t xml:space="preserve">ational </w:t>
            </w:r>
            <w:r w:rsidR="00023E17" w:rsidRPr="00C36C8F">
              <w:rPr>
                <w:i/>
              </w:rPr>
              <w:t>W</w:t>
            </w:r>
            <w:r w:rsidR="00C24514" w:rsidRPr="00C36C8F">
              <w:rPr>
                <w:i/>
              </w:rPr>
              <w:t xml:space="preserve">aste </w:t>
            </w:r>
            <w:r w:rsidR="00023E17" w:rsidRPr="00C36C8F">
              <w:rPr>
                <w:i/>
              </w:rPr>
              <w:t>P</w:t>
            </w:r>
            <w:r w:rsidR="00C24514" w:rsidRPr="00C36C8F">
              <w:rPr>
                <w:i/>
              </w:rPr>
              <w:t>olicy: Less Waste, More Resources</w:t>
            </w:r>
            <w:r w:rsidRPr="00C36C8F">
              <w:t>.</w:t>
            </w:r>
          </w:p>
          <w:p w:rsidR="00B30560" w:rsidRPr="00C36C8F" w:rsidRDefault="00B30560" w:rsidP="00D73607">
            <w:pPr>
              <w:pStyle w:val="ParaIndent"/>
              <w:ind w:left="0"/>
              <w:jc w:val="both"/>
            </w:pPr>
            <w:r w:rsidRPr="00C36C8F">
              <w:t xml:space="preserve">The method report and this version of </w:t>
            </w:r>
            <w:r w:rsidRPr="00C36C8F">
              <w:rPr>
                <w:i/>
              </w:rPr>
              <w:t>Waste and Recycling in Australia</w:t>
            </w:r>
            <w:r w:rsidRPr="00C36C8F">
              <w:t xml:space="preserve"> are not intended to set out the framework which the states and territories need to adopt in their reporting of waste and recycling. As stated above</w:t>
            </w:r>
            <w:r w:rsidR="00C24514" w:rsidRPr="00C36C8F">
              <w:t>,</w:t>
            </w:r>
            <w:r w:rsidRPr="00C36C8F">
              <w:t xml:space="preserve"> </w:t>
            </w:r>
            <w:r w:rsidR="00D73607">
              <w:t>the main</w:t>
            </w:r>
            <w:r w:rsidRPr="00C36C8F">
              <w:t xml:space="preserve"> aim</w:t>
            </w:r>
            <w:r w:rsidR="00D73607">
              <w:t xml:space="preserve"> of these reports is to develop and test an improved</w:t>
            </w:r>
            <w:r w:rsidRPr="00C36C8F">
              <w:t xml:space="preserve"> method of data collation to enable national reporting.</w:t>
            </w:r>
          </w:p>
        </w:tc>
      </w:tr>
    </w:tbl>
    <w:p w:rsidR="00BA74FA" w:rsidRPr="00C36C8F" w:rsidRDefault="00BA74FA" w:rsidP="0054101D">
      <w:pPr>
        <w:pStyle w:val="Heading2"/>
        <w:numPr>
          <w:ilvl w:val="0"/>
          <w:numId w:val="0"/>
        </w:numPr>
        <w:ind w:left="1134"/>
      </w:pPr>
      <w:bookmarkStart w:id="14" w:name="_Toc284601048"/>
      <w:bookmarkStart w:id="15" w:name="_Toc325020095"/>
      <w:bookmarkStart w:id="16" w:name="_Toc305049743"/>
      <w:r w:rsidRPr="00C36C8F">
        <w:t>Key findings</w:t>
      </w:r>
      <w:bookmarkEnd w:id="14"/>
      <w:bookmarkEnd w:id="15"/>
      <w:bookmarkEnd w:id="16"/>
    </w:p>
    <w:p w:rsidR="00416F0B" w:rsidRPr="00C36C8F" w:rsidRDefault="0052797E" w:rsidP="000413DC">
      <w:pPr>
        <w:pStyle w:val="ParaIndent"/>
        <w:keepNext/>
        <w:keepLines/>
        <w:jc w:val="both"/>
      </w:pPr>
      <w:r w:rsidRPr="00C36C8F">
        <w:t>For the most part, t</w:t>
      </w:r>
      <w:r w:rsidR="0008264A" w:rsidRPr="00C36C8F">
        <w:t xml:space="preserve">he </w:t>
      </w:r>
      <w:r w:rsidR="00654B3C" w:rsidRPr="00C36C8F">
        <w:t xml:space="preserve">recommendations </w:t>
      </w:r>
      <w:r w:rsidRPr="00C36C8F">
        <w:t xml:space="preserve">contained in the method report </w:t>
      </w:r>
      <w:r w:rsidR="00654B3C" w:rsidRPr="00C36C8F">
        <w:t>were</w:t>
      </w:r>
      <w:r w:rsidR="0008264A" w:rsidRPr="00C36C8F">
        <w:t xml:space="preserve"> </w:t>
      </w:r>
      <w:r w:rsidRPr="00C36C8F">
        <w:t xml:space="preserve">found to be </w:t>
      </w:r>
      <w:r w:rsidR="0008264A" w:rsidRPr="00C36C8F">
        <w:t>appropriate for</w:t>
      </w:r>
      <w:r w:rsidR="00654B3C" w:rsidRPr="00C36C8F">
        <w:t xml:space="preserve"> the</w:t>
      </w:r>
      <w:r w:rsidR="0008264A" w:rsidRPr="00C36C8F">
        <w:t xml:space="preserve"> </w:t>
      </w:r>
      <w:r w:rsidR="00184030" w:rsidRPr="00C36C8F">
        <w:t>compilation of the jurisdictions</w:t>
      </w:r>
      <w:r w:rsidR="00D73607">
        <w:t>’</w:t>
      </w:r>
      <w:r w:rsidR="00184030" w:rsidRPr="00C36C8F">
        <w:t xml:space="preserve"> data</w:t>
      </w:r>
      <w:r w:rsidR="0008264A" w:rsidRPr="00C36C8F">
        <w:t xml:space="preserve">. </w:t>
      </w:r>
      <w:r w:rsidR="001D797D" w:rsidRPr="00C36C8F">
        <w:t xml:space="preserve">Any </w:t>
      </w:r>
      <w:r w:rsidR="004A11A9" w:rsidRPr="00C36C8F">
        <w:t xml:space="preserve">further </w:t>
      </w:r>
      <w:r w:rsidR="001D797D" w:rsidRPr="00C36C8F">
        <w:t>r</w:t>
      </w:r>
      <w:r w:rsidR="004A11A9" w:rsidRPr="00C36C8F">
        <w:t>efinements are described in</w:t>
      </w:r>
      <w:r w:rsidR="001D797D" w:rsidRPr="00C36C8F">
        <w:t xml:space="preserve"> Section </w:t>
      </w:r>
      <w:fldSimple w:instr=" REF _Ref295210521 \r \h  \* MERGEFORMAT ">
        <w:r w:rsidR="00AE7E3B">
          <w:t>3</w:t>
        </w:r>
      </w:fldSimple>
      <w:r w:rsidR="001D797D" w:rsidRPr="00C36C8F">
        <w:t xml:space="preserve"> of this report. The key data for 2008–09 is summarised in </w:t>
      </w:r>
      <w:fldSimple w:instr=" REF _Ref284589500 \h  \* MERGEFORMAT ">
        <w:r w:rsidR="00AE7E3B" w:rsidRPr="00C36C8F">
          <w:t>Table E-</w:t>
        </w:r>
        <w:r w:rsidR="00AE7E3B">
          <w:t>1</w:t>
        </w:r>
      </w:fldSimple>
      <w:r w:rsidR="001D797D" w:rsidRPr="00C36C8F">
        <w:t xml:space="preserve"> and </w:t>
      </w:r>
      <w:r w:rsidR="00B9555F" w:rsidRPr="00C36C8F">
        <w:fldChar w:fldCharType="begin"/>
      </w:r>
      <w:r w:rsidR="00B30560" w:rsidRPr="00C36C8F">
        <w:instrText xml:space="preserve"> REF _Ref302033420 \h </w:instrText>
      </w:r>
      <w:r w:rsidR="00B9555F" w:rsidRPr="00C36C8F">
        <w:fldChar w:fldCharType="separate"/>
      </w:r>
      <w:r w:rsidR="00AE7E3B" w:rsidRPr="00C36C8F">
        <w:t>Table E-</w:t>
      </w:r>
      <w:r w:rsidR="00AE7E3B">
        <w:rPr>
          <w:noProof/>
        </w:rPr>
        <w:t>2</w:t>
      </w:r>
      <w:r w:rsidR="00B9555F" w:rsidRPr="00C36C8F">
        <w:fldChar w:fldCharType="end"/>
      </w:r>
      <w:r w:rsidR="00A851C8" w:rsidRPr="00C36C8F">
        <w:t xml:space="preserve"> below, with further detail provided in the body of the report.</w:t>
      </w:r>
    </w:p>
    <w:p w:rsidR="00BA74FA" w:rsidRPr="00C36C8F" w:rsidRDefault="00BA74FA" w:rsidP="00BA74FA">
      <w:pPr>
        <w:pStyle w:val="Caption"/>
      </w:pPr>
      <w:bookmarkStart w:id="17" w:name="_Ref284589500"/>
      <w:bookmarkStart w:id="18" w:name="_Ref284589370"/>
      <w:bookmarkStart w:id="19" w:name="_Ref284593809"/>
      <w:r w:rsidRPr="00C36C8F">
        <w:t xml:space="preserve">Table </w:t>
      </w:r>
      <w:r w:rsidR="001A181D" w:rsidRPr="00C36C8F">
        <w:t>E</w:t>
      </w:r>
      <w:r w:rsidRPr="00C36C8F">
        <w:t>-</w:t>
      </w:r>
      <w:r w:rsidR="00B9555F" w:rsidRPr="00C36C8F">
        <w:fldChar w:fldCharType="begin"/>
      </w:r>
      <w:r w:rsidR="00D9691C" w:rsidRPr="00C36C8F">
        <w:instrText xml:space="preserve"> SEQ Table \* Arabic </w:instrText>
      </w:r>
      <w:r w:rsidR="00B9555F" w:rsidRPr="00C36C8F">
        <w:fldChar w:fldCharType="separate"/>
      </w:r>
      <w:r w:rsidR="00AE7E3B">
        <w:rPr>
          <w:noProof/>
        </w:rPr>
        <w:t>1</w:t>
      </w:r>
      <w:r w:rsidR="00B9555F" w:rsidRPr="00C36C8F">
        <w:fldChar w:fldCharType="end"/>
      </w:r>
      <w:bookmarkEnd w:id="17"/>
      <w:r w:rsidRPr="00C36C8F">
        <w:t xml:space="preserve"> </w:t>
      </w:r>
      <w:r w:rsidR="009063C2" w:rsidRPr="00C36C8F">
        <w:tab/>
      </w:r>
      <w:bookmarkEnd w:id="18"/>
      <w:bookmarkEnd w:id="19"/>
      <w:r w:rsidR="004A11A9" w:rsidRPr="00C36C8F">
        <w:t>Australian rates of w</w:t>
      </w:r>
      <w:r w:rsidR="004D7129" w:rsidRPr="00C36C8F">
        <w:t>aste generati</w:t>
      </w:r>
      <w:r w:rsidR="004A11A9" w:rsidRPr="00C36C8F">
        <w:t>on, recycling and recovery,</w:t>
      </w:r>
      <w:r w:rsidR="004D7129" w:rsidRPr="00C36C8F">
        <w:t xml:space="preserve"> by jurisdiction, 2008–09</w:t>
      </w:r>
    </w:p>
    <w:tbl>
      <w:tblPr>
        <w:tblW w:w="8507" w:type="dxa"/>
        <w:tblInd w:w="1134" w:type="dxa"/>
        <w:tblBorders>
          <w:bottom w:val="single" w:sz="18" w:space="0" w:color="808080"/>
          <w:insideH w:val="single" w:sz="4" w:space="0" w:color="808080"/>
        </w:tblBorders>
        <w:tblLayout w:type="fixed"/>
        <w:tblCellMar>
          <w:left w:w="0" w:type="dxa"/>
          <w:right w:w="0" w:type="dxa"/>
        </w:tblCellMar>
        <w:tblLook w:val="01E0"/>
      </w:tblPr>
      <w:tblGrid>
        <w:gridCol w:w="1134"/>
        <w:gridCol w:w="1132"/>
        <w:gridCol w:w="992"/>
        <w:gridCol w:w="1134"/>
        <w:gridCol w:w="995"/>
        <w:gridCol w:w="994"/>
        <w:gridCol w:w="1134"/>
        <w:gridCol w:w="992"/>
      </w:tblGrid>
      <w:tr w:rsidR="00283837" w:rsidRPr="00C36C8F" w:rsidTr="001232C7">
        <w:tc>
          <w:tcPr>
            <w:tcW w:w="1134" w:type="dxa"/>
            <w:vMerge w:val="restart"/>
            <w:shd w:val="clear" w:color="auto" w:fill="auto"/>
            <w:vAlign w:val="center"/>
          </w:tcPr>
          <w:p w:rsidR="00283837" w:rsidRPr="00C36C8F" w:rsidRDefault="00283837" w:rsidP="00B24A9A">
            <w:pPr>
              <w:pStyle w:val="TableHeading"/>
              <w:rPr>
                <w:kern w:val="28"/>
                <w:sz w:val="16"/>
                <w:szCs w:val="16"/>
              </w:rPr>
            </w:pPr>
            <w:r w:rsidRPr="00C36C8F">
              <w:rPr>
                <w:kern w:val="28"/>
                <w:sz w:val="16"/>
                <w:szCs w:val="16"/>
              </w:rPr>
              <w:t>Jurisdiction</w:t>
            </w:r>
          </w:p>
        </w:tc>
        <w:tc>
          <w:tcPr>
            <w:tcW w:w="1132" w:type="dxa"/>
            <w:vMerge w:val="restart"/>
            <w:tcBorders>
              <w:right w:val="single" w:sz="4" w:space="0" w:color="auto"/>
            </w:tcBorders>
            <w:vAlign w:val="center"/>
          </w:tcPr>
          <w:p w:rsidR="00283837" w:rsidRPr="00C36C8F" w:rsidRDefault="00283837" w:rsidP="00B24A9A">
            <w:pPr>
              <w:pStyle w:val="TableHeading"/>
              <w:jc w:val="center"/>
              <w:rPr>
                <w:kern w:val="28"/>
                <w:sz w:val="16"/>
                <w:szCs w:val="16"/>
              </w:rPr>
            </w:pPr>
            <w:r w:rsidRPr="00C36C8F">
              <w:rPr>
                <w:kern w:val="28"/>
                <w:sz w:val="16"/>
                <w:szCs w:val="16"/>
              </w:rPr>
              <w:t>Po</w:t>
            </w:r>
            <w:r w:rsidR="00921E93" w:rsidRPr="00C36C8F">
              <w:rPr>
                <w:kern w:val="28"/>
                <w:sz w:val="16"/>
                <w:szCs w:val="16"/>
              </w:rPr>
              <w:t>p</w:t>
            </w:r>
            <w:r w:rsidRPr="00C36C8F">
              <w:rPr>
                <w:kern w:val="28"/>
                <w:sz w:val="16"/>
                <w:szCs w:val="16"/>
              </w:rPr>
              <w:t>ulation</w:t>
            </w:r>
            <w:r w:rsidRPr="00C36C8F">
              <w:rPr>
                <w:kern w:val="28"/>
                <w:sz w:val="16"/>
                <w:szCs w:val="16"/>
                <w:vertAlign w:val="superscript"/>
              </w:rPr>
              <w:t>1</w:t>
            </w:r>
          </w:p>
        </w:tc>
        <w:tc>
          <w:tcPr>
            <w:tcW w:w="992" w:type="dxa"/>
            <w:tcBorders>
              <w:top w:val="nil"/>
              <w:left w:val="single" w:sz="4" w:space="0" w:color="auto"/>
              <w:bottom w:val="single" w:sz="4" w:space="0" w:color="808080"/>
            </w:tcBorders>
            <w:shd w:val="clear" w:color="auto" w:fill="auto"/>
            <w:vAlign w:val="center"/>
          </w:tcPr>
          <w:p w:rsidR="00283837" w:rsidRPr="00C36C8F" w:rsidRDefault="00283837" w:rsidP="00B24A9A">
            <w:pPr>
              <w:pStyle w:val="TableHeading"/>
              <w:jc w:val="center"/>
              <w:rPr>
                <w:kern w:val="28"/>
                <w:sz w:val="16"/>
                <w:szCs w:val="16"/>
                <w:vertAlign w:val="superscript"/>
              </w:rPr>
            </w:pPr>
            <w:r w:rsidRPr="00C36C8F">
              <w:rPr>
                <w:kern w:val="28"/>
                <w:sz w:val="16"/>
                <w:szCs w:val="16"/>
              </w:rPr>
              <w:t>Waste generation</w:t>
            </w:r>
            <w:r w:rsidR="003E201B" w:rsidRPr="00C36C8F">
              <w:rPr>
                <w:kern w:val="28"/>
                <w:sz w:val="16"/>
                <w:szCs w:val="16"/>
                <w:vertAlign w:val="superscript"/>
              </w:rPr>
              <w:t>2</w:t>
            </w:r>
          </w:p>
        </w:tc>
        <w:tc>
          <w:tcPr>
            <w:tcW w:w="1134" w:type="dxa"/>
            <w:tcBorders>
              <w:top w:val="nil"/>
              <w:bottom w:val="single" w:sz="4" w:space="0" w:color="808080"/>
            </w:tcBorders>
            <w:shd w:val="clear" w:color="auto" w:fill="auto"/>
            <w:vAlign w:val="center"/>
          </w:tcPr>
          <w:p w:rsidR="00283837" w:rsidRPr="00C36C8F" w:rsidRDefault="00283837" w:rsidP="00B24A9A">
            <w:pPr>
              <w:pStyle w:val="TableHeading"/>
              <w:jc w:val="center"/>
              <w:rPr>
                <w:kern w:val="28"/>
                <w:sz w:val="16"/>
                <w:szCs w:val="16"/>
              </w:rPr>
            </w:pPr>
            <w:r w:rsidRPr="00C36C8F">
              <w:rPr>
                <w:kern w:val="28"/>
                <w:sz w:val="16"/>
                <w:szCs w:val="16"/>
              </w:rPr>
              <w:t>Disposal</w:t>
            </w:r>
          </w:p>
        </w:tc>
        <w:tc>
          <w:tcPr>
            <w:tcW w:w="995" w:type="dxa"/>
            <w:tcBorders>
              <w:top w:val="nil"/>
              <w:bottom w:val="single" w:sz="4" w:space="0" w:color="808080"/>
              <w:right w:val="single" w:sz="4" w:space="0" w:color="auto"/>
            </w:tcBorders>
            <w:vAlign w:val="center"/>
          </w:tcPr>
          <w:p w:rsidR="00283837" w:rsidRPr="00C36C8F" w:rsidRDefault="00283837" w:rsidP="00B24A9A">
            <w:pPr>
              <w:pStyle w:val="TableHeading"/>
              <w:jc w:val="center"/>
              <w:rPr>
                <w:kern w:val="28"/>
                <w:sz w:val="16"/>
                <w:szCs w:val="16"/>
              </w:rPr>
            </w:pPr>
            <w:r w:rsidRPr="00C36C8F">
              <w:rPr>
                <w:kern w:val="28"/>
                <w:sz w:val="16"/>
                <w:szCs w:val="16"/>
              </w:rPr>
              <w:t>Recycling</w:t>
            </w:r>
          </w:p>
        </w:tc>
        <w:tc>
          <w:tcPr>
            <w:tcW w:w="994" w:type="dxa"/>
            <w:vMerge w:val="restart"/>
            <w:tcBorders>
              <w:left w:val="single" w:sz="4" w:space="0" w:color="auto"/>
            </w:tcBorders>
            <w:shd w:val="clear" w:color="auto" w:fill="D9D9D9" w:themeFill="background1" w:themeFillShade="D9"/>
            <w:vAlign w:val="center"/>
          </w:tcPr>
          <w:p w:rsidR="00283837" w:rsidRPr="00C36C8F" w:rsidRDefault="00283837" w:rsidP="00B24A9A">
            <w:pPr>
              <w:pStyle w:val="TableHeading"/>
              <w:jc w:val="center"/>
              <w:rPr>
                <w:kern w:val="28"/>
                <w:sz w:val="16"/>
                <w:szCs w:val="16"/>
                <w:vertAlign w:val="superscript"/>
              </w:rPr>
            </w:pPr>
            <w:r w:rsidRPr="00C36C8F">
              <w:rPr>
                <w:kern w:val="28"/>
                <w:sz w:val="16"/>
                <w:szCs w:val="16"/>
              </w:rPr>
              <w:t>Recycling rate</w:t>
            </w:r>
            <w:r w:rsidR="002E6F78" w:rsidRPr="00C36C8F">
              <w:rPr>
                <w:kern w:val="28"/>
                <w:sz w:val="16"/>
                <w:szCs w:val="16"/>
                <w:vertAlign w:val="superscript"/>
              </w:rPr>
              <w:t>3</w:t>
            </w:r>
          </w:p>
        </w:tc>
        <w:tc>
          <w:tcPr>
            <w:tcW w:w="1134" w:type="dxa"/>
            <w:vAlign w:val="center"/>
          </w:tcPr>
          <w:p w:rsidR="00283837" w:rsidRPr="00C36C8F" w:rsidRDefault="00283837" w:rsidP="00B24A9A">
            <w:pPr>
              <w:pStyle w:val="TableHeading"/>
              <w:jc w:val="center"/>
              <w:rPr>
                <w:kern w:val="28"/>
                <w:sz w:val="16"/>
                <w:szCs w:val="16"/>
              </w:rPr>
            </w:pPr>
            <w:r w:rsidRPr="00C36C8F">
              <w:rPr>
                <w:kern w:val="28"/>
                <w:sz w:val="16"/>
                <w:szCs w:val="16"/>
              </w:rPr>
              <w:t>Energy recovery</w:t>
            </w:r>
          </w:p>
        </w:tc>
        <w:tc>
          <w:tcPr>
            <w:tcW w:w="992" w:type="dxa"/>
            <w:vMerge w:val="restart"/>
            <w:shd w:val="clear" w:color="auto" w:fill="D9D9D9" w:themeFill="background1" w:themeFillShade="D9"/>
            <w:vAlign w:val="center"/>
          </w:tcPr>
          <w:p w:rsidR="00283837" w:rsidRPr="00C36C8F" w:rsidRDefault="00283837" w:rsidP="002E6F78">
            <w:pPr>
              <w:pStyle w:val="TableHeading"/>
              <w:jc w:val="center"/>
              <w:rPr>
                <w:kern w:val="28"/>
                <w:sz w:val="16"/>
                <w:szCs w:val="16"/>
                <w:vertAlign w:val="superscript"/>
              </w:rPr>
            </w:pPr>
            <w:r w:rsidRPr="00C36C8F">
              <w:rPr>
                <w:kern w:val="28"/>
                <w:sz w:val="16"/>
                <w:szCs w:val="16"/>
              </w:rPr>
              <w:t>Recovery rate</w:t>
            </w:r>
            <w:r w:rsidR="002E6F78" w:rsidRPr="00C36C8F">
              <w:rPr>
                <w:kern w:val="28"/>
                <w:sz w:val="16"/>
                <w:szCs w:val="16"/>
                <w:vertAlign w:val="superscript"/>
              </w:rPr>
              <w:t>4</w:t>
            </w:r>
          </w:p>
        </w:tc>
      </w:tr>
      <w:tr w:rsidR="00D03C67" w:rsidRPr="00C36C8F" w:rsidTr="001232C7">
        <w:tc>
          <w:tcPr>
            <w:tcW w:w="1134" w:type="dxa"/>
            <w:vMerge/>
            <w:shd w:val="clear" w:color="auto" w:fill="auto"/>
          </w:tcPr>
          <w:p w:rsidR="00D03C67" w:rsidRPr="00C36C8F" w:rsidRDefault="00D03C67" w:rsidP="00B24A9A">
            <w:pPr>
              <w:pStyle w:val="TableText"/>
              <w:keepNext/>
              <w:rPr>
                <w:sz w:val="16"/>
                <w:szCs w:val="16"/>
              </w:rPr>
            </w:pPr>
          </w:p>
        </w:tc>
        <w:tc>
          <w:tcPr>
            <w:tcW w:w="1132" w:type="dxa"/>
            <w:vMerge/>
            <w:tcBorders>
              <w:right w:val="single" w:sz="4" w:space="0" w:color="auto"/>
            </w:tcBorders>
          </w:tcPr>
          <w:p w:rsidR="00D03C67" w:rsidRPr="00C36C8F" w:rsidRDefault="00D03C67" w:rsidP="00B24A9A">
            <w:pPr>
              <w:pStyle w:val="TableHeading"/>
              <w:jc w:val="center"/>
              <w:rPr>
                <w:kern w:val="28"/>
                <w:sz w:val="16"/>
                <w:szCs w:val="16"/>
              </w:rPr>
            </w:pPr>
          </w:p>
        </w:tc>
        <w:tc>
          <w:tcPr>
            <w:tcW w:w="3121" w:type="dxa"/>
            <w:gridSpan w:val="3"/>
            <w:tcBorders>
              <w:top w:val="single" w:sz="4" w:space="0" w:color="808080"/>
              <w:left w:val="single" w:sz="4" w:space="0" w:color="auto"/>
              <w:bottom w:val="single" w:sz="4" w:space="0" w:color="808080"/>
              <w:right w:val="single" w:sz="4" w:space="0" w:color="auto"/>
            </w:tcBorders>
            <w:shd w:val="clear" w:color="auto" w:fill="auto"/>
            <w:vAlign w:val="center"/>
          </w:tcPr>
          <w:p w:rsidR="00D03C67" w:rsidRPr="00C36C8F" w:rsidRDefault="00D03C67" w:rsidP="00B24A9A">
            <w:pPr>
              <w:pStyle w:val="TableHeading"/>
              <w:jc w:val="center"/>
              <w:rPr>
                <w:kern w:val="28"/>
                <w:sz w:val="16"/>
                <w:szCs w:val="16"/>
              </w:rPr>
            </w:pPr>
            <w:r w:rsidRPr="00C36C8F">
              <w:rPr>
                <w:kern w:val="28"/>
                <w:sz w:val="16"/>
                <w:szCs w:val="16"/>
              </w:rPr>
              <w:t>kg per capita</w:t>
            </w:r>
          </w:p>
        </w:tc>
        <w:tc>
          <w:tcPr>
            <w:tcW w:w="994" w:type="dxa"/>
            <w:vMerge/>
            <w:tcBorders>
              <w:left w:val="single" w:sz="4" w:space="0" w:color="auto"/>
            </w:tcBorders>
            <w:shd w:val="clear" w:color="auto" w:fill="D9D9D9" w:themeFill="background1" w:themeFillShade="D9"/>
          </w:tcPr>
          <w:p w:rsidR="00D03C67" w:rsidRPr="00C36C8F" w:rsidRDefault="00D03C67" w:rsidP="00B24A9A">
            <w:pPr>
              <w:pStyle w:val="TableHeading"/>
              <w:jc w:val="center"/>
              <w:rPr>
                <w:kern w:val="28"/>
                <w:sz w:val="16"/>
                <w:szCs w:val="16"/>
              </w:rPr>
            </w:pPr>
          </w:p>
        </w:tc>
        <w:tc>
          <w:tcPr>
            <w:tcW w:w="1134" w:type="dxa"/>
            <w:vAlign w:val="center"/>
          </w:tcPr>
          <w:p w:rsidR="00D03C67" w:rsidRPr="00C36C8F" w:rsidRDefault="00D03C67" w:rsidP="001F6EBF">
            <w:pPr>
              <w:pStyle w:val="TableHeading"/>
              <w:jc w:val="center"/>
              <w:rPr>
                <w:kern w:val="28"/>
                <w:sz w:val="16"/>
                <w:szCs w:val="16"/>
              </w:rPr>
            </w:pPr>
            <w:r w:rsidRPr="00C36C8F">
              <w:rPr>
                <w:kern w:val="28"/>
                <w:sz w:val="16"/>
                <w:szCs w:val="16"/>
              </w:rPr>
              <w:t>kg per capita</w:t>
            </w:r>
          </w:p>
        </w:tc>
        <w:tc>
          <w:tcPr>
            <w:tcW w:w="992" w:type="dxa"/>
            <w:vMerge/>
            <w:shd w:val="clear" w:color="auto" w:fill="D9D9D9" w:themeFill="background1" w:themeFillShade="D9"/>
          </w:tcPr>
          <w:p w:rsidR="00D03C67" w:rsidRPr="00C36C8F" w:rsidRDefault="00D03C67" w:rsidP="00B24A9A">
            <w:pPr>
              <w:pStyle w:val="TableText"/>
              <w:keepNext/>
              <w:rPr>
                <w:sz w:val="16"/>
                <w:szCs w:val="16"/>
              </w:rPr>
            </w:pPr>
          </w:p>
        </w:tc>
      </w:tr>
      <w:tr w:rsidR="00476BAA" w:rsidRPr="00C36C8F" w:rsidTr="000B315F">
        <w:tc>
          <w:tcPr>
            <w:tcW w:w="1134" w:type="dxa"/>
          </w:tcPr>
          <w:p w:rsidR="00476BAA" w:rsidRPr="00C36C8F" w:rsidRDefault="00476BAA" w:rsidP="00B24A9A">
            <w:pPr>
              <w:pStyle w:val="TableText"/>
              <w:keepNext/>
              <w:rPr>
                <w:szCs w:val="18"/>
              </w:rPr>
            </w:pPr>
            <w:r w:rsidRPr="00C36C8F">
              <w:rPr>
                <w:szCs w:val="18"/>
              </w:rPr>
              <w:t>NSW</w:t>
            </w:r>
          </w:p>
        </w:tc>
        <w:tc>
          <w:tcPr>
            <w:tcW w:w="1132" w:type="dxa"/>
            <w:vAlign w:val="center"/>
          </w:tcPr>
          <w:p w:rsidR="00476BAA" w:rsidRPr="00264430" w:rsidRDefault="00476BAA" w:rsidP="00667800">
            <w:pPr>
              <w:pStyle w:val="TableText"/>
              <w:keepNext/>
              <w:jc w:val="right"/>
              <w:rPr>
                <w:rFonts w:cs="Arial"/>
                <w:szCs w:val="18"/>
              </w:rPr>
            </w:pPr>
            <w:r w:rsidRPr="000B315F">
              <w:rPr>
                <w:color w:val="000000"/>
              </w:rPr>
              <w:t>7,099,714</w:t>
            </w:r>
          </w:p>
        </w:tc>
        <w:tc>
          <w:tcPr>
            <w:tcW w:w="992" w:type="dxa"/>
            <w:vAlign w:val="center"/>
          </w:tcPr>
          <w:p w:rsidR="00476BAA" w:rsidRPr="00476BAA" w:rsidRDefault="00476BAA" w:rsidP="00207438">
            <w:pPr>
              <w:pStyle w:val="TableText"/>
              <w:keepNext/>
              <w:jc w:val="right"/>
              <w:rPr>
                <w:rFonts w:cs="Arial"/>
                <w:szCs w:val="18"/>
              </w:rPr>
            </w:pPr>
            <w:r w:rsidRPr="000B315F">
              <w:rPr>
                <w:color w:val="000000"/>
              </w:rPr>
              <w:t>2,</w:t>
            </w:r>
            <w:r w:rsidRPr="00476BAA">
              <w:rPr>
                <w:rFonts w:cs="Arial"/>
                <w:color w:val="000000"/>
                <w:szCs w:val="18"/>
              </w:rPr>
              <w:t>290</w:t>
            </w:r>
          </w:p>
        </w:tc>
        <w:tc>
          <w:tcPr>
            <w:tcW w:w="1134" w:type="dxa"/>
            <w:vAlign w:val="center"/>
          </w:tcPr>
          <w:p w:rsidR="00476BAA" w:rsidRPr="00476BAA" w:rsidRDefault="00476BAA" w:rsidP="00FC3890">
            <w:pPr>
              <w:pStyle w:val="TableText"/>
              <w:keepNext/>
              <w:jc w:val="right"/>
              <w:rPr>
                <w:rFonts w:cs="Arial"/>
                <w:szCs w:val="18"/>
              </w:rPr>
            </w:pPr>
            <w:r w:rsidRPr="00476BAA">
              <w:rPr>
                <w:rFonts w:cs="Arial"/>
                <w:color w:val="000000"/>
                <w:szCs w:val="18"/>
              </w:rPr>
              <w:t>940</w:t>
            </w:r>
          </w:p>
        </w:tc>
        <w:tc>
          <w:tcPr>
            <w:tcW w:w="995" w:type="dxa"/>
            <w:vAlign w:val="center"/>
          </w:tcPr>
          <w:p w:rsidR="00476BAA" w:rsidRPr="00476BAA" w:rsidRDefault="00476BAA" w:rsidP="00207438">
            <w:pPr>
              <w:pStyle w:val="TableText"/>
              <w:keepNext/>
              <w:jc w:val="right"/>
              <w:rPr>
                <w:rFonts w:cs="Arial"/>
                <w:szCs w:val="18"/>
              </w:rPr>
            </w:pPr>
            <w:r w:rsidRPr="000B315F">
              <w:rPr>
                <w:color w:val="000000"/>
              </w:rPr>
              <w:t>1,</w:t>
            </w:r>
            <w:r w:rsidRPr="00476BAA">
              <w:rPr>
                <w:rFonts w:cs="Arial"/>
                <w:color w:val="000000"/>
                <w:szCs w:val="18"/>
              </w:rPr>
              <w:t>350</w:t>
            </w:r>
          </w:p>
        </w:tc>
        <w:tc>
          <w:tcPr>
            <w:tcW w:w="994"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59</w:t>
            </w:r>
            <w:r w:rsidRPr="000B315F">
              <w:rPr>
                <w:color w:val="000000"/>
              </w:rPr>
              <w:t>%</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10</w:t>
            </w:r>
          </w:p>
        </w:tc>
        <w:tc>
          <w:tcPr>
            <w:tcW w:w="992"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59</w:t>
            </w:r>
            <w:r w:rsidRPr="000B315F">
              <w:rPr>
                <w:color w:val="000000"/>
              </w:rPr>
              <w:t>%</w:t>
            </w:r>
          </w:p>
        </w:tc>
      </w:tr>
      <w:tr w:rsidR="00476BAA" w:rsidRPr="00C36C8F" w:rsidTr="000B315F">
        <w:tc>
          <w:tcPr>
            <w:tcW w:w="1134" w:type="dxa"/>
          </w:tcPr>
          <w:p w:rsidR="00476BAA" w:rsidRPr="00C36C8F" w:rsidRDefault="00476BAA" w:rsidP="00B24A9A">
            <w:pPr>
              <w:pStyle w:val="TableText"/>
              <w:keepNext/>
              <w:rPr>
                <w:szCs w:val="18"/>
              </w:rPr>
            </w:pPr>
            <w:r w:rsidRPr="00C36C8F">
              <w:rPr>
                <w:szCs w:val="18"/>
              </w:rPr>
              <w:t>Vic</w:t>
            </w:r>
          </w:p>
        </w:tc>
        <w:tc>
          <w:tcPr>
            <w:tcW w:w="1132" w:type="dxa"/>
            <w:vAlign w:val="center"/>
          </w:tcPr>
          <w:p w:rsidR="00476BAA" w:rsidRPr="00264430" w:rsidRDefault="00476BAA" w:rsidP="00667800">
            <w:pPr>
              <w:pStyle w:val="TableText"/>
              <w:keepNext/>
              <w:jc w:val="right"/>
              <w:rPr>
                <w:rFonts w:cs="Arial"/>
                <w:szCs w:val="18"/>
              </w:rPr>
            </w:pPr>
            <w:r w:rsidRPr="00264430">
              <w:rPr>
                <w:rFonts w:cs="Arial"/>
                <w:color w:val="000000"/>
                <w:szCs w:val="18"/>
              </w:rPr>
              <w:t xml:space="preserve">  </w:t>
            </w:r>
            <w:r w:rsidRPr="000B315F">
              <w:rPr>
                <w:color w:val="000000"/>
              </w:rPr>
              <w:t xml:space="preserve"> 5,427,681 </w:t>
            </w:r>
          </w:p>
        </w:tc>
        <w:tc>
          <w:tcPr>
            <w:tcW w:w="992" w:type="dxa"/>
            <w:vAlign w:val="center"/>
          </w:tcPr>
          <w:p w:rsidR="00476BAA" w:rsidRPr="00476BAA" w:rsidRDefault="00476BAA" w:rsidP="00207438">
            <w:pPr>
              <w:pStyle w:val="TableText"/>
              <w:keepNext/>
              <w:jc w:val="right"/>
              <w:rPr>
                <w:rFonts w:cs="Arial"/>
                <w:szCs w:val="18"/>
              </w:rPr>
            </w:pPr>
            <w:r w:rsidRPr="000B315F">
              <w:rPr>
                <w:color w:val="000000"/>
              </w:rPr>
              <w:t>1,</w:t>
            </w:r>
            <w:r w:rsidRPr="00476BAA">
              <w:rPr>
                <w:rFonts w:cs="Arial"/>
                <w:color w:val="000000"/>
                <w:szCs w:val="18"/>
              </w:rPr>
              <w:t>900</w:t>
            </w:r>
          </w:p>
        </w:tc>
        <w:tc>
          <w:tcPr>
            <w:tcW w:w="1134" w:type="dxa"/>
            <w:vAlign w:val="center"/>
          </w:tcPr>
          <w:p w:rsidR="00476BAA" w:rsidRPr="00476BAA" w:rsidRDefault="00476BAA" w:rsidP="00207438">
            <w:pPr>
              <w:pStyle w:val="TableText"/>
              <w:keepNext/>
              <w:jc w:val="right"/>
              <w:rPr>
                <w:rFonts w:cs="Arial"/>
                <w:szCs w:val="18"/>
              </w:rPr>
            </w:pPr>
            <w:r w:rsidRPr="00476BAA">
              <w:rPr>
                <w:rFonts w:cs="Arial"/>
                <w:color w:val="000000"/>
                <w:szCs w:val="18"/>
              </w:rPr>
              <w:t>870</w:t>
            </w:r>
          </w:p>
        </w:tc>
        <w:tc>
          <w:tcPr>
            <w:tcW w:w="995" w:type="dxa"/>
            <w:vAlign w:val="center"/>
          </w:tcPr>
          <w:p w:rsidR="00476BAA" w:rsidRPr="00476BAA" w:rsidRDefault="00476BAA" w:rsidP="00667800">
            <w:pPr>
              <w:pStyle w:val="TableText"/>
              <w:keepNext/>
              <w:jc w:val="right"/>
              <w:rPr>
                <w:rFonts w:cs="Arial"/>
                <w:szCs w:val="18"/>
              </w:rPr>
            </w:pPr>
            <w:r w:rsidRPr="000B315F">
              <w:rPr>
                <w:color w:val="000000"/>
              </w:rPr>
              <w:t>1,010</w:t>
            </w:r>
          </w:p>
        </w:tc>
        <w:tc>
          <w:tcPr>
            <w:tcW w:w="994" w:type="dxa"/>
            <w:vAlign w:val="center"/>
          </w:tcPr>
          <w:p w:rsidR="00476BAA" w:rsidRPr="00476BAA" w:rsidRDefault="00476BAA" w:rsidP="009964D2">
            <w:pPr>
              <w:pStyle w:val="TableText"/>
              <w:keepNext/>
              <w:jc w:val="right"/>
              <w:rPr>
                <w:rFonts w:cs="Arial"/>
                <w:szCs w:val="18"/>
              </w:rPr>
            </w:pPr>
            <w:r w:rsidRPr="00476BAA">
              <w:rPr>
                <w:rFonts w:cs="Arial"/>
                <w:color w:val="000000"/>
                <w:szCs w:val="18"/>
              </w:rPr>
              <w:t>54</w:t>
            </w:r>
            <w:r w:rsidRPr="000B315F">
              <w:rPr>
                <w:color w:val="000000"/>
              </w:rPr>
              <w:t>%</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10</w:t>
            </w:r>
          </w:p>
        </w:tc>
        <w:tc>
          <w:tcPr>
            <w:tcW w:w="992"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54</w:t>
            </w:r>
            <w:r w:rsidRPr="000B315F">
              <w:rPr>
                <w:color w:val="000000"/>
              </w:rPr>
              <w:t>%</w:t>
            </w:r>
          </w:p>
        </w:tc>
      </w:tr>
      <w:tr w:rsidR="00476BAA" w:rsidRPr="00C36C8F" w:rsidTr="000B315F">
        <w:tc>
          <w:tcPr>
            <w:tcW w:w="1134" w:type="dxa"/>
          </w:tcPr>
          <w:p w:rsidR="00476BAA" w:rsidRPr="00C36C8F" w:rsidRDefault="00476BAA" w:rsidP="00B24A9A">
            <w:pPr>
              <w:pStyle w:val="TableText"/>
              <w:keepNext/>
              <w:rPr>
                <w:szCs w:val="18"/>
              </w:rPr>
            </w:pPr>
            <w:r w:rsidRPr="00C36C8F">
              <w:rPr>
                <w:szCs w:val="18"/>
              </w:rPr>
              <w:t>Qld</w:t>
            </w:r>
          </w:p>
        </w:tc>
        <w:tc>
          <w:tcPr>
            <w:tcW w:w="1132" w:type="dxa"/>
            <w:vAlign w:val="center"/>
          </w:tcPr>
          <w:p w:rsidR="00476BAA" w:rsidRPr="00264430" w:rsidRDefault="00476BAA" w:rsidP="00667800">
            <w:pPr>
              <w:pStyle w:val="TableText"/>
              <w:keepNext/>
              <w:jc w:val="right"/>
              <w:rPr>
                <w:rFonts w:cs="Arial"/>
                <w:szCs w:val="18"/>
              </w:rPr>
            </w:pPr>
            <w:r w:rsidRPr="00264430">
              <w:rPr>
                <w:rFonts w:cs="Arial"/>
                <w:color w:val="000000"/>
                <w:szCs w:val="18"/>
              </w:rPr>
              <w:t xml:space="preserve">  </w:t>
            </w:r>
            <w:r w:rsidRPr="000B315F">
              <w:rPr>
                <w:color w:val="000000"/>
              </w:rPr>
              <w:t xml:space="preserve"> 4,406,823 </w:t>
            </w:r>
          </w:p>
        </w:tc>
        <w:tc>
          <w:tcPr>
            <w:tcW w:w="992" w:type="dxa"/>
            <w:vAlign w:val="center"/>
          </w:tcPr>
          <w:p w:rsidR="00476BAA" w:rsidRPr="00476BAA" w:rsidRDefault="00476BAA" w:rsidP="00207438">
            <w:pPr>
              <w:pStyle w:val="TableText"/>
              <w:keepNext/>
              <w:jc w:val="right"/>
              <w:rPr>
                <w:rFonts w:cs="Arial"/>
                <w:szCs w:val="18"/>
              </w:rPr>
            </w:pPr>
            <w:r w:rsidRPr="000B315F">
              <w:rPr>
                <w:color w:val="000000"/>
              </w:rPr>
              <w:t>2,</w:t>
            </w:r>
            <w:r w:rsidRPr="00476BAA">
              <w:rPr>
                <w:rFonts w:cs="Arial"/>
                <w:color w:val="000000"/>
                <w:szCs w:val="18"/>
              </w:rPr>
              <w:t>100</w:t>
            </w:r>
          </w:p>
        </w:tc>
        <w:tc>
          <w:tcPr>
            <w:tcW w:w="1134" w:type="dxa"/>
            <w:vAlign w:val="center"/>
          </w:tcPr>
          <w:p w:rsidR="00476BAA" w:rsidRPr="00476BAA" w:rsidRDefault="00476BAA" w:rsidP="00207438">
            <w:pPr>
              <w:pStyle w:val="TableText"/>
              <w:keepNext/>
              <w:jc w:val="right"/>
              <w:rPr>
                <w:rFonts w:cs="Arial"/>
                <w:szCs w:val="18"/>
              </w:rPr>
            </w:pPr>
            <w:r w:rsidRPr="000B315F">
              <w:rPr>
                <w:color w:val="000000"/>
              </w:rPr>
              <w:t>1,</w:t>
            </w:r>
            <w:r w:rsidRPr="00476BAA">
              <w:rPr>
                <w:rFonts w:cs="Arial"/>
                <w:color w:val="000000"/>
                <w:szCs w:val="18"/>
              </w:rPr>
              <w:t>160</w:t>
            </w:r>
          </w:p>
        </w:tc>
        <w:tc>
          <w:tcPr>
            <w:tcW w:w="995" w:type="dxa"/>
            <w:vAlign w:val="center"/>
          </w:tcPr>
          <w:p w:rsidR="00476BAA" w:rsidRPr="00476BAA" w:rsidRDefault="00476BAA" w:rsidP="00207438">
            <w:pPr>
              <w:pStyle w:val="TableText"/>
              <w:keepNext/>
              <w:jc w:val="right"/>
              <w:rPr>
                <w:rFonts w:cs="Arial"/>
                <w:szCs w:val="18"/>
              </w:rPr>
            </w:pPr>
            <w:r w:rsidRPr="00476BAA">
              <w:rPr>
                <w:rFonts w:cs="Arial"/>
                <w:color w:val="000000"/>
                <w:szCs w:val="18"/>
              </w:rPr>
              <w:t>930</w:t>
            </w:r>
          </w:p>
        </w:tc>
        <w:tc>
          <w:tcPr>
            <w:tcW w:w="994"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45</w:t>
            </w:r>
            <w:r w:rsidRPr="000B315F">
              <w:rPr>
                <w:color w:val="000000"/>
              </w:rPr>
              <w:t>%</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10</w:t>
            </w:r>
          </w:p>
        </w:tc>
        <w:tc>
          <w:tcPr>
            <w:tcW w:w="992" w:type="dxa"/>
            <w:vAlign w:val="center"/>
          </w:tcPr>
          <w:p w:rsidR="00476BAA" w:rsidRPr="00476BAA" w:rsidRDefault="00476BAA" w:rsidP="00667800">
            <w:pPr>
              <w:pStyle w:val="TableText"/>
              <w:keepNext/>
              <w:jc w:val="right"/>
              <w:rPr>
                <w:rFonts w:cs="Arial"/>
                <w:szCs w:val="18"/>
              </w:rPr>
            </w:pPr>
            <w:r w:rsidRPr="000B315F">
              <w:rPr>
                <w:color w:val="000000"/>
              </w:rPr>
              <w:t>45%</w:t>
            </w:r>
          </w:p>
        </w:tc>
      </w:tr>
      <w:tr w:rsidR="00476BAA" w:rsidRPr="00C36C8F" w:rsidTr="000B315F">
        <w:tc>
          <w:tcPr>
            <w:tcW w:w="1134" w:type="dxa"/>
          </w:tcPr>
          <w:p w:rsidR="00476BAA" w:rsidRPr="00C36C8F" w:rsidRDefault="00476BAA" w:rsidP="00B24A9A">
            <w:pPr>
              <w:pStyle w:val="TableText"/>
              <w:keepNext/>
              <w:rPr>
                <w:szCs w:val="18"/>
              </w:rPr>
            </w:pPr>
            <w:r w:rsidRPr="00C36C8F">
              <w:rPr>
                <w:szCs w:val="18"/>
              </w:rPr>
              <w:t>SA</w:t>
            </w:r>
          </w:p>
        </w:tc>
        <w:tc>
          <w:tcPr>
            <w:tcW w:w="1132" w:type="dxa"/>
            <w:vAlign w:val="center"/>
          </w:tcPr>
          <w:p w:rsidR="00476BAA" w:rsidRPr="00264430" w:rsidRDefault="00476BAA" w:rsidP="00667800">
            <w:pPr>
              <w:pStyle w:val="TableText"/>
              <w:keepNext/>
              <w:jc w:val="right"/>
              <w:rPr>
                <w:rFonts w:cs="Arial"/>
                <w:szCs w:val="18"/>
              </w:rPr>
            </w:pPr>
            <w:r w:rsidRPr="00264430">
              <w:rPr>
                <w:rFonts w:cs="Arial"/>
                <w:color w:val="000000"/>
                <w:szCs w:val="18"/>
              </w:rPr>
              <w:t xml:space="preserve">   </w:t>
            </w:r>
            <w:r w:rsidRPr="000B315F">
              <w:rPr>
                <w:color w:val="000000"/>
              </w:rPr>
              <w:t xml:space="preserve"> 1,622,712 </w:t>
            </w:r>
          </w:p>
        </w:tc>
        <w:tc>
          <w:tcPr>
            <w:tcW w:w="992" w:type="dxa"/>
            <w:vAlign w:val="center"/>
          </w:tcPr>
          <w:p w:rsidR="00476BAA" w:rsidRPr="00476BAA" w:rsidRDefault="00476BAA" w:rsidP="00207438">
            <w:pPr>
              <w:pStyle w:val="TableText"/>
              <w:keepNext/>
              <w:jc w:val="right"/>
              <w:rPr>
                <w:rFonts w:cs="Arial"/>
                <w:szCs w:val="18"/>
              </w:rPr>
            </w:pPr>
            <w:r w:rsidRPr="000B315F">
              <w:rPr>
                <w:color w:val="000000"/>
              </w:rPr>
              <w:t>2,050</w:t>
            </w:r>
          </w:p>
        </w:tc>
        <w:tc>
          <w:tcPr>
            <w:tcW w:w="1134"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650</w:t>
            </w:r>
          </w:p>
        </w:tc>
        <w:tc>
          <w:tcPr>
            <w:tcW w:w="995" w:type="dxa"/>
            <w:vAlign w:val="center"/>
          </w:tcPr>
          <w:p w:rsidR="00476BAA" w:rsidRPr="00476BAA" w:rsidRDefault="00476BAA" w:rsidP="00667800">
            <w:pPr>
              <w:pStyle w:val="TableText"/>
              <w:keepNext/>
              <w:jc w:val="right"/>
              <w:rPr>
                <w:rFonts w:cs="Arial"/>
                <w:szCs w:val="18"/>
              </w:rPr>
            </w:pPr>
            <w:r w:rsidRPr="000B315F">
              <w:rPr>
                <w:color w:val="000000"/>
              </w:rPr>
              <w:t>1,340</w:t>
            </w:r>
          </w:p>
        </w:tc>
        <w:tc>
          <w:tcPr>
            <w:tcW w:w="994" w:type="dxa"/>
            <w:vAlign w:val="center"/>
          </w:tcPr>
          <w:p w:rsidR="00476BAA" w:rsidRPr="00476BAA" w:rsidRDefault="00476BAA" w:rsidP="009964D2">
            <w:pPr>
              <w:pStyle w:val="TableText"/>
              <w:keepNext/>
              <w:jc w:val="right"/>
              <w:rPr>
                <w:rFonts w:cs="Arial"/>
                <w:szCs w:val="18"/>
              </w:rPr>
            </w:pPr>
            <w:r w:rsidRPr="00476BAA">
              <w:rPr>
                <w:rFonts w:cs="Arial"/>
                <w:color w:val="000000"/>
                <w:szCs w:val="18"/>
              </w:rPr>
              <w:t>67</w:t>
            </w:r>
            <w:r w:rsidRPr="000B315F">
              <w:rPr>
                <w:color w:val="000000"/>
              </w:rPr>
              <w:t>%</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60</w:t>
            </w:r>
          </w:p>
        </w:tc>
        <w:tc>
          <w:tcPr>
            <w:tcW w:w="992"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68</w:t>
            </w:r>
            <w:r w:rsidRPr="000B315F">
              <w:rPr>
                <w:color w:val="000000"/>
              </w:rPr>
              <w:t>%</w:t>
            </w:r>
          </w:p>
        </w:tc>
      </w:tr>
      <w:tr w:rsidR="00476BAA" w:rsidRPr="00C36C8F" w:rsidTr="000B315F">
        <w:tc>
          <w:tcPr>
            <w:tcW w:w="1134" w:type="dxa"/>
          </w:tcPr>
          <w:p w:rsidR="00476BAA" w:rsidRPr="00C36C8F" w:rsidRDefault="00476BAA" w:rsidP="00B24A9A">
            <w:pPr>
              <w:pStyle w:val="TableText"/>
              <w:keepNext/>
              <w:rPr>
                <w:szCs w:val="18"/>
              </w:rPr>
            </w:pPr>
            <w:r w:rsidRPr="00C36C8F">
              <w:rPr>
                <w:szCs w:val="18"/>
              </w:rPr>
              <w:t>WA</w:t>
            </w:r>
          </w:p>
        </w:tc>
        <w:tc>
          <w:tcPr>
            <w:tcW w:w="1132" w:type="dxa"/>
            <w:vAlign w:val="center"/>
          </w:tcPr>
          <w:p w:rsidR="00476BAA" w:rsidRPr="00264430" w:rsidRDefault="00476BAA" w:rsidP="00667800">
            <w:pPr>
              <w:pStyle w:val="TableText"/>
              <w:keepNext/>
              <w:jc w:val="right"/>
              <w:rPr>
                <w:rFonts w:cs="Arial"/>
                <w:szCs w:val="18"/>
              </w:rPr>
            </w:pPr>
            <w:r w:rsidRPr="00264430">
              <w:rPr>
                <w:rFonts w:cs="Arial"/>
                <w:color w:val="000000"/>
                <w:szCs w:val="18"/>
              </w:rPr>
              <w:t xml:space="preserve">   </w:t>
            </w:r>
            <w:r w:rsidRPr="000B315F">
              <w:rPr>
                <w:color w:val="000000"/>
              </w:rPr>
              <w:t xml:space="preserve"> 2,236,901 </w:t>
            </w:r>
          </w:p>
        </w:tc>
        <w:tc>
          <w:tcPr>
            <w:tcW w:w="992" w:type="dxa"/>
            <w:vAlign w:val="center"/>
          </w:tcPr>
          <w:p w:rsidR="00476BAA" w:rsidRPr="00476BAA" w:rsidRDefault="00476BAA" w:rsidP="00667800">
            <w:pPr>
              <w:pStyle w:val="TableText"/>
              <w:keepNext/>
              <w:jc w:val="right"/>
              <w:rPr>
                <w:rFonts w:cs="Arial"/>
                <w:szCs w:val="18"/>
              </w:rPr>
            </w:pPr>
            <w:r w:rsidRPr="000B315F">
              <w:rPr>
                <w:color w:val="000000"/>
              </w:rPr>
              <w:t>2,670</w:t>
            </w:r>
          </w:p>
        </w:tc>
        <w:tc>
          <w:tcPr>
            <w:tcW w:w="1134" w:type="dxa"/>
            <w:vAlign w:val="center"/>
          </w:tcPr>
          <w:p w:rsidR="00476BAA" w:rsidRPr="00476BAA" w:rsidRDefault="00476BAA" w:rsidP="00207438">
            <w:pPr>
              <w:pStyle w:val="TableText"/>
              <w:keepNext/>
              <w:jc w:val="right"/>
              <w:rPr>
                <w:rFonts w:cs="Arial"/>
                <w:szCs w:val="18"/>
              </w:rPr>
            </w:pPr>
            <w:r w:rsidRPr="000B315F">
              <w:rPr>
                <w:color w:val="000000"/>
              </w:rPr>
              <w:t>1,</w:t>
            </w:r>
            <w:r w:rsidRPr="00476BAA">
              <w:rPr>
                <w:rFonts w:cs="Arial"/>
                <w:color w:val="000000"/>
                <w:szCs w:val="18"/>
              </w:rPr>
              <w:t>830</w:t>
            </w:r>
          </w:p>
        </w:tc>
        <w:tc>
          <w:tcPr>
            <w:tcW w:w="995" w:type="dxa"/>
            <w:vAlign w:val="center"/>
          </w:tcPr>
          <w:p w:rsidR="00476BAA" w:rsidRPr="00476BAA" w:rsidRDefault="00476BAA" w:rsidP="00667800">
            <w:pPr>
              <w:pStyle w:val="TableText"/>
              <w:keepNext/>
              <w:jc w:val="right"/>
              <w:rPr>
                <w:rFonts w:cs="Arial"/>
                <w:szCs w:val="18"/>
              </w:rPr>
            </w:pPr>
            <w:r w:rsidRPr="000B315F">
              <w:rPr>
                <w:color w:val="000000"/>
              </w:rPr>
              <w:t>830</w:t>
            </w:r>
          </w:p>
        </w:tc>
        <w:tc>
          <w:tcPr>
            <w:tcW w:w="994" w:type="dxa"/>
            <w:vAlign w:val="center"/>
          </w:tcPr>
          <w:p w:rsidR="00476BAA" w:rsidRPr="00476BAA" w:rsidRDefault="00476BAA" w:rsidP="00667800">
            <w:pPr>
              <w:pStyle w:val="TableText"/>
              <w:keepNext/>
              <w:jc w:val="right"/>
              <w:rPr>
                <w:rFonts w:cs="Arial"/>
                <w:szCs w:val="18"/>
              </w:rPr>
            </w:pPr>
            <w:r w:rsidRPr="000B315F">
              <w:rPr>
                <w:color w:val="000000"/>
              </w:rPr>
              <w:t>31%</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10</w:t>
            </w:r>
          </w:p>
        </w:tc>
        <w:tc>
          <w:tcPr>
            <w:tcW w:w="992" w:type="dxa"/>
            <w:vAlign w:val="center"/>
          </w:tcPr>
          <w:p w:rsidR="00476BAA" w:rsidRPr="00476BAA" w:rsidRDefault="00476BAA" w:rsidP="00667800">
            <w:pPr>
              <w:pStyle w:val="TableText"/>
              <w:keepNext/>
              <w:jc w:val="right"/>
              <w:rPr>
                <w:rFonts w:cs="Arial"/>
                <w:szCs w:val="18"/>
              </w:rPr>
            </w:pPr>
            <w:r w:rsidRPr="000B315F">
              <w:rPr>
                <w:color w:val="000000"/>
              </w:rPr>
              <w:t>32%</w:t>
            </w:r>
          </w:p>
        </w:tc>
      </w:tr>
      <w:tr w:rsidR="00476BAA" w:rsidRPr="00C36C8F" w:rsidTr="000B315F">
        <w:tc>
          <w:tcPr>
            <w:tcW w:w="1134" w:type="dxa"/>
          </w:tcPr>
          <w:p w:rsidR="00476BAA" w:rsidRPr="00C36C8F" w:rsidRDefault="00476BAA" w:rsidP="00B24A9A">
            <w:pPr>
              <w:pStyle w:val="TableText"/>
              <w:keepNext/>
              <w:rPr>
                <w:szCs w:val="18"/>
              </w:rPr>
            </w:pPr>
            <w:r w:rsidRPr="00C36C8F">
              <w:rPr>
                <w:szCs w:val="18"/>
              </w:rPr>
              <w:t>TAS</w:t>
            </w:r>
          </w:p>
        </w:tc>
        <w:tc>
          <w:tcPr>
            <w:tcW w:w="1132" w:type="dxa"/>
            <w:vAlign w:val="center"/>
          </w:tcPr>
          <w:p w:rsidR="00476BAA" w:rsidRPr="00264430" w:rsidRDefault="00476BAA" w:rsidP="00667800">
            <w:pPr>
              <w:pStyle w:val="TableText"/>
              <w:keepNext/>
              <w:jc w:val="right"/>
              <w:rPr>
                <w:rFonts w:cs="Arial"/>
                <w:szCs w:val="18"/>
              </w:rPr>
            </w:pPr>
            <w:r w:rsidRPr="00264430">
              <w:rPr>
                <w:rFonts w:cs="Arial"/>
                <w:color w:val="000000"/>
                <w:szCs w:val="18"/>
              </w:rPr>
              <w:t xml:space="preserve">      </w:t>
            </w:r>
            <w:r w:rsidRPr="000B315F">
              <w:rPr>
                <w:color w:val="000000"/>
              </w:rPr>
              <w:t xml:space="preserve"> 502,627 </w:t>
            </w:r>
          </w:p>
        </w:tc>
        <w:tc>
          <w:tcPr>
            <w:tcW w:w="992" w:type="dxa"/>
            <w:vAlign w:val="center"/>
          </w:tcPr>
          <w:p w:rsidR="00476BAA" w:rsidRPr="00476BAA" w:rsidRDefault="00476BAA" w:rsidP="00667800">
            <w:pPr>
              <w:pStyle w:val="TableText"/>
              <w:keepNext/>
              <w:jc w:val="right"/>
              <w:rPr>
                <w:rFonts w:cs="Arial"/>
                <w:szCs w:val="18"/>
              </w:rPr>
            </w:pPr>
            <w:r w:rsidRPr="000B315F">
              <w:rPr>
                <w:color w:val="000000"/>
              </w:rPr>
              <w:t>1,060</w:t>
            </w:r>
          </w:p>
        </w:tc>
        <w:tc>
          <w:tcPr>
            <w:tcW w:w="1134"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890</w:t>
            </w:r>
          </w:p>
        </w:tc>
        <w:tc>
          <w:tcPr>
            <w:tcW w:w="995"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150</w:t>
            </w:r>
          </w:p>
        </w:tc>
        <w:tc>
          <w:tcPr>
            <w:tcW w:w="994"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15</w:t>
            </w:r>
            <w:r w:rsidRPr="000B315F">
              <w:rPr>
                <w:color w:val="000000"/>
              </w:rPr>
              <w:t>%</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20</w:t>
            </w:r>
          </w:p>
        </w:tc>
        <w:tc>
          <w:tcPr>
            <w:tcW w:w="992"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16</w:t>
            </w:r>
            <w:r w:rsidRPr="000B315F">
              <w:rPr>
                <w:color w:val="000000"/>
              </w:rPr>
              <w:t>%</w:t>
            </w:r>
          </w:p>
        </w:tc>
      </w:tr>
      <w:tr w:rsidR="00476BAA" w:rsidRPr="00C36C8F" w:rsidTr="000B315F">
        <w:tc>
          <w:tcPr>
            <w:tcW w:w="1134" w:type="dxa"/>
          </w:tcPr>
          <w:p w:rsidR="00476BAA" w:rsidRPr="00C36C8F" w:rsidRDefault="00476BAA" w:rsidP="00B24A9A">
            <w:pPr>
              <w:pStyle w:val="TableText"/>
              <w:keepNext/>
              <w:rPr>
                <w:szCs w:val="18"/>
              </w:rPr>
            </w:pPr>
            <w:r w:rsidRPr="00C36C8F">
              <w:rPr>
                <w:szCs w:val="18"/>
              </w:rPr>
              <w:t>ACT</w:t>
            </w:r>
          </w:p>
        </w:tc>
        <w:tc>
          <w:tcPr>
            <w:tcW w:w="1132" w:type="dxa"/>
            <w:vAlign w:val="center"/>
          </w:tcPr>
          <w:p w:rsidR="00476BAA" w:rsidRPr="00264430" w:rsidRDefault="00476BAA" w:rsidP="00667800">
            <w:pPr>
              <w:pStyle w:val="TableText"/>
              <w:keepNext/>
              <w:jc w:val="right"/>
              <w:rPr>
                <w:rFonts w:cs="Arial"/>
                <w:szCs w:val="18"/>
              </w:rPr>
            </w:pPr>
            <w:r w:rsidRPr="00264430">
              <w:rPr>
                <w:rFonts w:cs="Arial"/>
                <w:color w:val="000000"/>
                <w:szCs w:val="18"/>
              </w:rPr>
              <w:t xml:space="preserve">      </w:t>
            </w:r>
            <w:r w:rsidRPr="000B315F">
              <w:rPr>
                <w:color w:val="000000"/>
              </w:rPr>
              <w:t xml:space="preserve"> 351,182 </w:t>
            </w:r>
          </w:p>
        </w:tc>
        <w:tc>
          <w:tcPr>
            <w:tcW w:w="992" w:type="dxa"/>
            <w:vAlign w:val="center"/>
          </w:tcPr>
          <w:p w:rsidR="00476BAA" w:rsidRPr="00476BAA" w:rsidRDefault="00476BAA" w:rsidP="00207438">
            <w:pPr>
              <w:pStyle w:val="TableText"/>
              <w:keepNext/>
              <w:jc w:val="right"/>
              <w:rPr>
                <w:rFonts w:cs="Arial"/>
                <w:szCs w:val="18"/>
              </w:rPr>
            </w:pPr>
            <w:r w:rsidRPr="000B315F">
              <w:rPr>
                <w:color w:val="000000"/>
              </w:rPr>
              <w:t>2,</w:t>
            </w:r>
            <w:r w:rsidRPr="00476BAA">
              <w:rPr>
                <w:rFonts w:cs="Arial"/>
                <w:color w:val="000000"/>
                <w:szCs w:val="18"/>
              </w:rPr>
              <w:t>260</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580</w:t>
            </w:r>
          </w:p>
        </w:tc>
        <w:tc>
          <w:tcPr>
            <w:tcW w:w="995" w:type="dxa"/>
            <w:vAlign w:val="center"/>
          </w:tcPr>
          <w:p w:rsidR="00476BAA" w:rsidRPr="00476BAA" w:rsidRDefault="00476BAA" w:rsidP="00207438">
            <w:pPr>
              <w:pStyle w:val="TableText"/>
              <w:keepNext/>
              <w:jc w:val="right"/>
              <w:rPr>
                <w:rFonts w:cs="Arial"/>
                <w:szCs w:val="18"/>
              </w:rPr>
            </w:pPr>
            <w:r w:rsidRPr="000B315F">
              <w:rPr>
                <w:color w:val="000000"/>
              </w:rPr>
              <w:t>1,</w:t>
            </w:r>
            <w:r w:rsidRPr="00476BAA">
              <w:rPr>
                <w:rFonts w:cs="Arial"/>
                <w:color w:val="000000"/>
                <w:szCs w:val="18"/>
              </w:rPr>
              <w:t>650</w:t>
            </w:r>
          </w:p>
        </w:tc>
        <w:tc>
          <w:tcPr>
            <w:tcW w:w="994" w:type="dxa"/>
            <w:vAlign w:val="center"/>
          </w:tcPr>
          <w:p w:rsidR="00476BAA" w:rsidRPr="00476BAA" w:rsidRDefault="00476BAA" w:rsidP="009964D2">
            <w:pPr>
              <w:pStyle w:val="TableText"/>
              <w:keepNext/>
              <w:jc w:val="right"/>
              <w:rPr>
                <w:rFonts w:cs="Arial"/>
                <w:szCs w:val="18"/>
              </w:rPr>
            </w:pPr>
            <w:r w:rsidRPr="00476BAA">
              <w:rPr>
                <w:rFonts w:cs="Arial"/>
                <w:color w:val="000000"/>
                <w:szCs w:val="18"/>
              </w:rPr>
              <w:t>74</w:t>
            </w:r>
            <w:r w:rsidRPr="000B315F">
              <w:rPr>
                <w:color w:val="000000"/>
              </w:rPr>
              <w:t>%</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30</w:t>
            </w:r>
          </w:p>
        </w:tc>
        <w:tc>
          <w:tcPr>
            <w:tcW w:w="992" w:type="dxa"/>
            <w:vAlign w:val="center"/>
          </w:tcPr>
          <w:p w:rsidR="00476BAA" w:rsidRPr="00476BAA" w:rsidRDefault="00476BAA" w:rsidP="00667800">
            <w:pPr>
              <w:pStyle w:val="TableText"/>
              <w:keepNext/>
              <w:jc w:val="right"/>
              <w:rPr>
                <w:rFonts w:cs="Arial"/>
                <w:szCs w:val="18"/>
              </w:rPr>
            </w:pPr>
            <w:r w:rsidRPr="00476BAA">
              <w:rPr>
                <w:rFonts w:cs="Arial"/>
                <w:color w:val="000000"/>
                <w:szCs w:val="18"/>
              </w:rPr>
              <w:t>74</w:t>
            </w:r>
            <w:r w:rsidRPr="000B315F">
              <w:rPr>
                <w:color w:val="000000"/>
              </w:rPr>
              <w:t>%</w:t>
            </w:r>
          </w:p>
        </w:tc>
      </w:tr>
      <w:tr w:rsidR="00476BAA" w:rsidRPr="00C36C8F" w:rsidTr="000B315F">
        <w:tc>
          <w:tcPr>
            <w:tcW w:w="1134" w:type="dxa"/>
          </w:tcPr>
          <w:p w:rsidR="00476BAA" w:rsidRPr="00C36C8F" w:rsidRDefault="00476BAA" w:rsidP="00B24A9A">
            <w:pPr>
              <w:pStyle w:val="TableText"/>
              <w:keepNext/>
              <w:rPr>
                <w:szCs w:val="18"/>
              </w:rPr>
            </w:pPr>
            <w:r w:rsidRPr="00C36C8F">
              <w:rPr>
                <w:szCs w:val="18"/>
              </w:rPr>
              <w:t>NT</w:t>
            </w:r>
          </w:p>
        </w:tc>
        <w:tc>
          <w:tcPr>
            <w:tcW w:w="1132" w:type="dxa"/>
            <w:vAlign w:val="center"/>
          </w:tcPr>
          <w:p w:rsidR="00476BAA" w:rsidRPr="00264430" w:rsidRDefault="00476BAA" w:rsidP="00667800">
            <w:pPr>
              <w:pStyle w:val="TableText"/>
              <w:keepNext/>
              <w:jc w:val="right"/>
              <w:rPr>
                <w:rFonts w:cs="Arial"/>
                <w:szCs w:val="18"/>
              </w:rPr>
            </w:pPr>
            <w:r w:rsidRPr="00264430">
              <w:rPr>
                <w:rFonts w:cs="Arial"/>
                <w:color w:val="000000"/>
                <w:szCs w:val="18"/>
              </w:rPr>
              <w:t xml:space="preserve">      </w:t>
            </w:r>
            <w:r w:rsidRPr="000B315F">
              <w:rPr>
                <w:color w:val="000000"/>
              </w:rPr>
              <w:t xml:space="preserve"> 224,848 </w:t>
            </w:r>
          </w:p>
        </w:tc>
        <w:tc>
          <w:tcPr>
            <w:tcW w:w="992" w:type="dxa"/>
            <w:vAlign w:val="center"/>
          </w:tcPr>
          <w:p w:rsidR="00476BAA" w:rsidRPr="00476BAA" w:rsidRDefault="00476BAA" w:rsidP="00667800">
            <w:pPr>
              <w:pStyle w:val="TableText"/>
              <w:keepNext/>
              <w:jc w:val="right"/>
              <w:rPr>
                <w:rFonts w:cs="Arial"/>
                <w:szCs w:val="18"/>
              </w:rPr>
            </w:pPr>
            <w:r w:rsidRPr="000B315F">
              <w:rPr>
                <w:color w:val="000000"/>
              </w:rPr>
              <w:t>1,690</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1,610</w:t>
            </w:r>
          </w:p>
        </w:tc>
        <w:tc>
          <w:tcPr>
            <w:tcW w:w="995" w:type="dxa"/>
            <w:vAlign w:val="center"/>
          </w:tcPr>
          <w:p w:rsidR="00476BAA" w:rsidRPr="00476BAA" w:rsidRDefault="00476BAA" w:rsidP="00667800">
            <w:pPr>
              <w:pStyle w:val="TableText"/>
              <w:keepNext/>
              <w:jc w:val="right"/>
              <w:rPr>
                <w:rFonts w:cs="Arial"/>
                <w:szCs w:val="18"/>
              </w:rPr>
            </w:pPr>
            <w:r w:rsidRPr="000B315F">
              <w:rPr>
                <w:color w:val="000000"/>
              </w:rPr>
              <w:t>70</w:t>
            </w:r>
          </w:p>
        </w:tc>
        <w:tc>
          <w:tcPr>
            <w:tcW w:w="994" w:type="dxa"/>
            <w:vAlign w:val="center"/>
          </w:tcPr>
          <w:p w:rsidR="00476BAA" w:rsidRPr="00476BAA" w:rsidRDefault="00476BAA" w:rsidP="00667800">
            <w:pPr>
              <w:pStyle w:val="TableText"/>
              <w:keepNext/>
              <w:jc w:val="right"/>
              <w:rPr>
                <w:rFonts w:cs="Arial"/>
                <w:szCs w:val="18"/>
              </w:rPr>
            </w:pPr>
            <w:r w:rsidRPr="000B315F">
              <w:rPr>
                <w:color w:val="000000"/>
              </w:rPr>
              <w:t>4%</w:t>
            </w:r>
          </w:p>
        </w:tc>
        <w:tc>
          <w:tcPr>
            <w:tcW w:w="1134" w:type="dxa"/>
            <w:vAlign w:val="center"/>
          </w:tcPr>
          <w:p w:rsidR="00476BAA" w:rsidRPr="00476BAA" w:rsidRDefault="00476BAA" w:rsidP="00667800">
            <w:pPr>
              <w:pStyle w:val="TableText"/>
              <w:keepNext/>
              <w:jc w:val="right"/>
              <w:rPr>
                <w:rFonts w:cs="Arial"/>
                <w:szCs w:val="18"/>
              </w:rPr>
            </w:pPr>
            <w:r w:rsidRPr="000B315F">
              <w:rPr>
                <w:color w:val="000000"/>
              </w:rPr>
              <w:t>10</w:t>
            </w:r>
          </w:p>
        </w:tc>
        <w:tc>
          <w:tcPr>
            <w:tcW w:w="992" w:type="dxa"/>
            <w:vAlign w:val="center"/>
          </w:tcPr>
          <w:p w:rsidR="00476BAA" w:rsidRPr="00476BAA" w:rsidRDefault="00476BAA" w:rsidP="00667800">
            <w:pPr>
              <w:pStyle w:val="TableText"/>
              <w:keepNext/>
              <w:jc w:val="right"/>
              <w:rPr>
                <w:rFonts w:cs="Arial"/>
                <w:szCs w:val="18"/>
              </w:rPr>
            </w:pPr>
            <w:r w:rsidRPr="000B315F">
              <w:rPr>
                <w:color w:val="000000"/>
              </w:rPr>
              <w:t>5%</w:t>
            </w:r>
          </w:p>
        </w:tc>
      </w:tr>
      <w:tr w:rsidR="00476BAA" w:rsidRPr="00C36C8F" w:rsidTr="000B315F">
        <w:trPr>
          <w:trHeight w:val="401"/>
        </w:trPr>
        <w:tc>
          <w:tcPr>
            <w:tcW w:w="1134" w:type="dxa"/>
          </w:tcPr>
          <w:p w:rsidR="00476BAA" w:rsidRPr="00C36C8F" w:rsidRDefault="00476BAA" w:rsidP="00B24A9A">
            <w:pPr>
              <w:pStyle w:val="TableText"/>
              <w:keepNext/>
              <w:rPr>
                <w:b/>
                <w:szCs w:val="18"/>
              </w:rPr>
            </w:pPr>
            <w:r w:rsidRPr="00C36C8F">
              <w:rPr>
                <w:b/>
                <w:szCs w:val="18"/>
              </w:rPr>
              <w:t>National</w:t>
            </w:r>
          </w:p>
        </w:tc>
        <w:tc>
          <w:tcPr>
            <w:tcW w:w="1132" w:type="dxa"/>
            <w:vAlign w:val="center"/>
          </w:tcPr>
          <w:p w:rsidR="00476BAA" w:rsidRPr="00264430" w:rsidRDefault="00476BAA" w:rsidP="00882839">
            <w:pPr>
              <w:pStyle w:val="TableText"/>
              <w:keepNext/>
              <w:jc w:val="right"/>
              <w:rPr>
                <w:rFonts w:cs="Arial"/>
                <w:b/>
                <w:szCs w:val="18"/>
              </w:rPr>
            </w:pPr>
            <w:r w:rsidRPr="00264430">
              <w:rPr>
                <w:rFonts w:cs="Arial"/>
                <w:color w:val="000000"/>
                <w:szCs w:val="18"/>
              </w:rPr>
              <w:t xml:space="preserve"> </w:t>
            </w:r>
            <w:r w:rsidRPr="000B315F">
              <w:rPr>
                <w:color w:val="000000"/>
              </w:rPr>
              <w:t xml:space="preserve"> 21,872,488 </w:t>
            </w:r>
          </w:p>
        </w:tc>
        <w:tc>
          <w:tcPr>
            <w:tcW w:w="992" w:type="dxa"/>
            <w:vAlign w:val="center"/>
          </w:tcPr>
          <w:p w:rsidR="00476BAA" w:rsidRPr="00476BAA" w:rsidRDefault="00476BAA" w:rsidP="00667800">
            <w:pPr>
              <w:pStyle w:val="TableText"/>
              <w:keepNext/>
              <w:jc w:val="right"/>
              <w:rPr>
                <w:rFonts w:cs="Arial"/>
                <w:b/>
                <w:szCs w:val="18"/>
              </w:rPr>
            </w:pPr>
            <w:r w:rsidRPr="000B315F">
              <w:rPr>
                <w:color w:val="000000"/>
              </w:rPr>
              <w:t>2,140</w:t>
            </w:r>
          </w:p>
        </w:tc>
        <w:tc>
          <w:tcPr>
            <w:tcW w:w="1134" w:type="dxa"/>
            <w:vAlign w:val="center"/>
          </w:tcPr>
          <w:p w:rsidR="00476BAA" w:rsidRPr="00476BAA" w:rsidRDefault="00476BAA" w:rsidP="00FC3890">
            <w:pPr>
              <w:pStyle w:val="TableText"/>
              <w:keepNext/>
              <w:jc w:val="right"/>
              <w:rPr>
                <w:rFonts w:cs="Arial"/>
                <w:b/>
                <w:szCs w:val="18"/>
              </w:rPr>
            </w:pPr>
            <w:r w:rsidRPr="000B315F">
              <w:rPr>
                <w:color w:val="000000"/>
              </w:rPr>
              <w:t>1,030</w:t>
            </w:r>
          </w:p>
        </w:tc>
        <w:tc>
          <w:tcPr>
            <w:tcW w:w="995" w:type="dxa"/>
            <w:vAlign w:val="center"/>
          </w:tcPr>
          <w:p w:rsidR="00476BAA" w:rsidRPr="00476BAA" w:rsidRDefault="00476BAA" w:rsidP="00207438">
            <w:pPr>
              <w:pStyle w:val="TableText"/>
              <w:keepNext/>
              <w:jc w:val="right"/>
              <w:rPr>
                <w:rFonts w:cs="Arial"/>
                <w:b/>
                <w:szCs w:val="18"/>
              </w:rPr>
            </w:pPr>
            <w:r w:rsidRPr="000B315F">
              <w:rPr>
                <w:color w:val="000000"/>
              </w:rPr>
              <w:t>1,</w:t>
            </w:r>
            <w:r w:rsidRPr="00476BAA">
              <w:rPr>
                <w:rFonts w:cs="Arial"/>
                <w:color w:val="000000"/>
                <w:szCs w:val="18"/>
              </w:rPr>
              <w:t>090</w:t>
            </w:r>
          </w:p>
        </w:tc>
        <w:tc>
          <w:tcPr>
            <w:tcW w:w="994" w:type="dxa"/>
            <w:vAlign w:val="center"/>
          </w:tcPr>
          <w:p w:rsidR="00476BAA" w:rsidRPr="00476BAA" w:rsidRDefault="00476BAA" w:rsidP="00667800">
            <w:pPr>
              <w:pStyle w:val="TableText"/>
              <w:keepNext/>
              <w:jc w:val="right"/>
              <w:rPr>
                <w:rFonts w:cs="Arial"/>
                <w:b/>
                <w:szCs w:val="18"/>
              </w:rPr>
            </w:pPr>
            <w:r w:rsidRPr="00476BAA">
              <w:rPr>
                <w:rFonts w:cs="Arial"/>
                <w:color w:val="000000"/>
                <w:szCs w:val="18"/>
              </w:rPr>
              <w:t>51</w:t>
            </w:r>
            <w:r w:rsidRPr="000B315F">
              <w:rPr>
                <w:color w:val="000000"/>
              </w:rPr>
              <w:t>%</w:t>
            </w:r>
          </w:p>
        </w:tc>
        <w:tc>
          <w:tcPr>
            <w:tcW w:w="1134" w:type="dxa"/>
            <w:vAlign w:val="center"/>
          </w:tcPr>
          <w:p w:rsidR="00476BAA" w:rsidRPr="00476BAA" w:rsidRDefault="00476BAA" w:rsidP="00667800">
            <w:pPr>
              <w:pStyle w:val="TableText"/>
              <w:keepNext/>
              <w:jc w:val="right"/>
              <w:rPr>
                <w:rFonts w:cs="Arial"/>
                <w:b/>
                <w:szCs w:val="18"/>
              </w:rPr>
            </w:pPr>
            <w:r w:rsidRPr="000B315F">
              <w:rPr>
                <w:color w:val="000000"/>
              </w:rPr>
              <w:t>20</w:t>
            </w:r>
          </w:p>
        </w:tc>
        <w:tc>
          <w:tcPr>
            <w:tcW w:w="992" w:type="dxa"/>
            <w:vAlign w:val="center"/>
          </w:tcPr>
          <w:p w:rsidR="00476BAA" w:rsidRPr="00476BAA" w:rsidRDefault="00476BAA" w:rsidP="00667800">
            <w:pPr>
              <w:pStyle w:val="TableText"/>
              <w:keepNext/>
              <w:jc w:val="right"/>
              <w:rPr>
                <w:rFonts w:cs="Arial"/>
                <w:b/>
                <w:szCs w:val="18"/>
              </w:rPr>
            </w:pPr>
            <w:r w:rsidRPr="000B315F">
              <w:rPr>
                <w:color w:val="000000"/>
              </w:rPr>
              <w:t>52%</w:t>
            </w:r>
          </w:p>
        </w:tc>
      </w:tr>
      <w:tr w:rsidR="00D03C67" w:rsidRPr="00C36C8F" w:rsidTr="00A53257">
        <w:tc>
          <w:tcPr>
            <w:tcW w:w="8507" w:type="dxa"/>
            <w:gridSpan w:val="8"/>
            <w:tcBorders>
              <w:top w:val="single" w:sz="4" w:space="0" w:color="7F7F7F" w:themeColor="text1" w:themeTint="80"/>
              <w:bottom w:val="single" w:sz="4" w:space="0" w:color="7F7F7F" w:themeColor="text1" w:themeTint="80"/>
            </w:tcBorders>
            <w:shd w:val="clear" w:color="auto" w:fill="auto"/>
          </w:tcPr>
          <w:p w:rsidR="004A11A9" w:rsidRPr="00C36C8F" w:rsidRDefault="004A11A9" w:rsidP="004A11A9">
            <w:pPr>
              <w:pStyle w:val="TableText"/>
              <w:spacing w:line="240" w:lineRule="auto"/>
              <w:rPr>
                <w:sz w:val="16"/>
                <w:szCs w:val="16"/>
              </w:rPr>
            </w:pPr>
            <w:r w:rsidRPr="00C36C8F">
              <w:rPr>
                <w:sz w:val="16"/>
                <w:szCs w:val="16"/>
              </w:rPr>
              <w:t xml:space="preserve">1. Population as at 30 June 2009, sourced from: </w:t>
            </w:r>
            <w:r w:rsidRPr="000B315F">
              <w:rPr>
                <w:i/>
                <w:sz w:val="16"/>
              </w:rPr>
              <w:t>ABS Release 3101-04 - Estimated Resident Population, States and Territories</w:t>
            </w:r>
            <w:r w:rsidRPr="00C36C8F">
              <w:rPr>
                <w:sz w:val="16"/>
                <w:szCs w:val="16"/>
              </w:rPr>
              <w:t xml:space="preserve"> (Number) (June 2009), Australia.</w:t>
            </w:r>
          </w:p>
          <w:p w:rsidR="00FB5641" w:rsidRPr="00C36C8F" w:rsidRDefault="004A11A9" w:rsidP="004A11A9">
            <w:pPr>
              <w:pStyle w:val="TableText"/>
              <w:spacing w:line="240" w:lineRule="auto"/>
              <w:rPr>
                <w:sz w:val="16"/>
                <w:szCs w:val="16"/>
              </w:rPr>
            </w:pPr>
            <w:r w:rsidRPr="00C36C8F">
              <w:rPr>
                <w:sz w:val="16"/>
                <w:szCs w:val="16"/>
              </w:rPr>
              <w:t xml:space="preserve">2. </w:t>
            </w:r>
            <w:r w:rsidR="003E201B" w:rsidRPr="00C36C8F">
              <w:rPr>
                <w:sz w:val="16"/>
                <w:szCs w:val="16"/>
              </w:rPr>
              <w:t>Assume waste generation = waste disposal(t) + waste recycling (t)+waste energy recovery(t)</w:t>
            </w:r>
            <w:r w:rsidR="00023E17" w:rsidRPr="00C36C8F">
              <w:rPr>
                <w:sz w:val="16"/>
                <w:szCs w:val="16"/>
              </w:rPr>
              <w:t>.</w:t>
            </w:r>
          </w:p>
          <w:p w:rsidR="003E201B" w:rsidRPr="00C36C8F" w:rsidRDefault="003E201B" w:rsidP="004A11A9">
            <w:pPr>
              <w:pStyle w:val="TableText"/>
              <w:spacing w:line="240" w:lineRule="auto"/>
              <w:rPr>
                <w:sz w:val="16"/>
                <w:szCs w:val="16"/>
              </w:rPr>
            </w:pPr>
            <w:r w:rsidRPr="00C36C8F">
              <w:rPr>
                <w:sz w:val="16"/>
                <w:szCs w:val="16"/>
              </w:rPr>
              <w:t xml:space="preserve">3. </w:t>
            </w:r>
            <w:r w:rsidR="00F92AE5" w:rsidRPr="00C36C8F">
              <w:rPr>
                <w:sz w:val="16"/>
                <w:szCs w:val="16"/>
              </w:rPr>
              <w:t>Recycling rate = Recycling / waste generation.</w:t>
            </w:r>
          </w:p>
          <w:p w:rsidR="00F92AE5" w:rsidRPr="00C36C8F" w:rsidRDefault="00F92AE5" w:rsidP="004A11A9">
            <w:pPr>
              <w:pStyle w:val="TableText"/>
              <w:spacing w:line="240" w:lineRule="auto"/>
              <w:rPr>
                <w:sz w:val="16"/>
                <w:szCs w:val="16"/>
              </w:rPr>
            </w:pPr>
            <w:r w:rsidRPr="00C36C8F">
              <w:rPr>
                <w:sz w:val="16"/>
                <w:szCs w:val="16"/>
              </w:rPr>
              <w:t>4. Recovery rate = (Recycling + Energy Recovery) / Waste generation.</w:t>
            </w:r>
          </w:p>
          <w:p w:rsidR="002E6F78" w:rsidRPr="00C36C8F" w:rsidRDefault="002E6F78" w:rsidP="004A11A9">
            <w:pPr>
              <w:pStyle w:val="TableText"/>
              <w:spacing w:line="240" w:lineRule="auto"/>
              <w:rPr>
                <w:sz w:val="16"/>
                <w:szCs w:val="16"/>
              </w:rPr>
            </w:pPr>
          </w:p>
          <w:p w:rsidR="002E6F78" w:rsidRPr="00C36C8F" w:rsidRDefault="002E6F78" w:rsidP="004A11A9">
            <w:pPr>
              <w:pStyle w:val="TableText"/>
              <w:spacing w:line="240" w:lineRule="auto"/>
              <w:rPr>
                <w:sz w:val="16"/>
                <w:szCs w:val="16"/>
              </w:rPr>
            </w:pPr>
            <w:r w:rsidRPr="00C36C8F">
              <w:rPr>
                <w:sz w:val="16"/>
                <w:szCs w:val="16"/>
              </w:rPr>
              <w:t>Notes:</w:t>
            </w:r>
          </w:p>
          <w:p w:rsidR="00416F0B" w:rsidRPr="00C36C8F" w:rsidRDefault="004A11A9" w:rsidP="004B50A2">
            <w:pPr>
              <w:pStyle w:val="TableText"/>
              <w:numPr>
                <w:ilvl w:val="0"/>
                <w:numId w:val="29"/>
              </w:numPr>
              <w:spacing w:line="240" w:lineRule="auto"/>
              <w:rPr>
                <w:sz w:val="16"/>
                <w:szCs w:val="16"/>
              </w:rPr>
            </w:pPr>
            <w:r w:rsidRPr="00C36C8F">
              <w:rPr>
                <w:sz w:val="16"/>
                <w:szCs w:val="16"/>
              </w:rPr>
              <w:t xml:space="preserve">These national averages </w:t>
            </w:r>
            <w:r w:rsidR="004811C3" w:rsidRPr="00C36C8F">
              <w:rPr>
                <w:sz w:val="16"/>
                <w:szCs w:val="16"/>
              </w:rPr>
              <w:t xml:space="preserve">present jurisdiction ‘sub-totals’ and hence </w:t>
            </w:r>
            <w:r w:rsidRPr="00C36C8F">
              <w:rPr>
                <w:sz w:val="16"/>
                <w:szCs w:val="16"/>
              </w:rPr>
              <w:t>do not include fly ash.</w:t>
            </w:r>
          </w:p>
          <w:p w:rsidR="00416F0B" w:rsidRPr="00C36C8F" w:rsidRDefault="004A11A9" w:rsidP="004B50A2">
            <w:pPr>
              <w:pStyle w:val="TableText"/>
              <w:numPr>
                <w:ilvl w:val="0"/>
                <w:numId w:val="29"/>
              </w:numPr>
              <w:spacing w:line="240" w:lineRule="auto"/>
              <w:rPr>
                <w:sz w:val="16"/>
                <w:szCs w:val="16"/>
              </w:rPr>
            </w:pPr>
            <w:r w:rsidRPr="00C36C8F">
              <w:rPr>
                <w:sz w:val="16"/>
                <w:szCs w:val="16"/>
              </w:rPr>
              <w:t>All figures have been rounded. Minor discrepancies may occur between the stated totals and the sums of the component items, as totals are calculated using the component item values prior to rounding.</w:t>
            </w:r>
          </w:p>
        </w:tc>
      </w:tr>
    </w:tbl>
    <w:p w:rsidR="007A165F" w:rsidRPr="00C36C8F" w:rsidRDefault="007A165F">
      <w:pPr>
        <w:spacing w:after="0" w:line="240" w:lineRule="auto"/>
        <w:ind w:left="0"/>
      </w:pPr>
      <w:bookmarkStart w:id="20" w:name="_Ref297559788"/>
      <w:r w:rsidRPr="00C36C8F">
        <w:br w:type="page"/>
      </w:r>
    </w:p>
    <w:p w:rsidR="00BA74FA" w:rsidRPr="00C36C8F" w:rsidRDefault="00BA74FA" w:rsidP="00BA74FA">
      <w:pPr>
        <w:pStyle w:val="Caption"/>
      </w:pPr>
      <w:bookmarkStart w:id="21" w:name="_Ref302033420"/>
      <w:bookmarkStart w:id="22" w:name="OLE_LINK7"/>
      <w:r w:rsidRPr="00C36C8F">
        <w:t xml:space="preserve">Table </w:t>
      </w:r>
      <w:r w:rsidR="007C06CF" w:rsidRPr="00C36C8F">
        <w:t>E</w:t>
      </w:r>
      <w:r w:rsidRPr="00C36C8F">
        <w:t>-</w:t>
      </w:r>
      <w:r w:rsidR="00B9555F" w:rsidRPr="00C36C8F">
        <w:fldChar w:fldCharType="begin"/>
      </w:r>
      <w:r w:rsidR="00560E08" w:rsidRPr="00C36C8F">
        <w:instrText xml:space="preserve"> SEQ Table \* Arabic </w:instrText>
      </w:r>
      <w:r w:rsidR="00B9555F" w:rsidRPr="00C36C8F">
        <w:fldChar w:fldCharType="separate"/>
      </w:r>
      <w:r w:rsidR="00AE7E3B">
        <w:rPr>
          <w:noProof/>
        </w:rPr>
        <w:t>2</w:t>
      </w:r>
      <w:r w:rsidR="00B9555F" w:rsidRPr="00C36C8F">
        <w:fldChar w:fldCharType="end"/>
      </w:r>
      <w:bookmarkEnd w:id="20"/>
      <w:bookmarkEnd w:id="21"/>
      <w:r w:rsidRPr="00C36C8F">
        <w:tab/>
      </w:r>
      <w:r w:rsidR="0085644E" w:rsidRPr="00C36C8F">
        <w:t xml:space="preserve">Estimated net landfill emissions and total </w:t>
      </w:r>
      <w:r w:rsidR="00FB5641" w:rsidRPr="00C36C8F">
        <w:t xml:space="preserve">gross </w:t>
      </w:r>
      <w:r w:rsidR="0085644E" w:rsidRPr="00C36C8F">
        <w:t>embodied energy to landfill,</w:t>
      </w:r>
      <w:r w:rsidR="00FB1F2A" w:rsidRPr="00C36C8F">
        <w:t xml:space="preserve"> 2008</w:t>
      </w:r>
      <w:r w:rsidR="00227018" w:rsidRPr="00C36C8F">
        <w:t>–</w:t>
      </w:r>
      <w:r w:rsidR="00FB1F2A" w:rsidRPr="00C36C8F">
        <w:t>09</w:t>
      </w:r>
      <w:r w:rsidR="00F7594D" w:rsidRPr="00C36C8F">
        <w:rPr>
          <w:rStyle w:val="FootnoteReference"/>
        </w:rPr>
        <w:footnoteReference w:id="2"/>
      </w:r>
      <w:r w:rsidRPr="00C36C8F">
        <w:t xml:space="preserve"> </w:t>
      </w:r>
    </w:p>
    <w:tbl>
      <w:tblPr>
        <w:tblW w:w="8647" w:type="dxa"/>
        <w:tblInd w:w="1134" w:type="dxa"/>
        <w:tblBorders>
          <w:bottom w:val="single" w:sz="18" w:space="0" w:color="808080"/>
          <w:insideH w:val="single" w:sz="4" w:space="0" w:color="808080"/>
        </w:tblBorders>
        <w:tblLayout w:type="fixed"/>
        <w:tblCellMar>
          <w:left w:w="0" w:type="dxa"/>
          <w:right w:w="0" w:type="dxa"/>
        </w:tblCellMar>
        <w:tblLook w:val="01E0"/>
      </w:tblPr>
      <w:tblGrid>
        <w:gridCol w:w="1843"/>
        <w:gridCol w:w="756"/>
        <w:gridCol w:w="756"/>
        <w:gridCol w:w="756"/>
        <w:gridCol w:w="756"/>
        <w:gridCol w:w="756"/>
        <w:gridCol w:w="756"/>
        <w:gridCol w:w="756"/>
        <w:gridCol w:w="756"/>
        <w:gridCol w:w="756"/>
      </w:tblGrid>
      <w:tr w:rsidR="00BA74FA" w:rsidRPr="00C36C8F" w:rsidTr="008B7924">
        <w:tc>
          <w:tcPr>
            <w:tcW w:w="1843" w:type="dxa"/>
            <w:tcBorders>
              <w:bottom w:val="single" w:sz="4" w:space="0" w:color="808080"/>
            </w:tcBorders>
            <w:shd w:val="clear" w:color="auto" w:fill="auto"/>
          </w:tcPr>
          <w:p w:rsidR="00BA74FA" w:rsidRPr="00C36C8F" w:rsidRDefault="00E27D8E" w:rsidP="00E27D8E">
            <w:pPr>
              <w:pStyle w:val="TableHeading"/>
              <w:ind w:left="133"/>
              <w:jc w:val="center"/>
              <w:rPr>
                <w:szCs w:val="18"/>
              </w:rPr>
            </w:pPr>
            <w:r w:rsidRPr="00C36C8F">
              <w:rPr>
                <w:szCs w:val="18"/>
              </w:rPr>
              <w:t>Environmental impact</w:t>
            </w:r>
          </w:p>
        </w:tc>
        <w:tc>
          <w:tcPr>
            <w:tcW w:w="756" w:type="dxa"/>
            <w:tcBorders>
              <w:bottom w:val="single" w:sz="4" w:space="0" w:color="808080"/>
            </w:tcBorders>
            <w:shd w:val="clear" w:color="auto" w:fill="auto"/>
          </w:tcPr>
          <w:p w:rsidR="00BA74FA" w:rsidRPr="00C36C8F" w:rsidRDefault="00BA74FA" w:rsidP="00E27D8E">
            <w:pPr>
              <w:pStyle w:val="TableHeading"/>
              <w:ind w:left="133"/>
              <w:jc w:val="center"/>
              <w:rPr>
                <w:bCs/>
                <w:szCs w:val="18"/>
              </w:rPr>
            </w:pPr>
            <w:r w:rsidRPr="00C36C8F">
              <w:rPr>
                <w:bCs/>
                <w:szCs w:val="18"/>
              </w:rPr>
              <w:t>NSW</w:t>
            </w:r>
          </w:p>
        </w:tc>
        <w:tc>
          <w:tcPr>
            <w:tcW w:w="756" w:type="dxa"/>
            <w:tcBorders>
              <w:bottom w:val="single" w:sz="4" w:space="0" w:color="808080"/>
            </w:tcBorders>
            <w:shd w:val="clear" w:color="auto" w:fill="auto"/>
          </w:tcPr>
          <w:p w:rsidR="00BA74FA" w:rsidRPr="00C36C8F" w:rsidRDefault="008B7924" w:rsidP="00E27D8E">
            <w:pPr>
              <w:pStyle w:val="TableHeading"/>
              <w:ind w:left="133"/>
              <w:jc w:val="center"/>
              <w:rPr>
                <w:bCs/>
                <w:szCs w:val="18"/>
              </w:rPr>
            </w:pPr>
            <w:r w:rsidRPr="00C36C8F">
              <w:rPr>
                <w:bCs/>
                <w:szCs w:val="18"/>
              </w:rPr>
              <w:t>Vic</w:t>
            </w:r>
          </w:p>
        </w:tc>
        <w:tc>
          <w:tcPr>
            <w:tcW w:w="756" w:type="dxa"/>
            <w:tcBorders>
              <w:bottom w:val="single" w:sz="4" w:space="0" w:color="808080"/>
            </w:tcBorders>
            <w:shd w:val="clear" w:color="auto" w:fill="auto"/>
          </w:tcPr>
          <w:p w:rsidR="00BA74FA" w:rsidRPr="00C36C8F" w:rsidRDefault="008B7924" w:rsidP="00E27D8E">
            <w:pPr>
              <w:pStyle w:val="TableHeading"/>
              <w:ind w:left="133"/>
              <w:jc w:val="center"/>
              <w:rPr>
                <w:bCs/>
                <w:szCs w:val="18"/>
              </w:rPr>
            </w:pPr>
            <w:r w:rsidRPr="00C36C8F">
              <w:rPr>
                <w:bCs/>
                <w:szCs w:val="18"/>
              </w:rPr>
              <w:t>Qld</w:t>
            </w:r>
          </w:p>
        </w:tc>
        <w:tc>
          <w:tcPr>
            <w:tcW w:w="756" w:type="dxa"/>
            <w:tcBorders>
              <w:bottom w:val="single" w:sz="4" w:space="0" w:color="808080"/>
            </w:tcBorders>
            <w:shd w:val="clear" w:color="auto" w:fill="auto"/>
          </w:tcPr>
          <w:p w:rsidR="00BA74FA" w:rsidRPr="00C36C8F" w:rsidRDefault="00BA74FA" w:rsidP="00E27D8E">
            <w:pPr>
              <w:pStyle w:val="TableHeading"/>
              <w:ind w:left="133"/>
              <w:jc w:val="center"/>
              <w:rPr>
                <w:bCs/>
                <w:szCs w:val="18"/>
              </w:rPr>
            </w:pPr>
            <w:r w:rsidRPr="00C36C8F">
              <w:rPr>
                <w:bCs/>
                <w:szCs w:val="18"/>
              </w:rPr>
              <w:t>SA</w:t>
            </w:r>
          </w:p>
        </w:tc>
        <w:tc>
          <w:tcPr>
            <w:tcW w:w="756" w:type="dxa"/>
            <w:tcBorders>
              <w:bottom w:val="single" w:sz="4" w:space="0" w:color="808080"/>
            </w:tcBorders>
            <w:shd w:val="clear" w:color="auto" w:fill="auto"/>
          </w:tcPr>
          <w:p w:rsidR="00BA74FA" w:rsidRPr="00C36C8F" w:rsidRDefault="00BA74FA" w:rsidP="00E27D8E">
            <w:pPr>
              <w:pStyle w:val="TableHeading"/>
              <w:ind w:left="133"/>
              <w:jc w:val="center"/>
              <w:rPr>
                <w:bCs/>
                <w:szCs w:val="18"/>
              </w:rPr>
            </w:pPr>
            <w:r w:rsidRPr="00C36C8F">
              <w:rPr>
                <w:bCs/>
                <w:szCs w:val="18"/>
              </w:rPr>
              <w:t>WA</w:t>
            </w:r>
          </w:p>
        </w:tc>
        <w:tc>
          <w:tcPr>
            <w:tcW w:w="756" w:type="dxa"/>
            <w:tcBorders>
              <w:bottom w:val="single" w:sz="4" w:space="0" w:color="808080"/>
            </w:tcBorders>
            <w:shd w:val="clear" w:color="auto" w:fill="auto"/>
          </w:tcPr>
          <w:p w:rsidR="00BA74FA" w:rsidRPr="00C36C8F" w:rsidRDefault="008B7924" w:rsidP="00E27D8E">
            <w:pPr>
              <w:pStyle w:val="TableHeading"/>
              <w:ind w:left="133"/>
              <w:jc w:val="center"/>
              <w:rPr>
                <w:bCs/>
                <w:szCs w:val="18"/>
              </w:rPr>
            </w:pPr>
            <w:r w:rsidRPr="00C36C8F">
              <w:rPr>
                <w:bCs/>
                <w:szCs w:val="18"/>
              </w:rPr>
              <w:t>Tas</w:t>
            </w:r>
          </w:p>
        </w:tc>
        <w:tc>
          <w:tcPr>
            <w:tcW w:w="756" w:type="dxa"/>
            <w:tcBorders>
              <w:bottom w:val="single" w:sz="4" w:space="0" w:color="808080"/>
            </w:tcBorders>
            <w:shd w:val="clear" w:color="auto" w:fill="auto"/>
          </w:tcPr>
          <w:p w:rsidR="00BA74FA" w:rsidRPr="00C36C8F" w:rsidRDefault="00BA74FA" w:rsidP="00E27D8E">
            <w:pPr>
              <w:pStyle w:val="TableHeading"/>
              <w:ind w:left="133"/>
              <w:jc w:val="center"/>
              <w:rPr>
                <w:bCs/>
                <w:szCs w:val="18"/>
              </w:rPr>
            </w:pPr>
            <w:r w:rsidRPr="00C36C8F">
              <w:rPr>
                <w:bCs/>
                <w:szCs w:val="18"/>
              </w:rPr>
              <w:t>ACT</w:t>
            </w:r>
          </w:p>
        </w:tc>
        <w:tc>
          <w:tcPr>
            <w:tcW w:w="756" w:type="dxa"/>
            <w:tcBorders>
              <w:bottom w:val="single" w:sz="4" w:space="0" w:color="808080"/>
            </w:tcBorders>
            <w:shd w:val="clear" w:color="auto" w:fill="auto"/>
          </w:tcPr>
          <w:p w:rsidR="00BA74FA" w:rsidRPr="00C36C8F" w:rsidRDefault="00BA74FA" w:rsidP="00E27D8E">
            <w:pPr>
              <w:pStyle w:val="TableHeading"/>
              <w:ind w:left="133"/>
              <w:jc w:val="center"/>
              <w:rPr>
                <w:bCs/>
                <w:szCs w:val="18"/>
              </w:rPr>
            </w:pPr>
            <w:r w:rsidRPr="00C36C8F">
              <w:rPr>
                <w:bCs/>
                <w:szCs w:val="18"/>
              </w:rPr>
              <w:t>NT</w:t>
            </w:r>
          </w:p>
        </w:tc>
        <w:tc>
          <w:tcPr>
            <w:tcW w:w="756" w:type="dxa"/>
            <w:tcBorders>
              <w:bottom w:val="single" w:sz="4" w:space="0" w:color="808080"/>
            </w:tcBorders>
          </w:tcPr>
          <w:p w:rsidR="00BA74FA" w:rsidRPr="00C36C8F" w:rsidRDefault="00BA74FA" w:rsidP="00E27D8E">
            <w:pPr>
              <w:pStyle w:val="TableHeading"/>
              <w:ind w:left="133"/>
              <w:jc w:val="center"/>
              <w:rPr>
                <w:bCs/>
                <w:szCs w:val="18"/>
              </w:rPr>
            </w:pPr>
            <w:r w:rsidRPr="00C36C8F">
              <w:rPr>
                <w:bCs/>
                <w:szCs w:val="18"/>
              </w:rPr>
              <w:t>Total</w:t>
            </w:r>
          </w:p>
        </w:tc>
      </w:tr>
      <w:tr w:rsidR="008B7924" w:rsidRPr="00C36C8F" w:rsidTr="008B7924">
        <w:tc>
          <w:tcPr>
            <w:tcW w:w="1843" w:type="dxa"/>
            <w:tcBorders>
              <w:top w:val="single" w:sz="4" w:space="0" w:color="808080"/>
              <w:bottom w:val="single" w:sz="4" w:space="0" w:color="808080"/>
            </w:tcBorders>
            <w:shd w:val="clear" w:color="auto" w:fill="auto"/>
          </w:tcPr>
          <w:p w:rsidR="008B7924" w:rsidRPr="00C36C8F" w:rsidRDefault="00480E04" w:rsidP="00480E04">
            <w:pPr>
              <w:pStyle w:val="TableText"/>
              <w:ind w:left="133"/>
              <w:rPr>
                <w:szCs w:val="18"/>
              </w:rPr>
            </w:pPr>
            <w:r w:rsidRPr="00C36C8F">
              <w:rPr>
                <w:szCs w:val="18"/>
              </w:rPr>
              <w:t>Net</w:t>
            </w:r>
            <w:r w:rsidR="00F7594D" w:rsidRPr="00C36C8F">
              <w:rPr>
                <w:rStyle w:val="FootnoteReference"/>
                <w:szCs w:val="18"/>
              </w:rPr>
              <w:footnoteReference w:id="3"/>
            </w:r>
            <w:r w:rsidRPr="00C36C8F">
              <w:rPr>
                <w:szCs w:val="18"/>
              </w:rPr>
              <w:t xml:space="preserve"> l</w:t>
            </w:r>
            <w:r w:rsidR="008B7924" w:rsidRPr="00C36C8F">
              <w:rPr>
                <w:szCs w:val="18"/>
              </w:rPr>
              <w:t>andfill emissions (net Mt CO</w:t>
            </w:r>
            <w:r w:rsidR="008B7924" w:rsidRPr="00C36C8F">
              <w:rPr>
                <w:szCs w:val="18"/>
                <w:vertAlign w:val="subscript"/>
              </w:rPr>
              <w:t>2</w:t>
            </w:r>
            <w:r w:rsidR="008B7924" w:rsidRPr="00C36C8F">
              <w:rPr>
                <w:szCs w:val="18"/>
              </w:rPr>
              <w:t>-e)</w:t>
            </w:r>
          </w:p>
        </w:tc>
        <w:tc>
          <w:tcPr>
            <w:tcW w:w="756" w:type="dxa"/>
            <w:tcBorders>
              <w:top w:val="single" w:sz="4" w:space="0" w:color="808080"/>
              <w:bottom w:val="single" w:sz="4" w:space="0" w:color="808080"/>
            </w:tcBorders>
            <w:shd w:val="clear" w:color="auto" w:fill="auto"/>
            <w:tcMar>
              <w:right w:w="142" w:type="dxa"/>
            </w:tcMar>
            <w:vAlign w:val="center"/>
          </w:tcPr>
          <w:p w:rsidR="008B7924" w:rsidRPr="00C36C8F" w:rsidRDefault="00046B82" w:rsidP="008B7924">
            <w:pPr>
              <w:pStyle w:val="TableText"/>
              <w:keepNext/>
              <w:spacing w:before="120" w:after="120" w:line="240" w:lineRule="auto"/>
              <w:jc w:val="right"/>
              <w:rPr>
                <w:szCs w:val="18"/>
              </w:rPr>
            </w:pPr>
            <w:r w:rsidRPr="00C36C8F">
              <w:rPr>
                <w:szCs w:val="18"/>
              </w:rPr>
              <w:t>3.2</w:t>
            </w:r>
          </w:p>
        </w:tc>
        <w:tc>
          <w:tcPr>
            <w:tcW w:w="756" w:type="dxa"/>
            <w:tcBorders>
              <w:top w:val="single" w:sz="4" w:space="0" w:color="808080"/>
              <w:bottom w:val="single" w:sz="4" w:space="0" w:color="808080"/>
            </w:tcBorders>
            <w:shd w:val="clear" w:color="auto" w:fill="auto"/>
            <w:tcMar>
              <w:right w:w="142" w:type="dxa"/>
            </w:tcMar>
            <w:vAlign w:val="center"/>
          </w:tcPr>
          <w:p w:rsidR="008B7924" w:rsidRPr="00C36C8F" w:rsidRDefault="00046B82" w:rsidP="008B7924">
            <w:pPr>
              <w:pStyle w:val="TableText"/>
              <w:keepNext/>
              <w:spacing w:before="120" w:after="120" w:line="240" w:lineRule="auto"/>
              <w:jc w:val="right"/>
              <w:rPr>
                <w:szCs w:val="18"/>
              </w:rPr>
            </w:pPr>
            <w:r w:rsidRPr="00C36C8F">
              <w:rPr>
                <w:szCs w:val="18"/>
              </w:rPr>
              <w:t>2.3</w:t>
            </w:r>
          </w:p>
        </w:tc>
        <w:tc>
          <w:tcPr>
            <w:tcW w:w="756" w:type="dxa"/>
            <w:tcBorders>
              <w:top w:val="single" w:sz="4" w:space="0" w:color="808080"/>
              <w:bottom w:val="single" w:sz="4" w:space="0" w:color="808080"/>
            </w:tcBorders>
            <w:shd w:val="clear" w:color="auto" w:fill="auto"/>
            <w:tcMar>
              <w:right w:w="142" w:type="dxa"/>
            </w:tcMar>
            <w:vAlign w:val="center"/>
          </w:tcPr>
          <w:p w:rsidR="008B7924" w:rsidRPr="00C36C8F" w:rsidRDefault="008B7924" w:rsidP="008B7924">
            <w:pPr>
              <w:pStyle w:val="TableText"/>
              <w:keepNext/>
              <w:spacing w:before="120" w:after="120" w:line="240" w:lineRule="auto"/>
              <w:jc w:val="right"/>
              <w:rPr>
                <w:szCs w:val="18"/>
              </w:rPr>
            </w:pPr>
            <w:r w:rsidRPr="00C36C8F">
              <w:rPr>
                <w:szCs w:val="18"/>
              </w:rPr>
              <w:t>2.5</w:t>
            </w:r>
          </w:p>
        </w:tc>
        <w:tc>
          <w:tcPr>
            <w:tcW w:w="756" w:type="dxa"/>
            <w:tcBorders>
              <w:top w:val="single" w:sz="4" w:space="0" w:color="808080"/>
              <w:bottom w:val="single" w:sz="4" w:space="0" w:color="808080"/>
            </w:tcBorders>
            <w:shd w:val="clear" w:color="auto" w:fill="auto"/>
            <w:tcMar>
              <w:right w:w="142" w:type="dxa"/>
            </w:tcMar>
            <w:vAlign w:val="center"/>
          </w:tcPr>
          <w:p w:rsidR="008B7924" w:rsidRPr="00C36C8F" w:rsidRDefault="008B7924" w:rsidP="008B7924">
            <w:pPr>
              <w:pStyle w:val="TableText"/>
              <w:keepNext/>
              <w:spacing w:before="120" w:after="120" w:line="240" w:lineRule="auto"/>
              <w:jc w:val="right"/>
              <w:rPr>
                <w:szCs w:val="18"/>
              </w:rPr>
            </w:pPr>
            <w:r w:rsidRPr="00C36C8F">
              <w:rPr>
                <w:szCs w:val="18"/>
              </w:rPr>
              <w:t>0.5</w:t>
            </w:r>
          </w:p>
        </w:tc>
        <w:tc>
          <w:tcPr>
            <w:tcW w:w="756" w:type="dxa"/>
            <w:tcBorders>
              <w:top w:val="single" w:sz="4" w:space="0" w:color="808080"/>
              <w:bottom w:val="single" w:sz="4" w:space="0" w:color="808080"/>
            </w:tcBorders>
            <w:shd w:val="clear" w:color="auto" w:fill="auto"/>
            <w:tcMar>
              <w:right w:w="142" w:type="dxa"/>
            </w:tcMar>
            <w:vAlign w:val="center"/>
          </w:tcPr>
          <w:p w:rsidR="008B7924" w:rsidRPr="00C36C8F" w:rsidRDefault="008B7924" w:rsidP="008B7924">
            <w:pPr>
              <w:pStyle w:val="TableText"/>
              <w:keepNext/>
              <w:spacing w:before="120" w:after="120" w:line="240" w:lineRule="auto"/>
              <w:jc w:val="right"/>
              <w:rPr>
                <w:szCs w:val="18"/>
              </w:rPr>
            </w:pPr>
            <w:r w:rsidRPr="00C36C8F">
              <w:rPr>
                <w:szCs w:val="18"/>
              </w:rPr>
              <w:t>2.0</w:t>
            </w:r>
          </w:p>
        </w:tc>
        <w:tc>
          <w:tcPr>
            <w:tcW w:w="756" w:type="dxa"/>
            <w:tcBorders>
              <w:top w:val="single" w:sz="4" w:space="0" w:color="808080"/>
              <w:bottom w:val="single" w:sz="4" w:space="0" w:color="808080"/>
            </w:tcBorders>
            <w:shd w:val="clear" w:color="auto" w:fill="auto"/>
            <w:tcMar>
              <w:right w:w="142" w:type="dxa"/>
            </w:tcMar>
            <w:vAlign w:val="center"/>
          </w:tcPr>
          <w:p w:rsidR="008B7924" w:rsidRPr="00C36C8F" w:rsidRDefault="008B7924" w:rsidP="008B7924">
            <w:pPr>
              <w:pStyle w:val="TableText"/>
              <w:keepNext/>
              <w:spacing w:before="120" w:after="120" w:line="240" w:lineRule="auto"/>
              <w:jc w:val="right"/>
              <w:rPr>
                <w:szCs w:val="18"/>
              </w:rPr>
            </w:pPr>
            <w:r w:rsidRPr="00C36C8F">
              <w:rPr>
                <w:szCs w:val="18"/>
              </w:rPr>
              <w:t>0.2</w:t>
            </w:r>
          </w:p>
        </w:tc>
        <w:tc>
          <w:tcPr>
            <w:tcW w:w="756" w:type="dxa"/>
            <w:tcBorders>
              <w:top w:val="single" w:sz="4" w:space="0" w:color="808080"/>
              <w:bottom w:val="single" w:sz="4" w:space="0" w:color="808080"/>
            </w:tcBorders>
            <w:shd w:val="clear" w:color="auto" w:fill="auto"/>
            <w:tcMar>
              <w:right w:w="142" w:type="dxa"/>
            </w:tcMar>
            <w:vAlign w:val="center"/>
          </w:tcPr>
          <w:p w:rsidR="008B7924" w:rsidRPr="00C36C8F" w:rsidRDefault="008B7924" w:rsidP="008B7924">
            <w:pPr>
              <w:pStyle w:val="TableText"/>
              <w:keepNext/>
              <w:spacing w:before="120" w:after="120" w:line="240" w:lineRule="auto"/>
              <w:jc w:val="right"/>
              <w:rPr>
                <w:szCs w:val="18"/>
              </w:rPr>
            </w:pPr>
            <w:r w:rsidRPr="00C36C8F">
              <w:rPr>
                <w:szCs w:val="18"/>
              </w:rPr>
              <w:t>0.1</w:t>
            </w:r>
          </w:p>
        </w:tc>
        <w:tc>
          <w:tcPr>
            <w:tcW w:w="756" w:type="dxa"/>
            <w:tcBorders>
              <w:top w:val="single" w:sz="4" w:space="0" w:color="808080"/>
              <w:bottom w:val="single" w:sz="4" w:space="0" w:color="808080"/>
            </w:tcBorders>
            <w:shd w:val="clear" w:color="auto" w:fill="auto"/>
            <w:tcMar>
              <w:right w:w="142" w:type="dxa"/>
            </w:tcMar>
            <w:vAlign w:val="center"/>
          </w:tcPr>
          <w:p w:rsidR="008B7924" w:rsidRPr="00C36C8F" w:rsidRDefault="008B7924" w:rsidP="008B7924">
            <w:pPr>
              <w:pStyle w:val="TableText"/>
              <w:keepNext/>
              <w:spacing w:before="120" w:after="120" w:line="240" w:lineRule="auto"/>
              <w:jc w:val="right"/>
              <w:rPr>
                <w:szCs w:val="18"/>
              </w:rPr>
            </w:pPr>
            <w:r w:rsidRPr="00C36C8F">
              <w:rPr>
                <w:szCs w:val="18"/>
              </w:rPr>
              <w:t>0.2</w:t>
            </w:r>
          </w:p>
        </w:tc>
        <w:tc>
          <w:tcPr>
            <w:tcW w:w="756" w:type="dxa"/>
            <w:tcBorders>
              <w:top w:val="single" w:sz="4" w:space="0" w:color="808080"/>
              <w:bottom w:val="single" w:sz="4" w:space="0" w:color="808080"/>
            </w:tcBorders>
            <w:tcMar>
              <w:right w:w="142" w:type="dxa"/>
            </w:tcMar>
            <w:vAlign w:val="center"/>
          </w:tcPr>
          <w:p w:rsidR="008B7924" w:rsidRPr="00C36C8F" w:rsidRDefault="008B7924" w:rsidP="008B7924">
            <w:pPr>
              <w:pStyle w:val="TableText"/>
              <w:keepNext/>
              <w:spacing w:before="120" w:after="120" w:line="240" w:lineRule="auto"/>
              <w:jc w:val="right"/>
              <w:rPr>
                <w:szCs w:val="18"/>
              </w:rPr>
            </w:pPr>
            <w:r w:rsidRPr="00C36C8F">
              <w:rPr>
                <w:szCs w:val="18"/>
              </w:rPr>
              <w:t>11.0</w:t>
            </w:r>
          </w:p>
        </w:tc>
      </w:tr>
      <w:tr w:rsidR="00625C60" w:rsidRPr="00C36C8F" w:rsidTr="002E6F78">
        <w:tc>
          <w:tcPr>
            <w:tcW w:w="1843" w:type="dxa"/>
            <w:tcBorders>
              <w:top w:val="single" w:sz="4" w:space="0" w:color="808080"/>
              <w:bottom w:val="single" w:sz="4" w:space="0" w:color="808080"/>
            </w:tcBorders>
            <w:shd w:val="clear" w:color="auto" w:fill="auto"/>
          </w:tcPr>
          <w:p w:rsidR="00625C60" w:rsidRPr="00C36C8F" w:rsidRDefault="00480E04" w:rsidP="00480E04">
            <w:pPr>
              <w:pStyle w:val="TableText"/>
              <w:ind w:left="133"/>
              <w:rPr>
                <w:szCs w:val="18"/>
              </w:rPr>
            </w:pPr>
            <w:r w:rsidRPr="00C36C8F">
              <w:rPr>
                <w:szCs w:val="18"/>
              </w:rPr>
              <w:t>Gross e</w:t>
            </w:r>
            <w:r w:rsidR="00625C60" w:rsidRPr="00C36C8F">
              <w:rPr>
                <w:szCs w:val="18"/>
              </w:rPr>
              <w:t>mbodied energy to landfill (Mt CO</w:t>
            </w:r>
            <w:r w:rsidR="00625C60" w:rsidRPr="00C36C8F">
              <w:rPr>
                <w:szCs w:val="18"/>
                <w:vertAlign w:val="subscript"/>
              </w:rPr>
              <w:t>2</w:t>
            </w:r>
            <w:r w:rsidR="00625C60" w:rsidRPr="00C36C8F">
              <w:rPr>
                <w:szCs w:val="18"/>
              </w:rPr>
              <w:t>-e)</w:t>
            </w:r>
          </w:p>
        </w:tc>
        <w:tc>
          <w:tcPr>
            <w:tcW w:w="756" w:type="dxa"/>
            <w:tcBorders>
              <w:top w:val="single" w:sz="4" w:space="0" w:color="808080"/>
              <w:bottom w:val="single" w:sz="4" w:space="0" w:color="808080"/>
            </w:tcBorders>
            <w:shd w:val="clear" w:color="auto" w:fill="auto"/>
            <w:tcMar>
              <w:right w:w="142" w:type="dxa"/>
            </w:tcMar>
          </w:tcPr>
          <w:p w:rsidR="00625C60" w:rsidRPr="00C36C8F" w:rsidRDefault="00046B82" w:rsidP="008B7924">
            <w:pPr>
              <w:pStyle w:val="TableText"/>
              <w:keepNext/>
              <w:spacing w:before="120" w:after="120" w:line="240" w:lineRule="auto"/>
              <w:jc w:val="right"/>
              <w:rPr>
                <w:szCs w:val="18"/>
              </w:rPr>
            </w:pPr>
            <w:r w:rsidRPr="00C36C8F">
              <w:t>3.1</w:t>
            </w:r>
          </w:p>
        </w:tc>
        <w:tc>
          <w:tcPr>
            <w:tcW w:w="756" w:type="dxa"/>
            <w:tcBorders>
              <w:top w:val="single" w:sz="4" w:space="0" w:color="808080"/>
              <w:bottom w:val="single" w:sz="4" w:space="0" w:color="808080"/>
            </w:tcBorders>
            <w:shd w:val="clear" w:color="auto" w:fill="auto"/>
            <w:tcMar>
              <w:right w:w="142" w:type="dxa"/>
            </w:tcMar>
          </w:tcPr>
          <w:p w:rsidR="00625C60" w:rsidRPr="00C36C8F" w:rsidRDefault="00046B82" w:rsidP="008B7924">
            <w:pPr>
              <w:pStyle w:val="TableText"/>
              <w:keepNext/>
              <w:spacing w:before="120" w:after="120" w:line="240" w:lineRule="auto"/>
              <w:jc w:val="right"/>
              <w:rPr>
                <w:szCs w:val="18"/>
              </w:rPr>
            </w:pPr>
            <w:r w:rsidRPr="00C36C8F">
              <w:t>2.4</w:t>
            </w:r>
          </w:p>
        </w:tc>
        <w:tc>
          <w:tcPr>
            <w:tcW w:w="756" w:type="dxa"/>
            <w:tcBorders>
              <w:top w:val="single" w:sz="4" w:space="0" w:color="808080"/>
              <w:bottom w:val="single" w:sz="4" w:space="0" w:color="808080"/>
            </w:tcBorders>
            <w:shd w:val="clear" w:color="auto" w:fill="auto"/>
            <w:tcMar>
              <w:right w:w="142" w:type="dxa"/>
            </w:tcMar>
          </w:tcPr>
          <w:p w:rsidR="00625C60" w:rsidRPr="00C36C8F" w:rsidRDefault="00046B82" w:rsidP="008B7924">
            <w:pPr>
              <w:pStyle w:val="TableText"/>
              <w:keepNext/>
              <w:spacing w:before="120" w:after="120" w:line="240" w:lineRule="auto"/>
              <w:jc w:val="right"/>
              <w:rPr>
                <w:szCs w:val="18"/>
              </w:rPr>
            </w:pPr>
            <w:r w:rsidRPr="00C36C8F">
              <w:t>2.0</w:t>
            </w:r>
          </w:p>
        </w:tc>
        <w:tc>
          <w:tcPr>
            <w:tcW w:w="756" w:type="dxa"/>
            <w:tcBorders>
              <w:top w:val="single" w:sz="4" w:space="0" w:color="808080"/>
              <w:bottom w:val="single" w:sz="4" w:space="0" w:color="808080"/>
            </w:tcBorders>
            <w:shd w:val="clear" w:color="auto" w:fill="auto"/>
            <w:tcMar>
              <w:right w:w="142" w:type="dxa"/>
            </w:tcMar>
          </w:tcPr>
          <w:p w:rsidR="00625C60" w:rsidRPr="00C36C8F" w:rsidRDefault="00625C60" w:rsidP="008B7924">
            <w:pPr>
              <w:pStyle w:val="TableText"/>
              <w:keepNext/>
              <w:spacing w:before="120" w:after="120" w:line="240" w:lineRule="auto"/>
              <w:jc w:val="right"/>
              <w:rPr>
                <w:szCs w:val="18"/>
              </w:rPr>
            </w:pPr>
            <w:r w:rsidRPr="00C36C8F">
              <w:t>0.4</w:t>
            </w:r>
          </w:p>
        </w:tc>
        <w:tc>
          <w:tcPr>
            <w:tcW w:w="756" w:type="dxa"/>
            <w:tcBorders>
              <w:top w:val="single" w:sz="4" w:space="0" w:color="808080"/>
              <w:bottom w:val="single" w:sz="4" w:space="0" w:color="808080"/>
            </w:tcBorders>
            <w:shd w:val="clear" w:color="auto" w:fill="auto"/>
            <w:tcMar>
              <w:right w:w="142" w:type="dxa"/>
            </w:tcMar>
          </w:tcPr>
          <w:p w:rsidR="00625C60" w:rsidRPr="00C36C8F" w:rsidRDefault="00D25AA6" w:rsidP="008B7924">
            <w:pPr>
              <w:pStyle w:val="TableText"/>
              <w:keepNext/>
              <w:spacing w:before="120" w:after="120" w:line="240" w:lineRule="auto"/>
              <w:jc w:val="right"/>
              <w:rPr>
                <w:szCs w:val="18"/>
              </w:rPr>
            </w:pPr>
            <w:r w:rsidRPr="00C36C8F">
              <w:t>1.4</w:t>
            </w:r>
          </w:p>
        </w:tc>
        <w:tc>
          <w:tcPr>
            <w:tcW w:w="756" w:type="dxa"/>
            <w:tcBorders>
              <w:top w:val="single" w:sz="4" w:space="0" w:color="808080"/>
              <w:bottom w:val="single" w:sz="4" w:space="0" w:color="808080"/>
            </w:tcBorders>
            <w:shd w:val="clear" w:color="auto" w:fill="auto"/>
            <w:tcMar>
              <w:right w:w="142" w:type="dxa"/>
            </w:tcMar>
          </w:tcPr>
          <w:p w:rsidR="00625C60" w:rsidRPr="00C36C8F" w:rsidRDefault="00625C60" w:rsidP="008B7924">
            <w:pPr>
              <w:pStyle w:val="TableText"/>
              <w:keepNext/>
              <w:spacing w:before="120" w:after="120" w:line="240" w:lineRule="auto"/>
              <w:jc w:val="right"/>
              <w:rPr>
                <w:szCs w:val="18"/>
              </w:rPr>
            </w:pPr>
            <w:r w:rsidRPr="00C36C8F">
              <w:t>0.2</w:t>
            </w:r>
          </w:p>
        </w:tc>
        <w:tc>
          <w:tcPr>
            <w:tcW w:w="756" w:type="dxa"/>
            <w:tcBorders>
              <w:top w:val="single" w:sz="4" w:space="0" w:color="808080"/>
              <w:bottom w:val="single" w:sz="4" w:space="0" w:color="808080"/>
            </w:tcBorders>
            <w:shd w:val="clear" w:color="auto" w:fill="auto"/>
            <w:tcMar>
              <w:right w:w="142" w:type="dxa"/>
            </w:tcMar>
          </w:tcPr>
          <w:p w:rsidR="00625C60" w:rsidRPr="00C36C8F" w:rsidRDefault="00625C60" w:rsidP="008B7924">
            <w:pPr>
              <w:pStyle w:val="TableText"/>
              <w:keepNext/>
              <w:spacing w:before="120" w:after="120" w:line="240" w:lineRule="auto"/>
              <w:jc w:val="right"/>
              <w:rPr>
                <w:szCs w:val="18"/>
              </w:rPr>
            </w:pPr>
            <w:r w:rsidRPr="00C36C8F">
              <w:t>0.1</w:t>
            </w:r>
          </w:p>
        </w:tc>
        <w:tc>
          <w:tcPr>
            <w:tcW w:w="756" w:type="dxa"/>
            <w:tcBorders>
              <w:top w:val="single" w:sz="4" w:space="0" w:color="808080"/>
              <w:bottom w:val="single" w:sz="4" w:space="0" w:color="808080"/>
            </w:tcBorders>
            <w:shd w:val="clear" w:color="auto" w:fill="auto"/>
            <w:tcMar>
              <w:right w:w="142" w:type="dxa"/>
            </w:tcMar>
          </w:tcPr>
          <w:p w:rsidR="00625C60" w:rsidRPr="00C36C8F" w:rsidRDefault="00625C60" w:rsidP="008B7924">
            <w:pPr>
              <w:pStyle w:val="TableText"/>
              <w:keepNext/>
              <w:spacing w:before="120" w:after="120" w:line="240" w:lineRule="auto"/>
              <w:jc w:val="right"/>
              <w:rPr>
                <w:szCs w:val="18"/>
              </w:rPr>
            </w:pPr>
            <w:r w:rsidRPr="00C36C8F">
              <w:t>0.2</w:t>
            </w:r>
          </w:p>
        </w:tc>
        <w:tc>
          <w:tcPr>
            <w:tcW w:w="756" w:type="dxa"/>
            <w:tcBorders>
              <w:top w:val="single" w:sz="4" w:space="0" w:color="808080"/>
              <w:bottom w:val="single" w:sz="4" w:space="0" w:color="808080"/>
            </w:tcBorders>
            <w:tcMar>
              <w:right w:w="142" w:type="dxa"/>
            </w:tcMar>
          </w:tcPr>
          <w:p w:rsidR="00625C60" w:rsidRPr="00C36C8F" w:rsidRDefault="00D25AA6" w:rsidP="00D25AA6">
            <w:pPr>
              <w:pStyle w:val="TableText"/>
              <w:keepNext/>
              <w:spacing w:before="120" w:after="120" w:line="240" w:lineRule="auto"/>
              <w:jc w:val="right"/>
              <w:rPr>
                <w:szCs w:val="18"/>
              </w:rPr>
            </w:pPr>
            <w:r w:rsidRPr="00C36C8F">
              <w:t>9.8</w:t>
            </w:r>
          </w:p>
        </w:tc>
      </w:tr>
    </w:tbl>
    <w:bookmarkEnd w:id="22"/>
    <w:p w:rsidR="004811C3" w:rsidRPr="00C36C8F" w:rsidRDefault="00DA5A74">
      <w:pPr>
        <w:pStyle w:val="ParaIndent"/>
        <w:rPr>
          <w:sz w:val="16"/>
          <w:szCs w:val="16"/>
        </w:rPr>
      </w:pPr>
      <w:r w:rsidRPr="00C36C8F">
        <w:rPr>
          <w:sz w:val="16"/>
          <w:szCs w:val="16"/>
        </w:rPr>
        <w:t>Notes:</w:t>
      </w:r>
    </w:p>
    <w:p w:rsidR="004811C3" w:rsidRPr="00C36C8F" w:rsidRDefault="004811C3" w:rsidP="004B50A2">
      <w:pPr>
        <w:pStyle w:val="ParaIndent"/>
        <w:numPr>
          <w:ilvl w:val="0"/>
          <w:numId w:val="30"/>
        </w:numPr>
        <w:spacing w:after="0"/>
        <w:rPr>
          <w:sz w:val="16"/>
          <w:szCs w:val="16"/>
        </w:rPr>
      </w:pPr>
      <w:r w:rsidRPr="00C36C8F">
        <w:rPr>
          <w:sz w:val="16"/>
          <w:szCs w:val="16"/>
        </w:rPr>
        <w:t>The gross embodied energy value estimates do not include the energy that is required to recycle the materials for use.</w:t>
      </w:r>
    </w:p>
    <w:p w:rsidR="00D25AA6" w:rsidRPr="00C36C8F" w:rsidRDefault="004811C3" w:rsidP="00D25AA6">
      <w:pPr>
        <w:pStyle w:val="ParaIndent"/>
        <w:numPr>
          <w:ilvl w:val="0"/>
          <w:numId w:val="30"/>
        </w:numPr>
        <w:spacing w:after="0"/>
        <w:rPr>
          <w:sz w:val="16"/>
          <w:szCs w:val="16"/>
        </w:rPr>
      </w:pPr>
      <w:r w:rsidRPr="00C36C8F">
        <w:rPr>
          <w:sz w:val="16"/>
          <w:szCs w:val="16"/>
        </w:rPr>
        <w:t>Gross embodied energy estimates present ‘sub-totals’ and hence do not include flyash.</w:t>
      </w:r>
    </w:p>
    <w:p w:rsidR="00BE69D2" w:rsidRPr="00C36C8F" w:rsidRDefault="001968DC">
      <w:pPr>
        <w:pStyle w:val="ParaIndent"/>
      </w:pPr>
      <w:r w:rsidRPr="00C36C8F">
        <w:br w:type="page"/>
      </w:r>
      <w:bookmarkStart w:id="23" w:name="_Toc284506822"/>
    </w:p>
    <w:p w:rsidR="002E2902" w:rsidRPr="00C36C8F" w:rsidRDefault="001968DC">
      <w:pPr>
        <w:pStyle w:val="Heading1"/>
      </w:pPr>
      <w:bookmarkStart w:id="24" w:name="_Ref295214668"/>
      <w:bookmarkStart w:id="25" w:name="_Toc325020096"/>
      <w:bookmarkStart w:id="26" w:name="_Toc305049744"/>
      <w:r w:rsidRPr="00C36C8F">
        <w:t>INTRODUCTION</w:t>
      </w:r>
      <w:bookmarkEnd w:id="23"/>
      <w:bookmarkEnd w:id="24"/>
      <w:bookmarkEnd w:id="25"/>
      <w:bookmarkEnd w:id="26"/>
    </w:p>
    <w:p w:rsidR="001968DC" w:rsidRPr="00C36C8F" w:rsidRDefault="001968DC" w:rsidP="000413DC">
      <w:pPr>
        <w:pStyle w:val="ParaIndent"/>
        <w:jc w:val="both"/>
      </w:pPr>
      <w:r w:rsidRPr="00C36C8F">
        <w:t xml:space="preserve">In February 2006, Hyder Consulting (Hyder) produced a report titled </w:t>
      </w:r>
      <w:r w:rsidRPr="00C36C8F">
        <w:rPr>
          <w:i/>
        </w:rPr>
        <w:t>Waste and Recycling in Australia</w:t>
      </w:r>
      <w:r w:rsidRPr="00C36C8F">
        <w:t>. This report informed the then Department of Environment and Heritage’s submission to the Productivity Commission’s inquiry into waste generation and re</w:t>
      </w:r>
      <w:r w:rsidR="009966C3" w:rsidRPr="00C36C8F">
        <w:t>source efficiency in Australia.</w:t>
      </w:r>
    </w:p>
    <w:p w:rsidR="001968DC" w:rsidRPr="00C36C8F" w:rsidRDefault="001968DC" w:rsidP="000413DC">
      <w:pPr>
        <w:pStyle w:val="ParaIndent"/>
        <w:jc w:val="both"/>
      </w:pPr>
      <w:r w:rsidRPr="00C36C8F">
        <w:t>Hyder produced a report with the same title in 2008 for the (then) Department of the Environment</w:t>
      </w:r>
      <w:r w:rsidR="003E199A" w:rsidRPr="00C36C8F">
        <w:t xml:space="preserve">, Water, Heritage and the Arts </w:t>
      </w:r>
      <w:r w:rsidRPr="00C36C8F">
        <w:t xml:space="preserve">collating data for the financial year </w:t>
      </w:r>
      <w:r w:rsidR="00961ABB" w:rsidRPr="00C36C8F">
        <w:t xml:space="preserve">of </w:t>
      </w:r>
      <w:r w:rsidRPr="00C36C8F">
        <w:t>2006</w:t>
      </w:r>
      <w:r w:rsidRPr="00C36C8F">
        <w:rPr>
          <w:rFonts w:cs="Arial"/>
        </w:rPr>
        <w:t>–</w:t>
      </w:r>
      <w:r w:rsidRPr="00C36C8F">
        <w:t>07. The 2008 report updated and supplemented information contained in the 2006 report, and endeavoured to “provide the most up-to-date and comprehensive picture of waste and recycling activity in Australia”.</w:t>
      </w:r>
    </w:p>
    <w:p w:rsidR="001968DC" w:rsidRPr="00C36C8F" w:rsidRDefault="001968DC" w:rsidP="000413DC">
      <w:pPr>
        <w:pStyle w:val="ParaIndent"/>
        <w:jc w:val="both"/>
      </w:pPr>
      <w:r w:rsidRPr="00C36C8F">
        <w:t>An amended version of the 2008 report was produced by Hyder in 2009 to incorporate 2006</w:t>
      </w:r>
      <w:r w:rsidRPr="00C36C8F">
        <w:rPr>
          <w:rFonts w:cs="Arial"/>
        </w:rPr>
        <w:t>–</w:t>
      </w:r>
      <w:r w:rsidRPr="00C36C8F">
        <w:t>07 data from states and</w:t>
      </w:r>
      <w:r w:rsidR="009966C3" w:rsidRPr="00C36C8F">
        <w:t xml:space="preserve"> territories that</w:t>
      </w:r>
      <w:r w:rsidRPr="00C36C8F">
        <w:t xml:space="preserve"> was not available at the time of writing the original 2008 report. The amended version also included the latest data for some organic materials that ha</w:t>
      </w:r>
      <w:r w:rsidR="009966C3" w:rsidRPr="00C36C8F">
        <w:t>d become available after</w:t>
      </w:r>
      <w:r w:rsidRPr="00C36C8F">
        <w:t xml:space="preserve"> the publication of the original report in 2008.</w:t>
      </w:r>
      <w:r w:rsidR="007330AF" w:rsidRPr="00C36C8F">
        <w:t xml:space="preserve"> The 2009 report provided the core data for the first </w:t>
      </w:r>
      <w:r w:rsidR="001C60B8" w:rsidRPr="00C36C8F">
        <w:rPr>
          <w:i/>
        </w:rPr>
        <w:t>National Waste Report</w:t>
      </w:r>
      <w:r w:rsidR="007330AF" w:rsidRPr="00C36C8F">
        <w:t>, publis</w:t>
      </w:r>
      <w:r w:rsidR="009966C3" w:rsidRPr="00C36C8F">
        <w:t>hed in May 2010. It also informed and was</w:t>
      </w:r>
      <w:r w:rsidR="007330AF" w:rsidRPr="00C36C8F">
        <w:t xml:space="preserve"> developed alongside the </w:t>
      </w:r>
      <w:r w:rsidR="001C60B8" w:rsidRPr="00C36C8F">
        <w:rPr>
          <w:i/>
        </w:rPr>
        <w:t>National Waste Policy: Less Waste, More Resources</w:t>
      </w:r>
      <w:r w:rsidR="009966C3" w:rsidRPr="00C36C8F">
        <w:t xml:space="preserve"> during 2009</w:t>
      </w:r>
      <w:r w:rsidR="007330AF" w:rsidRPr="00C36C8F">
        <w:t>.</w:t>
      </w:r>
    </w:p>
    <w:p w:rsidR="009378F4" w:rsidRPr="00C36C8F" w:rsidRDefault="009378F4" w:rsidP="000413DC">
      <w:pPr>
        <w:pStyle w:val="ParaIndent"/>
        <w:keepNext/>
        <w:jc w:val="both"/>
      </w:pPr>
      <w:r w:rsidRPr="00C36C8F">
        <w:t>The Hyder (2009) report noted that:</w:t>
      </w:r>
    </w:p>
    <w:p w:rsidR="009378F4" w:rsidRPr="00C36C8F" w:rsidRDefault="009378F4" w:rsidP="000413DC">
      <w:pPr>
        <w:pStyle w:val="ParaIndent"/>
        <w:ind w:left="1701"/>
        <w:jc w:val="both"/>
      </w:pPr>
      <w:r w:rsidRPr="00C36C8F">
        <w:t>The data contained within the report should be used with caution as it has been drawn from a range of sources with varying data quality and methodologies.</w:t>
      </w:r>
    </w:p>
    <w:p w:rsidR="009378F4" w:rsidRPr="00C36C8F" w:rsidRDefault="009378F4" w:rsidP="000413DC">
      <w:pPr>
        <w:pStyle w:val="ParaIndent"/>
        <w:keepNext/>
        <w:tabs>
          <w:tab w:val="left" w:pos="6497"/>
        </w:tabs>
        <w:jc w:val="both"/>
      </w:pPr>
      <w:r w:rsidRPr="00C36C8F">
        <w:t>In particular, the Hyder (2009) report stated that:</w:t>
      </w:r>
    </w:p>
    <w:p w:rsidR="009378F4" w:rsidRPr="00C36C8F" w:rsidRDefault="009378F4" w:rsidP="000413DC">
      <w:pPr>
        <w:pStyle w:val="ParaIndent"/>
        <w:ind w:left="1701"/>
        <w:jc w:val="both"/>
      </w:pPr>
      <w:r w:rsidRPr="00C36C8F">
        <w:t>There is a lack of consistency between the material inclusions and definitions used for disposal and recycling in reports produced by different states/territories.</w:t>
      </w:r>
    </w:p>
    <w:p w:rsidR="004111BB" w:rsidRPr="00C36C8F" w:rsidRDefault="00240F4F" w:rsidP="000413DC">
      <w:pPr>
        <w:pStyle w:val="ParaIndent"/>
        <w:jc w:val="both"/>
      </w:pPr>
      <w:r w:rsidRPr="00C36C8F">
        <w:t>This is reflective of the different approaches of states and territories to collecting and reporting waste and recycling data. It is also reflective of the difficulty in defining what should be considered within the scope of waste and recycling reporting.</w:t>
      </w:r>
    </w:p>
    <w:p w:rsidR="00A82390" w:rsidRPr="00C36C8F" w:rsidRDefault="00105263" w:rsidP="000413DC">
      <w:pPr>
        <w:pStyle w:val="ParaIndent"/>
        <w:jc w:val="both"/>
      </w:pPr>
      <w:r w:rsidRPr="00C36C8F">
        <w:t>The 2009 report list</w:t>
      </w:r>
      <w:r w:rsidR="004E038A" w:rsidRPr="00C36C8F">
        <w:t>ed</w:t>
      </w:r>
      <w:r w:rsidR="000B5CE5" w:rsidRPr="00C36C8F">
        <w:t xml:space="preserve"> a number of ‘data gaps’</w:t>
      </w:r>
      <w:r w:rsidRPr="00C36C8F">
        <w:t xml:space="preserve"> identified in available data.</w:t>
      </w:r>
      <w:r w:rsidR="004111BB" w:rsidRPr="00C36C8F">
        <w:t xml:space="preserve"> </w:t>
      </w:r>
      <w:r w:rsidR="009378F4" w:rsidRPr="00C36C8F">
        <w:t xml:space="preserve">The </w:t>
      </w:r>
      <w:r w:rsidR="004073A7" w:rsidRPr="00C36C8F">
        <w:t>method report</w:t>
      </w:r>
      <w:r w:rsidR="003944DD" w:rsidRPr="00C36C8F">
        <w:t xml:space="preserve"> (2010)</w:t>
      </w:r>
      <w:r w:rsidR="004073A7" w:rsidRPr="00C36C8F">
        <w:t xml:space="preserve"> further assessed the consistency of waste and recycling datasets nationally, and made</w:t>
      </w:r>
      <w:r w:rsidR="009378F4" w:rsidRPr="00C36C8F">
        <w:rPr>
          <w:rFonts w:cs="Arial"/>
        </w:rPr>
        <w:t xml:space="preserve"> specific recommendations </w:t>
      </w:r>
      <w:r w:rsidR="004073A7" w:rsidRPr="00C36C8F">
        <w:rPr>
          <w:rFonts w:cs="Arial"/>
        </w:rPr>
        <w:t xml:space="preserve">for </w:t>
      </w:r>
      <w:r w:rsidR="004073A7" w:rsidRPr="00C36C8F">
        <w:t xml:space="preserve">a “more uniform approach” to the </w:t>
      </w:r>
      <w:r w:rsidR="00E60EEF" w:rsidRPr="00C36C8F">
        <w:t xml:space="preserve">compilation of </w:t>
      </w:r>
      <w:r w:rsidR="004073A7" w:rsidRPr="00C36C8F">
        <w:t>state and territory datasets.</w:t>
      </w:r>
      <w:r w:rsidR="0054101D" w:rsidRPr="00C36C8F">
        <w:t xml:space="preserve"> </w:t>
      </w:r>
      <w:r w:rsidR="00A82390" w:rsidRPr="00C36C8F">
        <w:t>These recommendations deal with fundamental principles of the scope of waste and recycling reporting, known issues of difference, and issues regarding the measurement and recording of waste and recycling. These recommendations were informed by an appraisal of the definitions of key terms used in waste and recycling reporting, and an assessment of waste and recycling datasets produced nationally.</w:t>
      </w:r>
    </w:p>
    <w:p w:rsidR="009378F4" w:rsidRPr="00C36C8F" w:rsidRDefault="00A5071C" w:rsidP="000413DC">
      <w:pPr>
        <w:pStyle w:val="ParaIndent"/>
        <w:jc w:val="both"/>
      </w:pPr>
      <w:r>
        <w:t>These recommendations align</w:t>
      </w:r>
      <w:r w:rsidR="009378F4" w:rsidRPr="00C36C8F">
        <w:t xml:space="preserve"> with the ‘Providing the evidence’ key direction of the </w:t>
      </w:r>
      <w:r w:rsidR="009378F4" w:rsidRPr="00C36C8F">
        <w:rPr>
          <w:i/>
        </w:rPr>
        <w:t>National Waste Policy</w:t>
      </w:r>
      <w:r w:rsidR="009378F4" w:rsidRPr="00C36C8F">
        <w:t>. The objective of this direction is to:</w:t>
      </w:r>
    </w:p>
    <w:p w:rsidR="009378F4" w:rsidRPr="00C36C8F" w:rsidRDefault="009378F4" w:rsidP="000413DC">
      <w:pPr>
        <w:pStyle w:val="ParaIndent"/>
        <w:ind w:left="1689"/>
        <w:jc w:val="both"/>
      </w:pPr>
      <w:r w:rsidRPr="00C36C8F">
        <w:t>Develop capacity to effectively collect consistent, accurate and meaningful national waste and resource recovery data to inform policy and decisions.</w:t>
      </w:r>
    </w:p>
    <w:p w:rsidR="00A82390" w:rsidRPr="00C36C8F" w:rsidRDefault="00A82390" w:rsidP="000413DC">
      <w:pPr>
        <w:pStyle w:val="ParaIndent"/>
        <w:jc w:val="both"/>
        <w:rPr>
          <w:rFonts w:cs="Arial"/>
        </w:rPr>
      </w:pPr>
      <w:r w:rsidRPr="00C36C8F">
        <w:t>The direction also states that:</w:t>
      </w:r>
    </w:p>
    <w:p w:rsidR="00A82390" w:rsidRPr="00C36C8F" w:rsidRDefault="00A82390" w:rsidP="000413DC">
      <w:pPr>
        <w:pStyle w:val="ParaIndent"/>
        <w:ind w:left="1689"/>
        <w:jc w:val="both"/>
        <w:rPr>
          <w:rFonts w:cs="Arial"/>
        </w:rPr>
      </w:pPr>
      <w:r w:rsidRPr="00C36C8F">
        <w:rPr>
          <w:rFonts w:cs="Arial"/>
        </w:rPr>
        <w:t>Any improvements and streamlining that can be easily made in the short term will be identified and improvements undertaken where feasible.</w:t>
      </w:r>
    </w:p>
    <w:p w:rsidR="00157887" w:rsidRPr="00C36C8F" w:rsidRDefault="00900972" w:rsidP="000413DC">
      <w:pPr>
        <w:pStyle w:val="ParaIndent"/>
        <w:keepNext/>
        <w:keepLines/>
        <w:jc w:val="both"/>
        <w:rPr>
          <w:lang w:eastAsia="en-AU"/>
        </w:rPr>
      </w:pPr>
      <w:r w:rsidRPr="00C36C8F">
        <w:rPr>
          <w:lang w:eastAsia="en-AU"/>
        </w:rPr>
        <w:t xml:space="preserve">Data </w:t>
      </w:r>
      <w:r w:rsidR="004E038A" w:rsidRPr="00C36C8F">
        <w:rPr>
          <w:lang w:eastAsia="en-AU"/>
        </w:rPr>
        <w:t>for</w:t>
      </w:r>
      <w:r w:rsidR="004F2565" w:rsidRPr="00C36C8F">
        <w:rPr>
          <w:lang w:eastAsia="en-AU"/>
        </w:rPr>
        <w:t xml:space="preserve"> this current </w:t>
      </w:r>
      <w:r w:rsidR="004F2565" w:rsidRPr="00C36C8F">
        <w:rPr>
          <w:i/>
          <w:lang w:eastAsia="en-AU"/>
        </w:rPr>
        <w:t>Waste and Recycling in Australia</w:t>
      </w:r>
      <w:r w:rsidR="004F2565" w:rsidRPr="00C36C8F">
        <w:rPr>
          <w:lang w:eastAsia="en-AU"/>
        </w:rPr>
        <w:t xml:space="preserve"> report </w:t>
      </w:r>
      <w:r w:rsidRPr="00C36C8F">
        <w:rPr>
          <w:lang w:eastAsia="en-AU"/>
        </w:rPr>
        <w:t>was sourced through publicly available reports except where states</w:t>
      </w:r>
      <w:r w:rsidR="004E038A" w:rsidRPr="00C36C8F">
        <w:rPr>
          <w:lang w:eastAsia="en-AU"/>
        </w:rPr>
        <w:t>,</w:t>
      </w:r>
      <w:r w:rsidRPr="00C36C8F">
        <w:rPr>
          <w:lang w:eastAsia="en-AU"/>
        </w:rPr>
        <w:t xml:space="preserve"> territories, or industry bodies were able to provide unpublished data that was more up-to-date or more detailed. Data sources are provided at the relevant points throughout Section </w:t>
      </w:r>
      <w:fldSimple w:instr=" REF _Ref295210521 \r \h  \* MERGEFORMAT ">
        <w:r w:rsidR="00AE7E3B">
          <w:t>3</w:t>
        </w:r>
      </w:fldSimple>
      <w:r w:rsidR="00FF3859" w:rsidRPr="00C36C8F">
        <w:rPr>
          <w:lang w:eastAsia="en-AU"/>
        </w:rPr>
        <w:t xml:space="preserve"> and Section </w:t>
      </w:r>
      <w:fldSimple w:instr=" REF _Ref295214600 \r \h  \* MERGEFORMAT ">
        <w:r w:rsidR="00AE7E3B">
          <w:t>4</w:t>
        </w:r>
      </w:fldSimple>
      <w:r w:rsidR="00D93F23" w:rsidRPr="00C36C8F">
        <w:t xml:space="preserve">. </w:t>
      </w:r>
      <w:r w:rsidR="00406606" w:rsidRPr="00C36C8F">
        <w:t xml:space="preserve"> </w:t>
      </w:r>
      <w:r w:rsidR="00D93F23" w:rsidRPr="00C36C8F">
        <w:t>Section 4</w:t>
      </w:r>
      <w:r w:rsidR="00406606" w:rsidRPr="00C36C8F">
        <w:t xml:space="preserve"> includes summary table</w:t>
      </w:r>
      <w:r w:rsidR="00D93F23" w:rsidRPr="00C36C8F">
        <w:t>s</w:t>
      </w:r>
      <w:r w:rsidR="00406606" w:rsidRPr="00C36C8F">
        <w:t xml:space="preserve"> of the sources used to compile data for each of the jurisdictions and also notes any assumptions that have been </w:t>
      </w:r>
      <w:r w:rsidR="004E038A" w:rsidRPr="00C36C8F">
        <w:t>made</w:t>
      </w:r>
      <w:r w:rsidR="00406606" w:rsidRPr="00C36C8F">
        <w:t xml:space="preserve"> in the application of the method report</w:t>
      </w:r>
      <w:r w:rsidRPr="00C36C8F">
        <w:rPr>
          <w:lang w:eastAsia="en-AU"/>
        </w:rPr>
        <w:t xml:space="preserve">. </w:t>
      </w:r>
    </w:p>
    <w:p w:rsidR="00FA2913" w:rsidRPr="00C36C8F" w:rsidRDefault="00726B28" w:rsidP="000413DC">
      <w:pPr>
        <w:pStyle w:val="ParaIndent"/>
        <w:keepNext/>
        <w:keepLines/>
        <w:jc w:val="both"/>
        <w:rPr>
          <w:lang w:eastAsia="en-AU"/>
        </w:rPr>
      </w:pPr>
      <w:r w:rsidRPr="00C36C8F">
        <w:rPr>
          <w:lang w:eastAsia="en-AU"/>
        </w:rPr>
        <w:t>Where possible, potential discrepancies or uncertainties have been identified during the examination of published definitions within each of the data sources used. Some data sources did not include a definition for the reported waste streams and as such, discrepancies within the data that cannot be identified are likely. The allocation of material to source sectors, and material categories and material types should</w:t>
      </w:r>
      <w:r w:rsidR="00DA5A74" w:rsidRPr="00C36C8F">
        <w:rPr>
          <w:lang w:eastAsia="en-AU"/>
        </w:rPr>
        <w:t xml:space="preserve"> therefore be considered a ‘best estimate’ and the data should be used with caution.</w:t>
      </w:r>
    </w:p>
    <w:p w:rsidR="00A82390" w:rsidRDefault="00E60EEF" w:rsidP="000413DC">
      <w:pPr>
        <w:pStyle w:val="ParaIndent"/>
        <w:jc w:val="both"/>
      </w:pPr>
      <w:r w:rsidRPr="00C36C8F">
        <w:t>Significant c</w:t>
      </w:r>
      <w:r w:rsidR="006301A4" w:rsidRPr="00C36C8F">
        <w:t xml:space="preserve">onsultation was undertaken with state and territory governments </w:t>
      </w:r>
      <w:r w:rsidR="004073A7" w:rsidRPr="00C36C8F">
        <w:t xml:space="preserve">during the development of the method report and </w:t>
      </w:r>
      <w:r w:rsidRPr="00C36C8F">
        <w:t xml:space="preserve">for the draft version of this report (the </w:t>
      </w:r>
      <w:r w:rsidR="004073A7" w:rsidRPr="00C36C8F">
        <w:t>testing of the method</w:t>
      </w:r>
      <w:r w:rsidRPr="00C36C8F">
        <w:t xml:space="preserve">). </w:t>
      </w:r>
      <w:r w:rsidR="00A82390" w:rsidRPr="00C36C8F">
        <w:t xml:space="preserve">Further, Blue Environment </w:t>
      </w:r>
      <w:r w:rsidR="00912B48" w:rsidRPr="00C36C8F">
        <w:t xml:space="preserve">Pty Ltd </w:t>
      </w:r>
      <w:r w:rsidR="00A82390" w:rsidRPr="00C36C8F">
        <w:t xml:space="preserve">was commissioned by the Department to </w:t>
      </w:r>
      <w:r w:rsidR="0054101D" w:rsidRPr="00C36C8F">
        <w:t>conduct</w:t>
      </w:r>
      <w:r w:rsidR="00A82390" w:rsidRPr="00C36C8F">
        <w:t xml:space="preserve"> an audit of the method report and the consultation draft of this report. Hyder has </w:t>
      </w:r>
      <w:r w:rsidRPr="00C36C8F">
        <w:t>considered b</w:t>
      </w:r>
      <w:r w:rsidR="0054101D" w:rsidRPr="00C36C8F">
        <w:t>oth the</w:t>
      </w:r>
      <w:r w:rsidR="00A82390" w:rsidRPr="00C36C8F">
        <w:t xml:space="preserve"> consultation with states and territories, and the findings of the audit by Blue Environment</w:t>
      </w:r>
      <w:r w:rsidR="0010699F" w:rsidRPr="00C36C8F">
        <w:t>,</w:t>
      </w:r>
      <w:r w:rsidR="00A82390" w:rsidRPr="00C36C8F">
        <w:t xml:space="preserve"> during the production of this (final) report.</w:t>
      </w:r>
    </w:p>
    <w:p w:rsidR="00023821" w:rsidRPr="00C36C8F" w:rsidRDefault="00B2289D" w:rsidP="000413DC">
      <w:pPr>
        <w:pStyle w:val="ParaIndent"/>
        <w:jc w:val="both"/>
      </w:pPr>
      <w:r w:rsidRPr="00C12896">
        <w:t>As part of the quality assurance process associated with this project, t</w:t>
      </w:r>
      <w:r w:rsidR="00023821" w:rsidRPr="00C12896">
        <w:t xml:space="preserve">he Department commissioned Randell Environmental Consulting </w:t>
      </w:r>
      <w:r w:rsidRPr="00C12896">
        <w:t>to review t</w:t>
      </w:r>
      <w:r w:rsidR="00023821" w:rsidRPr="00C12896">
        <w:t>his (final) report, and the detail</w:t>
      </w:r>
      <w:r w:rsidRPr="00C12896">
        <w:t>ed workbook of underlying data and calculations.</w:t>
      </w:r>
    </w:p>
    <w:p w:rsidR="006301A4" w:rsidRPr="00C36C8F" w:rsidRDefault="00912B48" w:rsidP="000413DC">
      <w:pPr>
        <w:pStyle w:val="ParaIndent"/>
        <w:jc w:val="both"/>
      </w:pPr>
      <w:r w:rsidRPr="00C36C8F">
        <w:t>Please note that t</w:t>
      </w:r>
      <w:r w:rsidR="004073A7" w:rsidRPr="00C36C8F">
        <w:t>he</w:t>
      </w:r>
      <w:r w:rsidR="006301A4" w:rsidRPr="00C36C8F">
        <w:t xml:space="preserve"> participation of state and territory governments in the consultation process </w:t>
      </w:r>
      <w:r w:rsidR="00A82390" w:rsidRPr="00C36C8F">
        <w:t xml:space="preserve">undertaken by Hyder </w:t>
      </w:r>
      <w:r w:rsidR="006301A4" w:rsidRPr="00C36C8F">
        <w:t>does not indicate the endorsement or otherwise of state and territory governments of this report or the recommendations contained within it.</w:t>
      </w:r>
    </w:p>
    <w:p w:rsidR="008A17B7" w:rsidRPr="00C36C8F" w:rsidRDefault="008A17B7" w:rsidP="00B30560">
      <w:pPr>
        <w:pStyle w:val="ParaIndent"/>
        <w:jc w:val="both"/>
      </w:pPr>
    </w:p>
    <w:p w:rsidR="008A17B7" w:rsidRPr="00C36C8F" w:rsidRDefault="008A17B7" w:rsidP="00B30560">
      <w:pPr>
        <w:pStyle w:val="ParaIndent"/>
        <w:jc w:val="both"/>
      </w:pPr>
    </w:p>
    <w:p w:rsidR="008A17B7" w:rsidRPr="00C36C8F" w:rsidRDefault="008A17B7" w:rsidP="00912B48">
      <w:pPr>
        <w:pStyle w:val="ParaIndent"/>
      </w:pPr>
    </w:p>
    <w:p w:rsidR="00FA2913" w:rsidRPr="00C36C8F" w:rsidRDefault="00FA2913" w:rsidP="00EB52FC">
      <w:pPr>
        <w:pStyle w:val="ParaIndent"/>
      </w:pPr>
      <w:bookmarkStart w:id="27" w:name="_Ref294249899"/>
      <w:bookmarkStart w:id="28" w:name="_Ref283645900"/>
      <w:r w:rsidRPr="00C36C8F">
        <w:rPr>
          <w:caps/>
        </w:rPr>
        <w:br w:type="page"/>
      </w:r>
    </w:p>
    <w:p w:rsidR="001968DC" w:rsidRPr="00C36C8F" w:rsidRDefault="006301A4" w:rsidP="001968DC">
      <w:pPr>
        <w:pStyle w:val="Heading1"/>
        <w:rPr>
          <w:caps w:val="0"/>
        </w:rPr>
      </w:pPr>
      <w:bookmarkStart w:id="29" w:name="_Ref295303754"/>
      <w:bookmarkStart w:id="30" w:name="_Toc325020097"/>
      <w:bookmarkStart w:id="31" w:name="_Toc305049745"/>
      <w:r w:rsidRPr="00C36C8F">
        <w:rPr>
          <w:caps w:val="0"/>
        </w:rPr>
        <w:t>DEFINITIONS</w:t>
      </w:r>
      <w:bookmarkEnd w:id="27"/>
      <w:bookmarkEnd w:id="29"/>
      <w:bookmarkEnd w:id="30"/>
      <w:bookmarkEnd w:id="31"/>
    </w:p>
    <w:p w:rsidR="003903E1" w:rsidRPr="00C36C8F" w:rsidRDefault="001968DC" w:rsidP="000413DC">
      <w:pPr>
        <w:pStyle w:val="ParaIndent"/>
        <w:jc w:val="both"/>
        <w:rPr>
          <w:lang w:eastAsia="en-AU"/>
        </w:rPr>
      </w:pPr>
      <w:r w:rsidRPr="00C36C8F">
        <w:t xml:space="preserve">This </w:t>
      </w:r>
      <w:r w:rsidR="00F66C44" w:rsidRPr="00C36C8F">
        <w:t>section</w:t>
      </w:r>
      <w:r w:rsidRPr="00C36C8F">
        <w:t xml:space="preserve"> </w:t>
      </w:r>
      <w:r w:rsidR="00F66C44" w:rsidRPr="00C36C8F">
        <w:t>contains</w:t>
      </w:r>
      <w:r w:rsidRPr="00C36C8F">
        <w:t xml:space="preserve"> </w:t>
      </w:r>
      <w:r w:rsidR="00F66C44" w:rsidRPr="00C36C8F">
        <w:t>a discussion of the definition</w:t>
      </w:r>
      <w:r w:rsidR="004E038A" w:rsidRPr="00C36C8F">
        <w:t>s</w:t>
      </w:r>
      <w:r w:rsidR="00F66C44" w:rsidRPr="00C36C8F">
        <w:t xml:space="preserve"> of </w:t>
      </w:r>
      <w:r w:rsidR="00217F82" w:rsidRPr="00C36C8F">
        <w:t>key</w:t>
      </w:r>
      <w:r w:rsidRPr="00C36C8F">
        <w:t xml:space="preserve"> terms used in </w:t>
      </w:r>
      <w:r w:rsidR="002E0BE5" w:rsidRPr="00C36C8F">
        <w:t>waste and recycling reporting</w:t>
      </w:r>
      <w:r w:rsidR="00F66C44" w:rsidRPr="00C36C8F">
        <w:t xml:space="preserve">. </w:t>
      </w:r>
      <w:r w:rsidR="003903E1" w:rsidRPr="00C36C8F">
        <w:t xml:space="preserve">The majority of the discussion relating to the definition of </w:t>
      </w:r>
      <w:r w:rsidR="00217F82" w:rsidRPr="00C36C8F">
        <w:t>key</w:t>
      </w:r>
      <w:r w:rsidR="003903E1" w:rsidRPr="00C36C8F">
        <w:t xml:space="preserve"> terms was originally </w:t>
      </w:r>
      <w:r w:rsidR="00397717" w:rsidRPr="00C36C8F">
        <w:t>presented</w:t>
      </w:r>
      <w:r w:rsidR="003903E1" w:rsidRPr="00C36C8F">
        <w:t xml:space="preserve"> in </w:t>
      </w:r>
      <w:r w:rsidR="003903E1" w:rsidRPr="00C36C8F">
        <w:rPr>
          <w:i/>
        </w:rPr>
        <w:t>National waste and recycling reporting: A more uniform approach to data</w:t>
      </w:r>
      <w:r w:rsidR="00322DDC" w:rsidRPr="00C36C8F">
        <w:rPr>
          <w:i/>
        </w:rPr>
        <w:t xml:space="preserve"> </w:t>
      </w:r>
      <w:r w:rsidR="00322DDC" w:rsidRPr="00C36C8F">
        <w:rPr>
          <w:lang w:eastAsia="en-AU"/>
        </w:rPr>
        <w:t xml:space="preserve">(the </w:t>
      </w:r>
      <w:r w:rsidR="00DE7723" w:rsidRPr="00C36C8F">
        <w:rPr>
          <w:lang w:eastAsia="en-AU"/>
        </w:rPr>
        <w:t>m</w:t>
      </w:r>
      <w:r w:rsidR="00397717" w:rsidRPr="00C36C8F">
        <w:rPr>
          <w:lang w:eastAsia="en-AU"/>
        </w:rPr>
        <w:t>ethod report).</w:t>
      </w:r>
    </w:p>
    <w:p w:rsidR="00326CD2" w:rsidRPr="00C36C8F" w:rsidRDefault="00217F82" w:rsidP="000413DC">
      <w:pPr>
        <w:pStyle w:val="ParaIndent"/>
        <w:jc w:val="both"/>
      </w:pPr>
      <w:r w:rsidRPr="00C36C8F">
        <w:t xml:space="preserve">The discussion of key terms is then followed by a </w:t>
      </w:r>
      <w:r w:rsidR="00397717" w:rsidRPr="00C36C8F">
        <w:t>glossary of terms</w:t>
      </w:r>
      <w:r w:rsidRPr="00C36C8F">
        <w:t xml:space="preserve"> in </w:t>
      </w:r>
      <w:fldSimple w:instr=" REF _Ref297645307 \h  \* MERGEFORMAT ">
        <w:r w:rsidR="00AE7E3B" w:rsidRPr="00C36C8F">
          <w:t xml:space="preserve">Table </w:t>
        </w:r>
        <w:r w:rsidR="00AE7E3B">
          <w:rPr>
            <w:noProof/>
          </w:rPr>
          <w:t>2</w:t>
        </w:r>
        <w:r w:rsidR="00AE7E3B" w:rsidRPr="00C36C8F">
          <w:rPr>
            <w:noProof/>
          </w:rPr>
          <w:t>-</w:t>
        </w:r>
        <w:r w:rsidR="00AE7E3B">
          <w:rPr>
            <w:noProof/>
          </w:rPr>
          <w:t>3</w:t>
        </w:r>
      </w:fldSimple>
      <w:r w:rsidR="00E84F79">
        <w:t>,</w:t>
      </w:r>
      <w:r w:rsidR="00397717" w:rsidRPr="00C36C8F">
        <w:t xml:space="preserve"> </w:t>
      </w:r>
      <w:r w:rsidRPr="00C36C8F">
        <w:t xml:space="preserve">which outlines </w:t>
      </w:r>
      <w:r w:rsidR="00397717" w:rsidRPr="00C36C8F">
        <w:t xml:space="preserve">the definition of these terms </w:t>
      </w:r>
      <w:r w:rsidR="00DA5A74" w:rsidRPr="00C36C8F">
        <w:rPr>
          <w:i/>
        </w:rPr>
        <w:t>for the purposes of this report</w:t>
      </w:r>
      <w:r w:rsidR="00E84F79">
        <w:t>,</w:t>
      </w:r>
      <w:r w:rsidR="00B22840" w:rsidRPr="00C36C8F">
        <w:rPr>
          <w:i/>
        </w:rPr>
        <w:t xml:space="preserve"> </w:t>
      </w:r>
      <w:r w:rsidR="00B22840" w:rsidRPr="00C36C8F">
        <w:t xml:space="preserve">and </w:t>
      </w:r>
      <w:fldSimple w:instr=" REF _Ref301273718 \h  \* MERGEFORMAT ">
        <w:r w:rsidR="00AE7E3B" w:rsidRPr="00C36C8F">
          <w:t xml:space="preserve">Figure </w:t>
        </w:r>
        <w:r w:rsidR="00AE7E3B">
          <w:rPr>
            <w:noProof/>
          </w:rPr>
          <w:t>2</w:t>
        </w:r>
        <w:r w:rsidR="00AE7E3B" w:rsidRPr="00C36C8F">
          <w:rPr>
            <w:noProof/>
          </w:rPr>
          <w:t>-</w:t>
        </w:r>
        <w:r w:rsidR="00AE7E3B">
          <w:rPr>
            <w:noProof/>
          </w:rPr>
          <w:t>1</w:t>
        </w:r>
      </w:fldSimple>
      <w:r w:rsidR="00B22840" w:rsidRPr="00C36C8F">
        <w:t xml:space="preserve"> which illustrates the key terms and how they relate.</w:t>
      </w:r>
      <w:r w:rsidRPr="00C36C8F">
        <w:rPr>
          <w:i/>
        </w:rPr>
        <w:t xml:space="preserve"> </w:t>
      </w:r>
      <w:r w:rsidR="00397717" w:rsidRPr="00C36C8F">
        <w:t xml:space="preserve">A number of other </w:t>
      </w:r>
      <w:r w:rsidR="00326CD2" w:rsidRPr="00C36C8F">
        <w:t xml:space="preserve">key </w:t>
      </w:r>
      <w:r w:rsidR="00397717" w:rsidRPr="00C36C8F">
        <w:t>terms, includin</w:t>
      </w:r>
      <w:r w:rsidR="00FF3859" w:rsidRPr="00C36C8F">
        <w:t>g those for material categories</w:t>
      </w:r>
      <w:r w:rsidR="00397717" w:rsidRPr="00C36C8F">
        <w:t xml:space="preserve"> </w:t>
      </w:r>
      <w:r w:rsidR="00326CD2" w:rsidRPr="00C36C8F">
        <w:t>and types</w:t>
      </w:r>
      <w:r w:rsidR="00B2289D">
        <w:t>,</w:t>
      </w:r>
      <w:r w:rsidR="00326CD2" w:rsidRPr="00C36C8F">
        <w:t xml:space="preserve"> </w:t>
      </w:r>
      <w:r w:rsidR="00397717" w:rsidRPr="00C36C8F">
        <w:t xml:space="preserve">are defined during the discussion of the method </w:t>
      </w:r>
      <w:r w:rsidRPr="00C36C8F">
        <w:t xml:space="preserve">report </w:t>
      </w:r>
      <w:r w:rsidR="00397717" w:rsidRPr="00C36C8F">
        <w:t>in</w:t>
      </w:r>
      <w:r w:rsidR="000E3E5C" w:rsidRPr="00C36C8F">
        <w:t xml:space="preserve"> Section</w:t>
      </w:r>
      <w:r w:rsidR="00397717" w:rsidRPr="00C36C8F">
        <w:t xml:space="preserve"> </w:t>
      </w:r>
      <w:fldSimple w:instr=" REF _Ref295210521 \r \h  \* MERGEFORMAT ">
        <w:r w:rsidR="00AE7E3B">
          <w:t>3</w:t>
        </w:r>
      </w:fldSimple>
      <w:r w:rsidR="00397717" w:rsidRPr="00C36C8F">
        <w:t>.</w:t>
      </w:r>
      <w:r w:rsidR="00B22840" w:rsidRPr="00C36C8F">
        <w:t xml:space="preserve"> </w:t>
      </w:r>
    </w:p>
    <w:p w:rsidR="00F66C44" w:rsidRPr="00C36C8F" w:rsidRDefault="0066282F" w:rsidP="000413DC">
      <w:pPr>
        <w:pStyle w:val="ParaIndent"/>
        <w:jc w:val="both"/>
      </w:pPr>
      <w:r w:rsidRPr="00C36C8F">
        <w:t xml:space="preserve">There </w:t>
      </w:r>
      <w:r w:rsidR="00FF3859" w:rsidRPr="00C36C8F">
        <w:t>are</w:t>
      </w:r>
      <w:r w:rsidR="006F4300" w:rsidRPr="00C36C8F">
        <w:t xml:space="preserve"> likely to be</w:t>
      </w:r>
      <w:r w:rsidRPr="00C36C8F">
        <w:t xml:space="preserve"> differences in the </w:t>
      </w:r>
      <w:r w:rsidR="00F66C44" w:rsidRPr="00C36C8F">
        <w:t xml:space="preserve">definitions </w:t>
      </w:r>
      <w:r w:rsidRPr="00C36C8F">
        <w:t>provided</w:t>
      </w:r>
      <w:r w:rsidR="00F66C44" w:rsidRPr="00C36C8F">
        <w:t xml:space="preserve"> </w:t>
      </w:r>
      <w:r w:rsidRPr="00C36C8F">
        <w:t xml:space="preserve">in this report and those </w:t>
      </w:r>
      <w:r w:rsidR="00F66C44" w:rsidRPr="00C36C8F">
        <w:t>used in the reports produced by states</w:t>
      </w:r>
      <w:r w:rsidR="0010699F" w:rsidRPr="00C36C8F">
        <w:t>,</w:t>
      </w:r>
      <w:r w:rsidR="00F66C44" w:rsidRPr="00C36C8F">
        <w:t xml:space="preserve"> te</w:t>
      </w:r>
      <w:r w:rsidR="0098640C" w:rsidRPr="00C36C8F">
        <w:t>rritories, and industry bodi</w:t>
      </w:r>
      <w:r w:rsidRPr="00C36C8F">
        <w:t>es</w:t>
      </w:r>
      <w:r w:rsidR="004E038A" w:rsidRPr="00C36C8F">
        <w:t>.</w:t>
      </w:r>
      <w:r w:rsidRPr="00C36C8F">
        <w:t xml:space="preserve">  </w:t>
      </w:r>
      <w:r w:rsidR="004E038A" w:rsidRPr="00C36C8F">
        <w:t>D</w:t>
      </w:r>
      <w:r w:rsidRPr="00C36C8F">
        <w:t>efinitions across different reports need to be reconciled before data comparisons can be made.</w:t>
      </w:r>
    </w:p>
    <w:p w:rsidR="006301A4" w:rsidRPr="00C36C8F" w:rsidRDefault="006301A4" w:rsidP="000413DC">
      <w:pPr>
        <w:pStyle w:val="Heading40"/>
        <w:spacing w:before="0"/>
        <w:jc w:val="both"/>
      </w:pPr>
      <w:bookmarkStart w:id="32" w:name="_Ref279505457"/>
      <w:bookmarkStart w:id="33" w:name="_Toc279510545"/>
      <w:bookmarkStart w:id="34" w:name="_Ref284324191"/>
      <w:bookmarkStart w:id="35" w:name="_Toc284506825"/>
      <w:r w:rsidRPr="00C36C8F">
        <w:t>Consumption</w:t>
      </w:r>
      <w:bookmarkEnd w:id="32"/>
      <w:bookmarkEnd w:id="33"/>
    </w:p>
    <w:p w:rsidR="006301A4" w:rsidRPr="00C36C8F" w:rsidRDefault="006301A4" w:rsidP="000413DC">
      <w:pPr>
        <w:pStyle w:val="ParaIndent"/>
        <w:keepNext/>
        <w:jc w:val="both"/>
      </w:pPr>
      <w:r w:rsidRPr="00C36C8F">
        <w:t xml:space="preserve">According to the Australian Standard </w:t>
      </w:r>
      <w:r w:rsidRPr="00C36C8F">
        <w:rPr>
          <w:i/>
        </w:rPr>
        <w:t xml:space="preserve">Waste management </w:t>
      </w:r>
      <w:r w:rsidR="0098640C" w:rsidRPr="00C36C8F">
        <w:rPr>
          <w:i/>
        </w:rPr>
        <w:t>–</w:t>
      </w:r>
      <w:r w:rsidRPr="00C36C8F">
        <w:rPr>
          <w:i/>
        </w:rPr>
        <w:t xml:space="preserve"> Glossary of terms</w:t>
      </w:r>
      <w:r w:rsidRPr="00C36C8F">
        <w:t xml:space="preserve"> (AS/NZS 3831:1998) a consumer is “any organi</w:t>
      </w:r>
      <w:r w:rsidR="0010699F" w:rsidRPr="00C36C8F">
        <w:t>s</w:t>
      </w:r>
      <w:r w:rsidRPr="00C36C8F">
        <w:t>ation or person purchasing or using materials, goods or services.”</w:t>
      </w:r>
    </w:p>
    <w:p w:rsidR="006301A4" w:rsidRPr="00C36C8F" w:rsidRDefault="006301A4" w:rsidP="000413DC">
      <w:pPr>
        <w:pStyle w:val="ParaIndent"/>
        <w:keepNext/>
        <w:jc w:val="both"/>
      </w:pPr>
      <w:r w:rsidRPr="00C36C8F">
        <w:t>The definition of consumption provided in the Plastic</w:t>
      </w:r>
      <w:r w:rsidR="00564A85" w:rsidRPr="00C36C8F">
        <w:t>s</w:t>
      </w:r>
      <w:r w:rsidRPr="00C36C8F">
        <w:t xml:space="preserve"> and Chemical</w:t>
      </w:r>
      <w:r w:rsidR="00564A85" w:rsidRPr="00C36C8F">
        <w:t>s</w:t>
      </w:r>
      <w:r w:rsidRPr="00C36C8F">
        <w:t xml:space="preserve"> Industries Association (PACIA) </w:t>
      </w:r>
      <w:r w:rsidRPr="00C36C8F">
        <w:rPr>
          <w:i/>
        </w:rPr>
        <w:t>National Plastics Recycling Survey</w:t>
      </w:r>
      <w:r w:rsidRPr="00C36C8F">
        <w:t xml:space="preserve"> (Hyder, 2008a) is:</w:t>
      </w:r>
    </w:p>
    <w:p w:rsidR="006301A4" w:rsidRPr="00C36C8F" w:rsidRDefault="006301A4" w:rsidP="000413DC">
      <w:pPr>
        <w:pStyle w:val="ParaIndent"/>
        <w:ind w:left="1701"/>
        <w:jc w:val="both"/>
      </w:pPr>
      <w:r w:rsidRPr="00C36C8F">
        <w:t>Consum</w:t>
      </w:r>
      <w:r w:rsidR="00025296" w:rsidRPr="00C36C8F">
        <w:t>ption - Total use of product by</w:t>
      </w:r>
      <w:r w:rsidRPr="00C36C8F">
        <w:t>... industry and consumers. Includes locally made and used product, imported product and locally utilised recyclate. Does not include locally made product that is exported for use.</w:t>
      </w:r>
    </w:p>
    <w:p w:rsidR="006301A4" w:rsidRPr="00C36C8F" w:rsidRDefault="006301A4" w:rsidP="000413DC">
      <w:pPr>
        <w:pStyle w:val="ParaIndent"/>
        <w:jc w:val="both"/>
      </w:pPr>
      <w:r w:rsidRPr="00C36C8F">
        <w:t>The key aspects of these definitions are that consumption of products and materials occurs at the point of</w:t>
      </w:r>
      <w:r w:rsidR="00E84F79">
        <w:t xml:space="preserve"> purchase or</w:t>
      </w:r>
      <w:r w:rsidRPr="00C36C8F">
        <w:t xml:space="preserve"> use, and is distinct from the production of products and materials.</w:t>
      </w:r>
    </w:p>
    <w:p w:rsidR="00BF400C" w:rsidRPr="00C36C8F" w:rsidRDefault="00BF400C" w:rsidP="000413DC">
      <w:pPr>
        <w:pStyle w:val="Heading40"/>
        <w:spacing w:before="0"/>
        <w:jc w:val="both"/>
      </w:pPr>
      <w:r w:rsidRPr="00C36C8F">
        <w:t>Waste</w:t>
      </w:r>
    </w:p>
    <w:p w:rsidR="00BF400C" w:rsidRPr="00C36C8F" w:rsidRDefault="00BF400C" w:rsidP="000413DC">
      <w:pPr>
        <w:pStyle w:val="ParaIndent"/>
        <w:keepNext/>
        <w:jc w:val="both"/>
        <w:rPr>
          <w:lang w:eastAsia="en-AU"/>
        </w:rPr>
      </w:pPr>
      <w:r w:rsidRPr="00C36C8F">
        <w:rPr>
          <w:lang w:eastAsia="en-AU"/>
        </w:rPr>
        <w:t xml:space="preserve">There is no widely accepted scope for waste and recycling reporting. What is defined as ‘waste’ is often </w:t>
      </w:r>
      <w:r w:rsidR="00A65B49" w:rsidRPr="00C36C8F">
        <w:rPr>
          <w:lang w:eastAsia="en-AU"/>
        </w:rPr>
        <w:t>subjective;</w:t>
      </w:r>
      <w:r w:rsidRPr="00C36C8F">
        <w:rPr>
          <w:lang w:eastAsia="en-AU"/>
        </w:rPr>
        <w:t xml:space="preserve"> however, most jurisdictions have a legal definition. The </w:t>
      </w:r>
      <w:r w:rsidRPr="00C36C8F">
        <w:rPr>
          <w:i/>
          <w:lang w:eastAsia="en-AU"/>
        </w:rPr>
        <w:t>National Waste Policy Regulatory Impact Statement</w:t>
      </w:r>
      <w:r w:rsidRPr="00C36C8F">
        <w:rPr>
          <w:lang w:eastAsia="en-AU"/>
        </w:rPr>
        <w:t xml:space="preserve"> (RIS) states that:</w:t>
      </w:r>
    </w:p>
    <w:p w:rsidR="00BF400C" w:rsidRPr="00C36C8F" w:rsidRDefault="00BF400C" w:rsidP="000413DC">
      <w:pPr>
        <w:pStyle w:val="ParaIndent"/>
        <w:ind w:left="1701"/>
        <w:jc w:val="both"/>
        <w:rPr>
          <w:lang w:eastAsia="en-AU"/>
        </w:rPr>
      </w:pPr>
      <w:r w:rsidRPr="00C36C8F">
        <w:rPr>
          <w:lang w:eastAsia="en-AU"/>
        </w:rPr>
        <w:t>Defining waste is not simple and there is no single domestic or international definition. This is due to the complex nature of waste, and the fact that the nature of waste is changing rapidly, involving more diverse materials and products as well as new processing and management technologies.</w:t>
      </w:r>
    </w:p>
    <w:p w:rsidR="00BF400C" w:rsidRPr="00C36C8F" w:rsidRDefault="00BF400C" w:rsidP="000413DC">
      <w:pPr>
        <w:pStyle w:val="ParaIndent"/>
        <w:keepNext/>
        <w:jc w:val="both"/>
        <w:rPr>
          <w:lang w:eastAsia="en-AU"/>
        </w:rPr>
      </w:pPr>
      <w:r w:rsidRPr="00C36C8F">
        <w:rPr>
          <w:lang w:eastAsia="en-AU"/>
        </w:rPr>
        <w:t xml:space="preserve">Nevertheless, the </w:t>
      </w:r>
      <w:r w:rsidRPr="00C36C8F">
        <w:rPr>
          <w:i/>
          <w:lang w:eastAsia="en-AU"/>
        </w:rPr>
        <w:t>National Waste Report 2010</w:t>
      </w:r>
      <w:r w:rsidRPr="00C36C8F">
        <w:rPr>
          <w:lang w:eastAsia="en-AU"/>
        </w:rPr>
        <w:t xml:space="preserve"> includes the following definition of waste:</w:t>
      </w:r>
    </w:p>
    <w:p w:rsidR="00416F0B" w:rsidRPr="00C36C8F" w:rsidRDefault="00BF400C" w:rsidP="000413DC">
      <w:pPr>
        <w:pStyle w:val="ParaIndent"/>
        <w:ind w:left="1701"/>
        <w:jc w:val="both"/>
      </w:pPr>
      <w:r w:rsidRPr="00C36C8F">
        <w:rPr>
          <w:lang w:eastAsia="en-AU"/>
        </w:rPr>
        <w:t>Any discarded, rejected, unwanted, surplus or abandoned matter; discarded, rejected, unwanted, surplus or abandoned matter intended for recycling, reprocessing, recovery, re-use or purification by a separate operation from that which produced the matter, or for sale, whether of any value or not.</w:t>
      </w:r>
    </w:p>
    <w:p w:rsidR="006301A4" w:rsidRPr="00C36C8F" w:rsidRDefault="00B65851" w:rsidP="000413DC">
      <w:pPr>
        <w:pStyle w:val="Heading40"/>
        <w:spacing w:before="0"/>
        <w:jc w:val="both"/>
      </w:pPr>
      <w:r w:rsidRPr="00C36C8F">
        <w:t xml:space="preserve">Waste </w:t>
      </w:r>
      <w:r w:rsidR="004E038A" w:rsidRPr="00C36C8F">
        <w:t>r</w:t>
      </w:r>
      <w:r w:rsidR="006301A4" w:rsidRPr="00C36C8F">
        <w:t>e-use</w:t>
      </w:r>
    </w:p>
    <w:p w:rsidR="006301A4" w:rsidRPr="00C36C8F" w:rsidRDefault="006301A4" w:rsidP="000413DC">
      <w:pPr>
        <w:pStyle w:val="ParaIndent"/>
        <w:keepNext/>
        <w:jc w:val="both"/>
      </w:pPr>
      <w:r w:rsidRPr="00C36C8F">
        <w:t>T</w:t>
      </w:r>
      <w:r w:rsidR="00564A85" w:rsidRPr="00C36C8F">
        <w:t xml:space="preserve">he definition of re-use is </w:t>
      </w:r>
      <w:r w:rsidRPr="00C36C8F">
        <w:t xml:space="preserve">captured in Zero Waste SA’s </w:t>
      </w:r>
      <w:r w:rsidRPr="00C36C8F">
        <w:rPr>
          <w:i/>
        </w:rPr>
        <w:t>Recycling Activity in South Australia</w:t>
      </w:r>
      <w:r w:rsidRPr="00C36C8F">
        <w:t xml:space="preserve"> (Hyder, 2008b), where:</w:t>
      </w:r>
    </w:p>
    <w:p w:rsidR="006301A4" w:rsidRPr="00C36C8F" w:rsidRDefault="006301A4" w:rsidP="000413DC">
      <w:pPr>
        <w:pStyle w:val="ParaIndent"/>
        <w:ind w:left="1701"/>
        <w:jc w:val="both"/>
      </w:pPr>
      <w:r w:rsidRPr="00C36C8F">
        <w:t>Re-use involves recovering value from a discarded resource in its original state without reprocessing or remanufacture.</w:t>
      </w:r>
    </w:p>
    <w:p w:rsidR="00E84F79" w:rsidRDefault="006301A4" w:rsidP="000413DC">
      <w:pPr>
        <w:pStyle w:val="ParaIndent"/>
        <w:jc w:val="both"/>
      </w:pPr>
      <w:r w:rsidRPr="00C36C8F">
        <w:t xml:space="preserve">The Australian Standard (AS/NZS 3831:1998) definition is essentially the same, though it does explicitly mention the exclusion of reprocessing from the definition of re-use. </w:t>
      </w:r>
    </w:p>
    <w:p w:rsidR="006301A4" w:rsidRPr="00C36C8F" w:rsidRDefault="006301A4" w:rsidP="000413DC">
      <w:pPr>
        <w:pStyle w:val="ParaIndent"/>
        <w:jc w:val="both"/>
      </w:pPr>
      <w:r w:rsidRPr="00C36C8F">
        <w:t xml:space="preserve">The Australian Standard defines re-use as using a product again for the same or a different purpose, which is the equivalent to recovering value. It is important to note that within the Australian Standard </w:t>
      </w:r>
      <w:r w:rsidR="00564A85" w:rsidRPr="00C36C8F">
        <w:t>(</w:t>
      </w:r>
      <w:r w:rsidRPr="00C36C8F">
        <w:t xml:space="preserve">AS/NZS 3831:1998) the terms re-use and recycle are clearly stated to </w:t>
      </w:r>
      <w:r w:rsidR="00DA5A74" w:rsidRPr="00C36C8F">
        <w:rPr>
          <w:b/>
        </w:rPr>
        <w:t>not</w:t>
      </w:r>
      <w:r w:rsidRPr="00C36C8F">
        <w:t xml:space="preserve"> be synonyms.</w:t>
      </w:r>
    </w:p>
    <w:p w:rsidR="006301A4" w:rsidRPr="00C36C8F" w:rsidRDefault="006301A4" w:rsidP="000413DC">
      <w:pPr>
        <w:pStyle w:val="Heading40"/>
        <w:spacing w:before="0"/>
        <w:jc w:val="both"/>
      </w:pPr>
      <w:r w:rsidRPr="00C36C8F">
        <w:t>End-of-life</w:t>
      </w:r>
    </w:p>
    <w:p w:rsidR="006301A4" w:rsidRPr="00C36C8F" w:rsidRDefault="006301A4" w:rsidP="000413DC">
      <w:pPr>
        <w:pStyle w:val="ParaIndent"/>
        <w:keepNext/>
        <w:jc w:val="both"/>
      </w:pPr>
      <w:r w:rsidRPr="00C36C8F">
        <w:t xml:space="preserve">The </w:t>
      </w:r>
      <w:r w:rsidRPr="00C36C8F">
        <w:rPr>
          <w:i/>
        </w:rPr>
        <w:t>Metropolitan Waste and Resource Recovery Strategic Plan</w:t>
      </w:r>
      <w:r w:rsidRPr="00C36C8F">
        <w:t xml:space="preserve"> (Victorian Government, 2009) defines end-of-life waste as:</w:t>
      </w:r>
    </w:p>
    <w:p w:rsidR="006301A4" w:rsidRPr="00C36C8F" w:rsidRDefault="006301A4" w:rsidP="000413DC">
      <w:pPr>
        <w:pStyle w:val="ParaIndent"/>
        <w:ind w:left="1701"/>
        <w:jc w:val="both"/>
      </w:pPr>
      <w:r w:rsidRPr="00C36C8F">
        <w:t>Products such as cars that have reached the end of their useful life and become waste. This term is often used in the context of the product stewardship responsibilities of manufacturers and brand-owners for wastes discarded by consumers.</w:t>
      </w:r>
    </w:p>
    <w:p w:rsidR="006301A4" w:rsidRPr="00C36C8F" w:rsidRDefault="006301A4" w:rsidP="000413DC">
      <w:pPr>
        <w:pStyle w:val="ParaIndent"/>
        <w:jc w:val="both"/>
      </w:pPr>
      <w:r w:rsidRPr="00C36C8F">
        <w:t>The use of the term “useful life” implies a product has passed through its intended application, reached the end of its serviceability, and has no further re-use value</w:t>
      </w:r>
      <w:r w:rsidR="004A33E4" w:rsidRPr="00C36C8F">
        <w:t xml:space="preserve"> and enters the waste stream</w:t>
      </w:r>
      <w:r w:rsidRPr="00C36C8F">
        <w:t>.</w:t>
      </w:r>
      <w:r w:rsidR="00B65851" w:rsidRPr="00C36C8F">
        <w:t xml:space="preserve"> Products and materials are often disposed of into the waste stream </w:t>
      </w:r>
      <w:r w:rsidR="00E84F79" w:rsidRPr="00C36C8F">
        <w:t>whe</w:t>
      </w:r>
      <w:r w:rsidR="00E84F79">
        <w:t>n</w:t>
      </w:r>
      <w:r w:rsidR="00E84F79" w:rsidRPr="00C36C8F">
        <w:t xml:space="preserve"> </w:t>
      </w:r>
      <w:r w:rsidR="00B65851" w:rsidRPr="00C36C8F">
        <w:t>they have not reached their ‘end of life’ and such materials are often recovered at the landfill transfer station or tipping face. Where these materials are recycled (see definition) they are then reintroduced back into consumption. Where the materials are re</w:t>
      </w:r>
      <w:r w:rsidR="00E84F79">
        <w:t>-</w:t>
      </w:r>
      <w:r w:rsidR="00B65851" w:rsidRPr="00C36C8F">
        <w:t>used</w:t>
      </w:r>
      <w:r w:rsidR="0010699F" w:rsidRPr="00C36C8F">
        <w:t>, however,</w:t>
      </w:r>
      <w:r w:rsidR="00B65851" w:rsidRPr="00C36C8F">
        <w:t xml:space="preserve"> they are reintroduced into the use and re</w:t>
      </w:r>
      <w:r w:rsidR="00E84F79">
        <w:t>-</w:t>
      </w:r>
      <w:r w:rsidR="00B65851" w:rsidRPr="00C36C8F">
        <w:t>use cycle</w:t>
      </w:r>
      <w:r w:rsidR="0010699F" w:rsidRPr="00C36C8F">
        <w:t xml:space="preserve"> (see definition)</w:t>
      </w:r>
      <w:r w:rsidR="00B65851" w:rsidRPr="00C36C8F">
        <w:t xml:space="preserve">. </w:t>
      </w:r>
    </w:p>
    <w:p w:rsidR="006301A4" w:rsidRPr="00C36C8F" w:rsidRDefault="006301A4" w:rsidP="000413DC">
      <w:pPr>
        <w:pStyle w:val="Heading40"/>
        <w:spacing w:before="0"/>
        <w:jc w:val="both"/>
      </w:pPr>
      <w:bookmarkStart w:id="36" w:name="_Toc279510548"/>
      <w:r w:rsidRPr="00C36C8F">
        <w:t>Recovery</w:t>
      </w:r>
      <w:bookmarkEnd w:id="36"/>
    </w:p>
    <w:p w:rsidR="006301A4" w:rsidRPr="00C36C8F" w:rsidRDefault="001A0D55" w:rsidP="000413DC">
      <w:pPr>
        <w:pStyle w:val="ParaIndent"/>
        <w:jc w:val="both"/>
      </w:pPr>
      <w:r>
        <w:t>Recovery is used to refer to both material resource recovery (such as through recycling) and energy recovery.</w:t>
      </w:r>
      <w:r w:rsidR="004B097B">
        <w:t xml:space="preserve"> </w:t>
      </w:r>
      <w:r w:rsidR="006301A4" w:rsidRPr="00C36C8F">
        <w:t>The Australian Standard (AS/NZS 3831:1998) defines resource recovery as a “process that extracts material or energy from the waste stream.”</w:t>
      </w:r>
      <w:r w:rsidR="00F960BC" w:rsidRPr="00C36C8F">
        <w:t xml:space="preserve"> </w:t>
      </w:r>
      <w:r w:rsidR="006301A4" w:rsidRPr="00C36C8F">
        <w:t xml:space="preserve">The </w:t>
      </w:r>
      <w:r w:rsidR="006301A4" w:rsidRPr="00C36C8F">
        <w:rPr>
          <w:i/>
        </w:rPr>
        <w:t>National Waste Report 2010</w:t>
      </w:r>
      <w:r w:rsidR="006301A4" w:rsidRPr="00C36C8F">
        <w:t xml:space="preserve"> expands the definition of resource recovery to be:</w:t>
      </w:r>
    </w:p>
    <w:p w:rsidR="006301A4" w:rsidRPr="00C36C8F" w:rsidRDefault="006301A4" w:rsidP="000413DC">
      <w:pPr>
        <w:pStyle w:val="ParaIndent"/>
        <w:ind w:left="1701"/>
        <w:jc w:val="both"/>
      </w:pPr>
      <w:r w:rsidRPr="00C36C8F">
        <w:t>The process of extracting materials or energy from a waste stream through re-use (using the product for the same or a different purpose without further production), recycling or recovering energy from waste.</w:t>
      </w:r>
    </w:p>
    <w:p w:rsidR="006301A4" w:rsidRPr="00C36C8F" w:rsidRDefault="006301A4" w:rsidP="000413DC">
      <w:pPr>
        <w:pStyle w:val="ParaIndent"/>
        <w:jc w:val="both"/>
      </w:pPr>
      <w:r w:rsidRPr="00C36C8F">
        <w:t>In some cases, the amount of products or materials ‘recovered’ is the gross amount collected, and does not exclude contamination or unwanted components</w:t>
      </w:r>
      <w:r w:rsidR="00FF3859" w:rsidRPr="00C36C8F">
        <w:t>.</w:t>
      </w:r>
    </w:p>
    <w:p w:rsidR="006301A4" w:rsidRPr="00C36C8F" w:rsidRDefault="006301A4" w:rsidP="000413DC">
      <w:pPr>
        <w:pStyle w:val="Heading40"/>
        <w:spacing w:before="0"/>
        <w:jc w:val="both"/>
      </w:pPr>
      <w:r w:rsidRPr="00C36C8F">
        <w:t>Recycling</w:t>
      </w:r>
    </w:p>
    <w:p w:rsidR="006301A4" w:rsidRPr="00C36C8F" w:rsidRDefault="006301A4" w:rsidP="000413DC">
      <w:pPr>
        <w:pStyle w:val="ParaIndent"/>
        <w:keepNext/>
        <w:jc w:val="both"/>
      </w:pPr>
      <w:r w:rsidRPr="00C36C8F">
        <w:t xml:space="preserve">The definitions given in the Australian Standard (AS/NZS 3831:1998) and the </w:t>
      </w:r>
      <w:r w:rsidRPr="00C36C8F">
        <w:rPr>
          <w:i/>
        </w:rPr>
        <w:t>National Waste Report 2010</w:t>
      </w:r>
      <w:r w:rsidRPr="00C36C8F">
        <w:t xml:space="preserve"> provide a clear definition of recycling. The Australian Standard definition of recycling is:</w:t>
      </w:r>
    </w:p>
    <w:p w:rsidR="006301A4" w:rsidRPr="00C36C8F" w:rsidRDefault="006301A4" w:rsidP="000413DC">
      <w:pPr>
        <w:pStyle w:val="ParaIndent"/>
        <w:ind w:left="1701"/>
        <w:jc w:val="both"/>
      </w:pPr>
      <w:r w:rsidRPr="00C36C8F">
        <w:t xml:space="preserve">[A] Set of processes (including biological) for converting recovered materials that would otherwise be disposed of as waste, into useful materials and or products. The following definitions apply: a) </w:t>
      </w:r>
      <w:r w:rsidRPr="00C36C8F">
        <w:rPr>
          <w:i/>
        </w:rPr>
        <w:t>Closed loop recycling</w:t>
      </w:r>
      <w:r w:rsidRPr="00C36C8F">
        <w:t xml:space="preserve"> - recycling process in which the reclaimed output is used as an input to the same product system. b) </w:t>
      </w:r>
      <w:r w:rsidRPr="00C36C8F">
        <w:rPr>
          <w:i/>
        </w:rPr>
        <w:t>Open loop recycling</w:t>
      </w:r>
      <w:r w:rsidRPr="00C36C8F">
        <w:t xml:space="preserve"> - recycling process in which the reclaimed output is used as an input into another product system.</w:t>
      </w:r>
    </w:p>
    <w:p w:rsidR="006301A4" w:rsidRPr="00C36C8F" w:rsidRDefault="006301A4" w:rsidP="000413DC">
      <w:pPr>
        <w:pStyle w:val="ParaIndent"/>
        <w:keepNext/>
        <w:jc w:val="both"/>
      </w:pPr>
      <w:r w:rsidRPr="00C36C8F">
        <w:t>The Australian Standard defines something as recyclable if it is:</w:t>
      </w:r>
    </w:p>
    <w:p w:rsidR="006301A4" w:rsidRPr="00C36C8F" w:rsidRDefault="006301A4" w:rsidP="000413DC">
      <w:pPr>
        <w:pStyle w:val="ParaIndent"/>
        <w:ind w:left="1701"/>
        <w:jc w:val="both"/>
      </w:pPr>
      <w:r w:rsidRPr="00C36C8F">
        <w:t>...able to be recovered, processed and used as a raw material for the manufacture of a useful new product through a commercial process.</w:t>
      </w:r>
    </w:p>
    <w:p w:rsidR="006301A4" w:rsidRPr="00C36C8F" w:rsidRDefault="006301A4" w:rsidP="000413DC">
      <w:pPr>
        <w:pStyle w:val="ParaIndent"/>
        <w:keepNext/>
        <w:jc w:val="both"/>
      </w:pPr>
      <w:r w:rsidRPr="00C36C8F">
        <w:t xml:space="preserve">The </w:t>
      </w:r>
      <w:r w:rsidRPr="00C36C8F">
        <w:rPr>
          <w:i/>
        </w:rPr>
        <w:t>National Waste Report 2010</w:t>
      </w:r>
      <w:r w:rsidRPr="00C36C8F">
        <w:t xml:space="preserve"> definition is simpler, and places recycling as a subset of resource recovery. Recycling is:</w:t>
      </w:r>
    </w:p>
    <w:p w:rsidR="006301A4" w:rsidRPr="00C36C8F" w:rsidRDefault="006301A4" w:rsidP="000413DC">
      <w:pPr>
        <w:pStyle w:val="ParaIndent"/>
        <w:ind w:left="1701"/>
        <w:jc w:val="both"/>
      </w:pPr>
      <w:r w:rsidRPr="00C36C8F">
        <w:t>A resource recovery method involving the collection and processing of waste for use as a raw material in the manufacture of the same or similar non-waste product.</w:t>
      </w:r>
    </w:p>
    <w:p w:rsidR="006301A4" w:rsidRPr="00C36C8F" w:rsidRDefault="006301A4" w:rsidP="000413DC">
      <w:pPr>
        <w:pStyle w:val="ParaIndent"/>
        <w:keepNext/>
        <w:jc w:val="both"/>
      </w:pPr>
      <w:r w:rsidRPr="00C36C8F">
        <w:t xml:space="preserve">The </w:t>
      </w:r>
      <w:r w:rsidRPr="00C36C8F">
        <w:rPr>
          <w:i/>
        </w:rPr>
        <w:t>National Waste Report 2010</w:t>
      </w:r>
      <w:r w:rsidRPr="00C36C8F">
        <w:t xml:space="preserve"> defines recyclate as:</w:t>
      </w:r>
    </w:p>
    <w:p w:rsidR="006301A4" w:rsidRPr="00C36C8F" w:rsidRDefault="006301A4" w:rsidP="000413DC">
      <w:pPr>
        <w:pStyle w:val="ParaIndent"/>
        <w:ind w:left="1701"/>
        <w:jc w:val="both"/>
      </w:pPr>
      <w:r w:rsidRPr="00C36C8F">
        <w:t>Material able to be processed for recycling in a facility. Sometimes only to refer to materials actually recovered from recycling, excluding residual wastes.</w:t>
      </w:r>
    </w:p>
    <w:p w:rsidR="006301A4" w:rsidRPr="00C36C8F" w:rsidRDefault="006301A4" w:rsidP="000413DC">
      <w:pPr>
        <w:pStyle w:val="ParaIndent"/>
        <w:keepNext/>
        <w:jc w:val="both"/>
      </w:pPr>
      <w:r w:rsidRPr="00C36C8F">
        <w:rPr>
          <w:i/>
        </w:rPr>
        <w:t>Recycling Activities in South Australia</w:t>
      </w:r>
      <w:r w:rsidRPr="00C36C8F">
        <w:t xml:space="preserve"> (Hyder, 2008c) was careful to exclude:</w:t>
      </w:r>
    </w:p>
    <w:p w:rsidR="006301A4" w:rsidRPr="00C36C8F" w:rsidRDefault="006301A4" w:rsidP="000413DC">
      <w:pPr>
        <w:pStyle w:val="ParaIndent"/>
        <w:ind w:left="1701"/>
        <w:jc w:val="both"/>
      </w:pPr>
      <w:r w:rsidRPr="00C36C8F">
        <w:t>...waste materials that are reclaimed and reutilised within the same manufacturing processes that generated it as a matter of course to the efficient operation of the site...</w:t>
      </w:r>
    </w:p>
    <w:p w:rsidR="006301A4" w:rsidRPr="00C36C8F" w:rsidRDefault="006301A4" w:rsidP="000413DC">
      <w:pPr>
        <w:pStyle w:val="ParaIndent"/>
        <w:keepNext/>
        <w:jc w:val="both"/>
      </w:pPr>
      <w:r w:rsidRPr="00C36C8F">
        <w:t xml:space="preserve">It is important to note the inclusion of biological process in the Australian Standard definition of recycling. In some cases, composting is seen as being distinct from the definition of recycling. For example, the Victorian </w:t>
      </w:r>
      <w:r w:rsidRPr="00C36C8F">
        <w:rPr>
          <w:i/>
        </w:rPr>
        <w:t>Metropolitan Waste and Resource Recovery Strategic Plan</w:t>
      </w:r>
      <w:r w:rsidRPr="00C36C8F">
        <w:t xml:space="preserve"> (2009) in defining “recyclables” states that:</w:t>
      </w:r>
    </w:p>
    <w:p w:rsidR="006301A4" w:rsidRPr="00C36C8F" w:rsidRDefault="006301A4" w:rsidP="000413DC">
      <w:pPr>
        <w:pStyle w:val="ParaIndent"/>
        <w:ind w:left="1701"/>
        <w:jc w:val="both"/>
      </w:pPr>
      <w:r w:rsidRPr="00C36C8F">
        <w:t>While this term strictly applies to all materials that may be recycled, in this document the term is generally used to refer to the recyclable containers and paper/cardboard component of kerbside waste, i.e. it excludes garden organics.</w:t>
      </w:r>
    </w:p>
    <w:p w:rsidR="006301A4" w:rsidRPr="00C36C8F" w:rsidRDefault="006301A4" w:rsidP="000413DC">
      <w:pPr>
        <w:pStyle w:val="Heading40"/>
        <w:spacing w:before="0"/>
        <w:jc w:val="both"/>
      </w:pPr>
      <w:bookmarkStart w:id="37" w:name="_Toc279510550"/>
      <w:r w:rsidRPr="00C36C8F">
        <w:t>Energy recovery</w:t>
      </w:r>
      <w:bookmarkEnd w:id="37"/>
    </w:p>
    <w:p w:rsidR="006301A4" w:rsidRPr="00C36C8F" w:rsidRDefault="006301A4" w:rsidP="000413DC">
      <w:pPr>
        <w:pStyle w:val="ParaIndent"/>
        <w:keepNext/>
        <w:jc w:val="both"/>
      </w:pPr>
      <w:r w:rsidRPr="00C36C8F">
        <w:t xml:space="preserve">The </w:t>
      </w:r>
      <w:r w:rsidRPr="00C36C8F">
        <w:rPr>
          <w:i/>
        </w:rPr>
        <w:t>National Waste Report 2010</w:t>
      </w:r>
      <w:r w:rsidRPr="00C36C8F">
        <w:t xml:space="preserve"> defines energy recovery as:</w:t>
      </w:r>
    </w:p>
    <w:p w:rsidR="006301A4" w:rsidRPr="00C36C8F" w:rsidRDefault="006301A4" w:rsidP="000413DC">
      <w:pPr>
        <w:pStyle w:val="ParaIndent"/>
        <w:ind w:left="1701"/>
        <w:jc w:val="both"/>
      </w:pPr>
      <w:r w:rsidRPr="00C36C8F">
        <w:t>Processes or opportunities to recover energy from waste materials, usually through thermal processes.</w:t>
      </w:r>
    </w:p>
    <w:p w:rsidR="006301A4" w:rsidRPr="00C36C8F" w:rsidRDefault="006301A4" w:rsidP="000413DC">
      <w:pPr>
        <w:pStyle w:val="ParaIndent"/>
        <w:jc w:val="both"/>
      </w:pPr>
      <w:r w:rsidRPr="00C36C8F">
        <w:t xml:space="preserve">Most other definitions of energy recovery have a similar meaning, although the WA Waste Authority </w:t>
      </w:r>
      <w:r w:rsidRPr="00C36C8F">
        <w:rPr>
          <w:i/>
        </w:rPr>
        <w:t>Draft Waste Strategy 2009</w:t>
      </w:r>
      <w:r w:rsidRPr="00C36C8F">
        <w:t xml:space="preserve"> added reprocessing to the list of means of extracting materials or energy.</w:t>
      </w:r>
    </w:p>
    <w:p w:rsidR="006301A4" w:rsidRPr="00C36C8F" w:rsidRDefault="006301A4" w:rsidP="000413DC">
      <w:pPr>
        <w:pStyle w:val="Heading40"/>
        <w:spacing w:before="0"/>
        <w:jc w:val="both"/>
      </w:pPr>
      <w:r w:rsidRPr="00C36C8F">
        <w:t>Landfill</w:t>
      </w:r>
    </w:p>
    <w:p w:rsidR="006301A4" w:rsidRPr="00C36C8F" w:rsidRDefault="006301A4" w:rsidP="000413DC">
      <w:pPr>
        <w:pStyle w:val="ParaIndent"/>
        <w:keepNext/>
        <w:jc w:val="both"/>
      </w:pPr>
      <w:r w:rsidRPr="00C36C8F">
        <w:t>The Australian Standard (AS/NZS 3831:1998) definition for landfill is:</w:t>
      </w:r>
    </w:p>
    <w:p w:rsidR="006301A4" w:rsidRPr="00C36C8F" w:rsidRDefault="006301A4" w:rsidP="000413DC">
      <w:pPr>
        <w:pStyle w:val="ParaIndent"/>
        <w:ind w:left="1701"/>
        <w:jc w:val="both"/>
      </w:pPr>
      <w:r w:rsidRPr="00C36C8F">
        <w:t>Waste disposal site used for the controlled deposit of solid waste onto or into land.</w:t>
      </w:r>
    </w:p>
    <w:p w:rsidR="006301A4" w:rsidRPr="00C36C8F" w:rsidRDefault="006301A4" w:rsidP="000413DC">
      <w:pPr>
        <w:pStyle w:val="ParaIndent"/>
        <w:jc w:val="both"/>
      </w:pPr>
      <w:r w:rsidRPr="00C36C8F">
        <w:t xml:space="preserve">This is much more formal than other definitions of landfills. The Victorian </w:t>
      </w:r>
      <w:r w:rsidRPr="00C36C8F">
        <w:rPr>
          <w:i/>
        </w:rPr>
        <w:t>Metropolitan Waste and Resource Recovery Strategic Plan</w:t>
      </w:r>
      <w:r w:rsidRPr="00C36C8F">
        <w:t xml:space="preserve"> (2009) defines landfill as “a site for the disposal of waste to land”. The ACT’s </w:t>
      </w:r>
      <w:r w:rsidRPr="00C36C8F">
        <w:rPr>
          <w:i/>
        </w:rPr>
        <w:t>No Waste by 2010</w:t>
      </w:r>
      <w:r w:rsidRPr="00C36C8F">
        <w:t xml:space="preserve"> strategy defines landfill as “a site where waste materials are buried.”</w:t>
      </w:r>
    </w:p>
    <w:p w:rsidR="006301A4" w:rsidRPr="00C36C8F" w:rsidRDefault="006301A4" w:rsidP="000413DC">
      <w:pPr>
        <w:pStyle w:val="Heading40"/>
        <w:spacing w:before="0"/>
        <w:jc w:val="both"/>
      </w:pPr>
      <w:r w:rsidRPr="00C36C8F">
        <w:t>Disposal</w:t>
      </w:r>
    </w:p>
    <w:p w:rsidR="006301A4" w:rsidRPr="00C36C8F" w:rsidRDefault="006301A4" w:rsidP="000413DC">
      <w:pPr>
        <w:pStyle w:val="ParaIndent"/>
        <w:jc w:val="both"/>
      </w:pPr>
      <w:r w:rsidRPr="00C36C8F">
        <w:t>The Australian Standard (AS/NZS 3831:1998) defines disposal as the “final stage in the</w:t>
      </w:r>
      <w:r w:rsidR="0010699F" w:rsidRPr="00C36C8F">
        <w:t xml:space="preserve"> management of the waste stream</w:t>
      </w:r>
      <w:r w:rsidRPr="00C36C8F">
        <w:t>”</w:t>
      </w:r>
      <w:r w:rsidR="0010699F" w:rsidRPr="00C36C8F">
        <w:t>.</w:t>
      </w:r>
      <w:r w:rsidRPr="00C36C8F">
        <w:t xml:space="preserve"> In this sense, disposal can</w:t>
      </w:r>
      <w:r w:rsidR="001D54A4" w:rsidRPr="00C36C8F">
        <w:t xml:space="preserve"> be</w:t>
      </w:r>
      <w:r w:rsidRPr="00C36C8F">
        <w:t xml:space="preserve"> used to describe any end-of-life product or material that is discarded regardless of whether it is recycling, energy recovery or landfill.</w:t>
      </w:r>
    </w:p>
    <w:p w:rsidR="006301A4" w:rsidRPr="00C36C8F" w:rsidRDefault="006301A4" w:rsidP="000413DC">
      <w:pPr>
        <w:pStyle w:val="ParaIndent"/>
        <w:jc w:val="both"/>
      </w:pPr>
      <w:r w:rsidRPr="00C36C8F">
        <w:t>However, waste reported as having been “disposed” usually refers specifically to material that is disposed of to landfill.</w:t>
      </w:r>
    </w:p>
    <w:p w:rsidR="006301A4" w:rsidRPr="00C36C8F" w:rsidRDefault="006301A4" w:rsidP="000413DC">
      <w:pPr>
        <w:pStyle w:val="ParaIndent"/>
        <w:jc w:val="both"/>
      </w:pPr>
      <w:r w:rsidRPr="00C36C8F">
        <w:t>Yet, incineration</w:t>
      </w:r>
      <w:r w:rsidR="00563893" w:rsidRPr="00C36C8F">
        <w:t xml:space="preserve"> and other controlled destruction</w:t>
      </w:r>
      <w:r w:rsidRPr="00C36C8F">
        <w:t xml:space="preserve"> of solid waste that does not include energy recovery can similarly be considered to be a final disposal. Incineration is often coupled with landfill in the definition of “disposal” at the bott</w:t>
      </w:r>
      <w:r w:rsidR="00F960BC" w:rsidRPr="00C36C8F">
        <w:t>om rung of the waste hierarchy.</w:t>
      </w:r>
    </w:p>
    <w:p w:rsidR="00F960BC" w:rsidRPr="00C36C8F" w:rsidRDefault="000A15A7" w:rsidP="000413DC">
      <w:pPr>
        <w:pStyle w:val="ParaIndent"/>
        <w:jc w:val="both"/>
      </w:pPr>
      <w:r w:rsidRPr="00C36C8F">
        <w:t>Similarly, litter,</w:t>
      </w:r>
      <w:r w:rsidR="00563893" w:rsidRPr="00C36C8F">
        <w:t xml:space="preserve"> </w:t>
      </w:r>
      <w:r w:rsidRPr="00C36C8F">
        <w:t>illegal landfilling and dumping,</w:t>
      </w:r>
      <w:r w:rsidR="00563893" w:rsidRPr="00C36C8F">
        <w:t xml:space="preserve"> </w:t>
      </w:r>
      <w:r w:rsidRPr="00C36C8F">
        <w:t>where the waste</w:t>
      </w:r>
      <w:r w:rsidR="00AE6873" w:rsidRPr="00C36C8F">
        <w:t xml:space="preserve"> remains</w:t>
      </w:r>
      <w:r w:rsidRPr="00C36C8F">
        <w:t xml:space="preserve"> unrecovered and</w:t>
      </w:r>
      <w:r w:rsidR="00F960BC" w:rsidRPr="00C36C8F">
        <w:t xml:space="preserve"> </w:t>
      </w:r>
      <w:r w:rsidRPr="00C36C8F">
        <w:t xml:space="preserve">it is </w:t>
      </w:r>
      <w:r w:rsidR="00F960BC" w:rsidRPr="00C36C8F">
        <w:t xml:space="preserve">discarded </w:t>
      </w:r>
      <w:r w:rsidRPr="00C36C8F">
        <w:t xml:space="preserve">directly </w:t>
      </w:r>
      <w:r w:rsidR="00F960BC" w:rsidRPr="00C36C8F">
        <w:t>into the environment</w:t>
      </w:r>
      <w:r w:rsidRPr="00C36C8F">
        <w:t>,</w:t>
      </w:r>
      <w:r w:rsidR="00F960BC" w:rsidRPr="00C36C8F">
        <w:t xml:space="preserve"> can be considered to be </w:t>
      </w:r>
      <w:r w:rsidR="00EC7662" w:rsidRPr="00C36C8F">
        <w:t xml:space="preserve">a form of illegal </w:t>
      </w:r>
      <w:r w:rsidR="00F960BC" w:rsidRPr="00C36C8F">
        <w:t>disposal.</w:t>
      </w:r>
    </w:p>
    <w:p w:rsidR="002E0BE5" w:rsidRPr="00C36C8F" w:rsidRDefault="002E0BE5" w:rsidP="000413DC">
      <w:pPr>
        <w:pStyle w:val="Heading40"/>
        <w:spacing w:before="0"/>
        <w:jc w:val="both"/>
      </w:pPr>
      <w:r w:rsidRPr="00C36C8F">
        <w:t>Waste generation</w:t>
      </w:r>
    </w:p>
    <w:p w:rsidR="00CB1597" w:rsidRPr="00C36C8F" w:rsidRDefault="00CB1597" w:rsidP="000413DC">
      <w:pPr>
        <w:pStyle w:val="ParaIndent"/>
        <w:keepNext/>
        <w:jc w:val="both"/>
      </w:pPr>
      <w:r w:rsidRPr="00C36C8F">
        <w:t xml:space="preserve">The Victorian </w:t>
      </w:r>
      <w:r w:rsidRPr="00C36C8F">
        <w:rPr>
          <w:i/>
        </w:rPr>
        <w:t>Metropolitan Waste and Resource Recovery Strategic Plan</w:t>
      </w:r>
      <w:r w:rsidRPr="00C36C8F">
        <w:t xml:space="preserve"> (2009) defines waste generation as:</w:t>
      </w:r>
    </w:p>
    <w:p w:rsidR="00F66C44" w:rsidRPr="00C36C8F" w:rsidRDefault="002E0BE5" w:rsidP="000413DC">
      <w:pPr>
        <w:pStyle w:val="ParaIndent"/>
        <w:ind w:left="1701"/>
        <w:jc w:val="both"/>
      </w:pPr>
      <w:r w:rsidRPr="00C36C8F">
        <w:t>Generation of unwanted materials, including recyclables as well as garbage, i.e. waste generation = materials recycled + waste to landfill.</w:t>
      </w:r>
    </w:p>
    <w:p w:rsidR="00CB1597" w:rsidRPr="00C36C8F" w:rsidRDefault="00CB1597" w:rsidP="000413DC">
      <w:pPr>
        <w:pStyle w:val="ParaIndent"/>
        <w:keepNext/>
        <w:jc w:val="both"/>
      </w:pPr>
      <w:r w:rsidRPr="00C36C8F">
        <w:t xml:space="preserve">Similarly, the Western Australian Waste Authority </w:t>
      </w:r>
      <w:r w:rsidRPr="00C36C8F">
        <w:rPr>
          <w:i/>
        </w:rPr>
        <w:t>Draft Waste Strategy 2009</w:t>
      </w:r>
      <w:r w:rsidRPr="00C36C8F">
        <w:t xml:space="preserve"> defines waste generation as:</w:t>
      </w:r>
    </w:p>
    <w:p w:rsidR="00F66C44" w:rsidRPr="00C36C8F" w:rsidRDefault="00CB1597" w:rsidP="000413DC">
      <w:pPr>
        <w:pStyle w:val="ParaIndent"/>
        <w:ind w:left="1701"/>
        <w:jc w:val="both"/>
      </w:pPr>
      <w:r w:rsidRPr="00C36C8F">
        <w:t>... the sum of waste disposed to landfill and resource recovery.</w:t>
      </w:r>
    </w:p>
    <w:p w:rsidR="006301A4" w:rsidRPr="00C36C8F" w:rsidRDefault="006301A4" w:rsidP="000413DC">
      <w:pPr>
        <w:pStyle w:val="Heading40"/>
        <w:spacing w:before="0"/>
        <w:jc w:val="both"/>
      </w:pPr>
      <w:bookmarkStart w:id="38" w:name="_Ref276626552"/>
      <w:bookmarkStart w:id="39" w:name="_Ref277073639"/>
      <w:bookmarkStart w:id="40" w:name="_Toc279510553"/>
      <w:r w:rsidRPr="00C36C8F">
        <w:t>Recycling rate and recovery rate</w:t>
      </w:r>
      <w:bookmarkEnd w:id="38"/>
      <w:bookmarkEnd w:id="39"/>
      <w:bookmarkEnd w:id="40"/>
    </w:p>
    <w:p w:rsidR="006301A4" w:rsidRPr="00C36C8F" w:rsidRDefault="006301A4" w:rsidP="000413DC">
      <w:pPr>
        <w:pStyle w:val="ParaIndent"/>
        <w:jc w:val="both"/>
      </w:pPr>
      <w:r w:rsidRPr="00C36C8F">
        <w:t>There is a degree of inconsistency in the use of the terms recycling rate and recovery rate.</w:t>
      </w:r>
    </w:p>
    <w:p w:rsidR="006301A4" w:rsidRPr="00C36C8F" w:rsidRDefault="006301A4" w:rsidP="000413DC">
      <w:pPr>
        <w:pStyle w:val="ParaIndent"/>
        <w:jc w:val="both"/>
      </w:pPr>
      <w:r w:rsidRPr="00C36C8F">
        <w:t xml:space="preserve">The United States Environment Protection Agency cites the municipal recycling rate as being waste recycled as a percentage of waste generated. Although not providing a definition of the recycling rate, the </w:t>
      </w:r>
      <w:r w:rsidRPr="00C36C8F">
        <w:rPr>
          <w:i/>
        </w:rPr>
        <w:t xml:space="preserve">National Waste Report 2010 </w:t>
      </w:r>
      <w:r w:rsidRPr="00C36C8F">
        <w:t>also</w:t>
      </w:r>
      <w:r w:rsidRPr="00C36C8F">
        <w:rPr>
          <w:i/>
        </w:rPr>
        <w:t xml:space="preserve"> </w:t>
      </w:r>
      <w:r w:rsidRPr="00C36C8F">
        <w:t xml:space="preserve">uses material </w:t>
      </w:r>
      <w:r w:rsidR="003702A0" w:rsidRPr="00C36C8F">
        <w:t>recycled</w:t>
      </w:r>
      <w:r w:rsidRPr="00C36C8F">
        <w:t xml:space="preserve"> as a percentage of material disposed to generate reported recycling rates.</w:t>
      </w:r>
    </w:p>
    <w:p w:rsidR="006301A4" w:rsidRPr="00C36C8F" w:rsidRDefault="006301A4" w:rsidP="000413DC">
      <w:pPr>
        <w:pStyle w:val="ParaIndent"/>
        <w:keepNext/>
        <w:jc w:val="both"/>
      </w:pPr>
      <w:r w:rsidRPr="00C36C8F">
        <w:t>However, the Australian Standard (AS/NZS 3831:1998) states that:</w:t>
      </w:r>
    </w:p>
    <w:p w:rsidR="006301A4" w:rsidRPr="00C36C8F" w:rsidRDefault="006301A4" w:rsidP="000413DC">
      <w:pPr>
        <w:pStyle w:val="ParaIndent"/>
        <w:ind w:left="1701"/>
        <w:jc w:val="both"/>
      </w:pPr>
      <w:r w:rsidRPr="00C36C8F">
        <w:t>The term recycling rate has been omitted from this Standard because it is ambiguous.</w:t>
      </w:r>
    </w:p>
    <w:p w:rsidR="006301A4" w:rsidRPr="00C36C8F" w:rsidRDefault="006301A4" w:rsidP="000413DC">
      <w:pPr>
        <w:pStyle w:val="ParaIndent"/>
        <w:keepNext/>
        <w:jc w:val="both"/>
      </w:pPr>
      <w:r w:rsidRPr="00C36C8F">
        <w:t xml:space="preserve">The Australian Standard does define the recovery rate, being: </w:t>
      </w:r>
    </w:p>
    <w:p w:rsidR="006301A4" w:rsidRPr="00C36C8F" w:rsidRDefault="006301A4" w:rsidP="000413DC">
      <w:pPr>
        <w:pStyle w:val="ParaIndent"/>
        <w:ind w:left="1701"/>
        <w:jc w:val="both"/>
      </w:pPr>
      <w:r w:rsidRPr="00C36C8F">
        <w:t>The amount of material recovered from a product group as a percentage of overall consumption.</w:t>
      </w:r>
    </w:p>
    <w:p w:rsidR="006301A4" w:rsidRPr="00C36C8F" w:rsidRDefault="001D54A4" w:rsidP="000413DC">
      <w:pPr>
        <w:pStyle w:val="ParaIndent"/>
        <w:keepNext/>
        <w:jc w:val="both"/>
      </w:pPr>
      <w:r w:rsidRPr="00C36C8F">
        <w:t>T</w:t>
      </w:r>
      <w:r w:rsidR="006301A4" w:rsidRPr="00C36C8F">
        <w:t xml:space="preserve">his is different to the definition in </w:t>
      </w:r>
      <w:r w:rsidR="006301A4" w:rsidRPr="00C36C8F">
        <w:rPr>
          <w:i/>
        </w:rPr>
        <w:t>Victorian Recycling Industry Annual Survey</w:t>
      </w:r>
      <w:r w:rsidR="006301A4" w:rsidRPr="00C36C8F">
        <w:t xml:space="preserve"> (Sustainability Victoria, 2008), which states:</w:t>
      </w:r>
    </w:p>
    <w:p w:rsidR="006301A4" w:rsidRPr="00C36C8F" w:rsidRDefault="006301A4" w:rsidP="000413DC">
      <w:pPr>
        <w:pStyle w:val="ParaIndent"/>
        <w:ind w:left="1701"/>
        <w:jc w:val="both"/>
      </w:pPr>
      <w:r w:rsidRPr="00C36C8F">
        <w:t>The recovery rate is the percentage of materials reco</w:t>
      </w:r>
      <w:r w:rsidR="000A15A7" w:rsidRPr="00C36C8F">
        <w:t xml:space="preserve">vered for reprocessing from the </w:t>
      </w:r>
      <w:r w:rsidRPr="00C36C8F">
        <w:t>total quantity of waste generated.</w:t>
      </w:r>
    </w:p>
    <w:p w:rsidR="006301A4" w:rsidRPr="00C36C8F" w:rsidRDefault="006301A4" w:rsidP="000413DC">
      <w:pPr>
        <w:pStyle w:val="ParaIndent"/>
        <w:jc w:val="both"/>
      </w:pPr>
      <w:r w:rsidRPr="00C36C8F">
        <w:t>The major difference in the definitions of the recycling rate or the recovery rate is the use of consumption or waste generation as the denominator. Consumption tends to be used as the denominator in instances where consumption figures are more readily attainable and/or where a product has a short life span (for example, newspapers). In such cases there is no significant difference between the use of consumption or waste generation as the denominator.</w:t>
      </w:r>
    </w:p>
    <w:p w:rsidR="006301A4" w:rsidRPr="00C36C8F" w:rsidRDefault="006301A4" w:rsidP="000413DC">
      <w:pPr>
        <w:pStyle w:val="ParaIndent"/>
        <w:jc w:val="both"/>
      </w:pPr>
      <w:r w:rsidRPr="00C36C8F">
        <w:t xml:space="preserve">However, where a product or material has a longer life span, or where the consumption rate of a product or material has changed significantly over time, the use of consumption as the </w:t>
      </w:r>
      <w:r w:rsidR="000A15A7" w:rsidRPr="00C36C8F">
        <w:t>denominator can lead to implausible</w:t>
      </w:r>
      <w:r w:rsidRPr="00C36C8F">
        <w:t xml:space="preserve"> results. For example, given that the number of cathode ray tubes (CRTs) currently recycled is greater than the number of CRTs currently consumed, using consumption as the denominator to calculate the recycling rate of CRTs would generate a rate greater than 100%.</w:t>
      </w:r>
    </w:p>
    <w:p w:rsidR="006301A4" w:rsidRPr="00C36C8F" w:rsidRDefault="006301A4" w:rsidP="000413DC">
      <w:pPr>
        <w:pStyle w:val="Heading40"/>
        <w:spacing w:before="0"/>
        <w:jc w:val="both"/>
      </w:pPr>
      <w:r w:rsidRPr="00C36C8F">
        <w:t>Solid waste</w:t>
      </w:r>
    </w:p>
    <w:p w:rsidR="00BC250A" w:rsidRPr="00C36C8F" w:rsidRDefault="006301A4" w:rsidP="000413DC">
      <w:pPr>
        <w:pStyle w:val="ParaIndent"/>
        <w:jc w:val="both"/>
      </w:pPr>
      <w:r w:rsidRPr="00C36C8F">
        <w:t xml:space="preserve">There is no standard definition of ‘solid waste’. For example, materials such as sludge and slurries can equally be defined as a liquid or solid waste. A practical definition </w:t>
      </w:r>
      <w:r w:rsidR="00BC250A" w:rsidRPr="00C36C8F">
        <w:t xml:space="preserve">often adopted </w:t>
      </w:r>
      <w:r w:rsidRPr="00C36C8F">
        <w:t>is to define a solid waste as anything that is ‘spadeable’, i.e. can be picked up with a spade.</w:t>
      </w:r>
      <w:r w:rsidR="00EC7662" w:rsidRPr="00C36C8F">
        <w:t xml:space="preserve"> Waste</w:t>
      </w:r>
      <w:r w:rsidR="001D54A4" w:rsidRPr="00C36C8F">
        <w:t>s</w:t>
      </w:r>
      <w:r w:rsidR="00EC7662" w:rsidRPr="00C36C8F">
        <w:t xml:space="preserve"> that have a relatively high liquid content, such as sludges, being account</w:t>
      </w:r>
      <w:r w:rsidR="00B82977" w:rsidRPr="00C36C8F">
        <w:t>ed</w:t>
      </w:r>
      <w:r w:rsidR="00EC7662" w:rsidRPr="00C36C8F">
        <w:t xml:space="preserve"> for as solid wastes</w:t>
      </w:r>
      <w:r w:rsidR="00A63A04" w:rsidRPr="00C36C8F">
        <w:t>,</w:t>
      </w:r>
      <w:r w:rsidR="00EC7662" w:rsidRPr="00C36C8F">
        <w:t xml:space="preserve"> will result in some liquid waste being counted as solid wastes. Whilst most jurisdictions do not report on liquid waste volumes (outside of what is disposed to the sewerage system)</w:t>
      </w:r>
      <w:r w:rsidR="00BC250A" w:rsidRPr="00C36C8F">
        <w:t>, this may not be a significant</w:t>
      </w:r>
      <w:r w:rsidR="00EC7662" w:rsidRPr="00C36C8F">
        <w:t xml:space="preserve"> issue. However, to enable reporting of solid and liquid waste volumes</w:t>
      </w:r>
      <w:r w:rsidR="0010699F" w:rsidRPr="00C36C8F">
        <w:t>,</w:t>
      </w:r>
      <w:r w:rsidR="00EC7662" w:rsidRPr="00C36C8F">
        <w:t xml:space="preserve"> </w:t>
      </w:r>
      <w:r w:rsidR="00BC250A" w:rsidRPr="00C36C8F">
        <w:t xml:space="preserve">the issue of waste such as sludges and their appropriate allocation will need further consideration. </w:t>
      </w:r>
    </w:p>
    <w:p w:rsidR="006301A4" w:rsidRPr="00C36C8F" w:rsidRDefault="006301A4" w:rsidP="000413DC">
      <w:pPr>
        <w:pStyle w:val="ParaIndent"/>
        <w:jc w:val="both"/>
      </w:pPr>
      <w:r w:rsidRPr="00C36C8F">
        <w:t>In the ACT</w:t>
      </w:r>
      <w:r w:rsidR="00B82977" w:rsidRPr="00C36C8F">
        <w:t>,</w:t>
      </w:r>
      <w:r w:rsidRPr="00C36C8F">
        <w:t xml:space="preserve"> solid waste is defined as municipal waste and biosolids, while in Victoria the </w:t>
      </w:r>
      <w:r w:rsidRPr="00C36C8F">
        <w:rPr>
          <w:i/>
        </w:rPr>
        <w:t>Metropolitan Waste and Resource Recovery Strategic Plan</w:t>
      </w:r>
      <w:r w:rsidRPr="00C36C8F">
        <w:t xml:space="preserve"> (2009) defines solid waste as composed of “non-hazardous, non-prescribed, solid waste materials ranging from municipal garbage to industrial waste.”</w:t>
      </w:r>
    </w:p>
    <w:p w:rsidR="000E3E5C" w:rsidRPr="00C36C8F" w:rsidRDefault="000E3E5C" w:rsidP="000E3E5C">
      <w:pPr>
        <w:pStyle w:val="Caption"/>
      </w:pPr>
      <w:bookmarkStart w:id="41" w:name="_Ref297645307"/>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2</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w:t>
      </w:r>
      <w:r w:rsidR="00B9555F" w:rsidRPr="00C36C8F">
        <w:rPr>
          <w:noProof/>
        </w:rPr>
        <w:fldChar w:fldCharType="end"/>
      </w:r>
      <w:bookmarkEnd w:id="41"/>
      <w:r w:rsidRPr="00C36C8F">
        <w:tab/>
        <w:t>Glossary of terms</w:t>
      </w:r>
    </w:p>
    <w:tbl>
      <w:tblPr>
        <w:tblStyle w:val="TableGrid"/>
        <w:tblW w:w="0" w:type="auto"/>
        <w:tblInd w:w="1134" w:type="dxa"/>
        <w:tblBorders>
          <w:top w:val="none" w:sz="0" w:space="0" w:color="auto"/>
          <w:left w:val="none" w:sz="0" w:space="0" w:color="auto"/>
          <w:bottom w:val="single" w:sz="18" w:space="0" w:color="808080"/>
          <w:right w:val="none" w:sz="0" w:space="0" w:color="auto"/>
          <w:insideH w:val="single" w:sz="4" w:space="0" w:color="808080"/>
          <w:insideV w:val="none" w:sz="0" w:space="0" w:color="auto"/>
        </w:tblBorders>
        <w:tblLayout w:type="fixed"/>
        <w:tblCellMar>
          <w:left w:w="0" w:type="dxa"/>
          <w:right w:w="113" w:type="dxa"/>
        </w:tblCellMar>
        <w:tblLook w:val="04A0"/>
      </w:tblPr>
      <w:tblGrid>
        <w:gridCol w:w="2127"/>
        <w:gridCol w:w="6378"/>
      </w:tblGrid>
      <w:tr w:rsidR="00F960BC" w:rsidRPr="00C36C8F" w:rsidTr="006F6DD6">
        <w:trPr>
          <w:cantSplit/>
        </w:trPr>
        <w:tc>
          <w:tcPr>
            <w:tcW w:w="2127" w:type="dxa"/>
            <w:shd w:val="clear" w:color="auto" w:fill="auto"/>
            <w:vAlign w:val="center"/>
          </w:tcPr>
          <w:p w:rsidR="00416F0B" w:rsidRPr="00C36C8F" w:rsidRDefault="00F960BC">
            <w:pPr>
              <w:pStyle w:val="TableText"/>
              <w:keepNext/>
            </w:pPr>
            <w:bookmarkStart w:id="42" w:name="_Toc264981518"/>
            <w:bookmarkStart w:id="43" w:name="_Toc279510555"/>
            <w:bookmarkStart w:id="44" w:name="_Ref294087239"/>
            <w:r w:rsidRPr="00C36C8F">
              <w:t>Consumption</w:t>
            </w:r>
          </w:p>
        </w:tc>
        <w:tc>
          <w:tcPr>
            <w:tcW w:w="6378" w:type="dxa"/>
            <w:shd w:val="clear" w:color="auto" w:fill="auto"/>
            <w:vAlign w:val="center"/>
          </w:tcPr>
          <w:p w:rsidR="00416F0B" w:rsidRPr="00C36C8F" w:rsidRDefault="00F960BC">
            <w:pPr>
              <w:pStyle w:val="TableText"/>
              <w:keepNext/>
            </w:pPr>
            <w:r w:rsidRPr="00C36C8F">
              <w:t>Total use of products and materials.</w:t>
            </w:r>
          </w:p>
        </w:tc>
      </w:tr>
      <w:tr w:rsidR="00BF400C" w:rsidRPr="00C36C8F" w:rsidTr="006F6DD6">
        <w:trPr>
          <w:cantSplit/>
        </w:trPr>
        <w:tc>
          <w:tcPr>
            <w:tcW w:w="2127" w:type="dxa"/>
            <w:shd w:val="clear" w:color="auto" w:fill="auto"/>
            <w:vAlign w:val="center"/>
          </w:tcPr>
          <w:p w:rsidR="00BF400C" w:rsidRPr="00C36C8F" w:rsidRDefault="00BF400C" w:rsidP="006F6DD6">
            <w:pPr>
              <w:pStyle w:val="TableText"/>
              <w:keepNext/>
            </w:pPr>
            <w:r w:rsidRPr="00C36C8F">
              <w:t xml:space="preserve">Waste </w:t>
            </w:r>
          </w:p>
        </w:tc>
        <w:tc>
          <w:tcPr>
            <w:tcW w:w="6378" w:type="dxa"/>
            <w:shd w:val="clear" w:color="auto" w:fill="auto"/>
            <w:vAlign w:val="center"/>
          </w:tcPr>
          <w:p w:rsidR="00BF400C" w:rsidRPr="00C36C8F" w:rsidRDefault="00DA5A74" w:rsidP="00BF400C">
            <w:pPr>
              <w:pStyle w:val="TableText"/>
              <w:keepNext/>
            </w:pPr>
            <w:r w:rsidRPr="00C36C8F">
              <w:t>Any discarded, rejected, unwanted, surplus or abandoned matter; discarded, rejected, unwanted, surplus or abandoned matter intended for recycling, reprocessing, recovery, re-use or purification by a separate operation from that which produced the matter, or for sale, whether of any value or not.</w:t>
            </w:r>
          </w:p>
        </w:tc>
      </w:tr>
      <w:tr w:rsidR="002B55DC" w:rsidRPr="00C36C8F" w:rsidTr="006F6DD6">
        <w:trPr>
          <w:cantSplit/>
        </w:trPr>
        <w:tc>
          <w:tcPr>
            <w:tcW w:w="2127" w:type="dxa"/>
            <w:shd w:val="clear" w:color="auto" w:fill="auto"/>
            <w:vAlign w:val="center"/>
          </w:tcPr>
          <w:p w:rsidR="002B55DC" w:rsidRPr="00C36C8F" w:rsidRDefault="006F6DD6" w:rsidP="006F6DD6">
            <w:pPr>
              <w:pStyle w:val="TableText"/>
              <w:keepNext/>
            </w:pPr>
            <w:bookmarkStart w:id="45" w:name="_Toc279510546"/>
            <w:r w:rsidRPr="00C36C8F">
              <w:t>Waste r</w:t>
            </w:r>
            <w:r w:rsidR="002B55DC" w:rsidRPr="00C36C8F">
              <w:t>e-use</w:t>
            </w:r>
            <w:bookmarkEnd w:id="45"/>
          </w:p>
        </w:tc>
        <w:tc>
          <w:tcPr>
            <w:tcW w:w="6378" w:type="dxa"/>
            <w:shd w:val="clear" w:color="auto" w:fill="auto"/>
            <w:vAlign w:val="center"/>
          </w:tcPr>
          <w:p w:rsidR="002B55DC" w:rsidRPr="00C36C8F" w:rsidRDefault="002B55DC" w:rsidP="002B55DC">
            <w:pPr>
              <w:pStyle w:val="TableText"/>
              <w:keepNext/>
            </w:pPr>
            <w:r w:rsidRPr="00C36C8F">
              <w:t>Re-use involves recovering value from a discarded resource in its original state without reprocessing or remanufacture</w:t>
            </w:r>
          </w:p>
        </w:tc>
      </w:tr>
      <w:tr w:rsidR="006F6DD6" w:rsidRPr="00C36C8F" w:rsidTr="006F6DD6">
        <w:trPr>
          <w:cantSplit/>
        </w:trPr>
        <w:tc>
          <w:tcPr>
            <w:tcW w:w="2127" w:type="dxa"/>
            <w:shd w:val="clear" w:color="auto" w:fill="auto"/>
            <w:vAlign w:val="center"/>
          </w:tcPr>
          <w:p w:rsidR="006F6DD6" w:rsidRPr="00C36C8F" w:rsidRDefault="006F6DD6" w:rsidP="002B55DC">
            <w:pPr>
              <w:pStyle w:val="TableText"/>
              <w:keepNext/>
              <w:rPr>
                <w:highlight w:val="yellow"/>
              </w:rPr>
            </w:pPr>
            <w:bookmarkStart w:id="46" w:name="_Toc279510547"/>
            <w:r w:rsidRPr="00C36C8F">
              <w:t>End-of-life</w:t>
            </w:r>
            <w:bookmarkEnd w:id="46"/>
          </w:p>
        </w:tc>
        <w:tc>
          <w:tcPr>
            <w:tcW w:w="6378" w:type="dxa"/>
            <w:shd w:val="clear" w:color="auto" w:fill="auto"/>
            <w:vAlign w:val="center"/>
          </w:tcPr>
          <w:p w:rsidR="006F6DD6" w:rsidRPr="00C36C8F" w:rsidRDefault="006F6DD6" w:rsidP="002B55DC">
            <w:pPr>
              <w:pStyle w:val="TableText"/>
              <w:keepNext/>
              <w:rPr>
                <w:highlight w:val="yellow"/>
              </w:rPr>
            </w:pPr>
            <w:r w:rsidRPr="00C36C8F">
              <w:t>Products and materials that have become a waste.</w:t>
            </w:r>
          </w:p>
        </w:tc>
      </w:tr>
      <w:tr w:rsidR="006F6DD6" w:rsidRPr="00C36C8F" w:rsidTr="006F6DD6">
        <w:trPr>
          <w:cantSplit/>
        </w:trPr>
        <w:tc>
          <w:tcPr>
            <w:tcW w:w="2127" w:type="dxa"/>
            <w:shd w:val="clear" w:color="auto" w:fill="auto"/>
            <w:vAlign w:val="center"/>
          </w:tcPr>
          <w:p w:rsidR="006F6DD6" w:rsidRPr="00C36C8F" w:rsidRDefault="006F6DD6" w:rsidP="002B55DC">
            <w:pPr>
              <w:pStyle w:val="TableText"/>
              <w:keepNext/>
            </w:pPr>
            <w:r w:rsidRPr="00C36C8F">
              <w:t>Recovery; resource recovery</w:t>
            </w:r>
          </w:p>
        </w:tc>
        <w:tc>
          <w:tcPr>
            <w:tcW w:w="6378" w:type="dxa"/>
            <w:shd w:val="clear" w:color="auto" w:fill="auto"/>
            <w:vAlign w:val="center"/>
          </w:tcPr>
          <w:p w:rsidR="006F6DD6" w:rsidRPr="00C36C8F" w:rsidRDefault="006F6DD6" w:rsidP="002B55DC">
            <w:pPr>
              <w:pStyle w:val="TableText"/>
              <w:keepNext/>
            </w:pPr>
            <w:r w:rsidRPr="00C36C8F">
              <w:t>Solid waste recycled and recovered for energy, net of contaminants/residuals disposed of to landfill.</w:t>
            </w:r>
          </w:p>
        </w:tc>
      </w:tr>
      <w:tr w:rsidR="006F6DD6" w:rsidRPr="00C36C8F" w:rsidTr="006F6DD6">
        <w:trPr>
          <w:cantSplit/>
        </w:trPr>
        <w:tc>
          <w:tcPr>
            <w:tcW w:w="2127" w:type="dxa"/>
            <w:shd w:val="clear" w:color="auto" w:fill="auto"/>
            <w:vAlign w:val="center"/>
          </w:tcPr>
          <w:p w:rsidR="006F6DD6" w:rsidRPr="00C36C8F" w:rsidRDefault="006F6DD6" w:rsidP="002B55DC">
            <w:pPr>
              <w:pStyle w:val="TableText"/>
              <w:keepNext/>
            </w:pPr>
            <w:bookmarkStart w:id="47" w:name="_Ref272139359"/>
            <w:bookmarkStart w:id="48" w:name="_Toc279510549"/>
            <w:r w:rsidRPr="00C36C8F">
              <w:t>Recycling</w:t>
            </w:r>
            <w:bookmarkEnd w:id="47"/>
            <w:bookmarkEnd w:id="48"/>
          </w:p>
        </w:tc>
        <w:tc>
          <w:tcPr>
            <w:tcW w:w="6378" w:type="dxa"/>
            <w:shd w:val="clear" w:color="auto" w:fill="auto"/>
            <w:vAlign w:val="center"/>
          </w:tcPr>
          <w:p w:rsidR="006F6DD6" w:rsidRPr="00C36C8F" w:rsidRDefault="006F6DD6" w:rsidP="002B55DC">
            <w:pPr>
              <w:pStyle w:val="TableText"/>
              <w:keepNext/>
            </w:pPr>
            <w:r w:rsidRPr="00C36C8F">
              <w:t>A set of processes (including biological) that converts solid waste into useful materials or products, net of contaminants/residuals disposed.</w:t>
            </w:r>
          </w:p>
        </w:tc>
      </w:tr>
      <w:tr w:rsidR="006F6DD6" w:rsidRPr="00C36C8F" w:rsidTr="006F6DD6">
        <w:trPr>
          <w:cantSplit/>
        </w:trPr>
        <w:tc>
          <w:tcPr>
            <w:tcW w:w="2127" w:type="dxa"/>
            <w:shd w:val="clear" w:color="auto" w:fill="auto"/>
            <w:vAlign w:val="center"/>
          </w:tcPr>
          <w:p w:rsidR="006F6DD6" w:rsidRPr="00C36C8F" w:rsidRDefault="006F6DD6" w:rsidP="002B55DC">
            <w:pPr>
              <w:pStyle w:val="TableText"/>
              <w:keepNext/>
            </w:pPr>
            <w:r w:rsidRPr="00C36C8F">
              <w:t>Energy recovery; waste to energy</w:t>
            </w:r>
          </w:p>
        </w:tc>
        <w:tc>
          <w:tcPr>
            <w:tcW w:w="6378" w:type="dxa"/>
            <w:shd w:val="clear" w:color="auto" w:fill="auto"/>
            <w:vAlign w:val="center"/>
          </w:tcPr>
          <w:p w:rsidR="006F6DD6" w:rsidRPr="00C36C8F" w:rsidRDefault="006F6DD6" w:rsidP="002B55DC">
            <w:pPr>
              <w:pStyle w:val="TableText"/>
              <w:keepNext/>
            </w:pPr>
            <w:r w:rsidRPr="00C36C8F">
              <w:t>The combustion of solid waste or the combustion of methane collected from landfill as a fuel for an industrial process and/or electricity generation.</w:t>
            </w:r>
          </w:p>
        </w:tc>
      </w:tr>
      <w:tr w:rsidR="006F6DD6" w:rsidRPr="00C36C8F" w:rsidTr="006F6DD6">
        <w:trPr>
          <w:cantSplit/>
        </w:trPr>
        <w:tc>
          <w:tcPr>
            <w:tcW w:w="2127" w:type="dxa"/>
            <w:shd w:val="clear" w:color="auto" w:fill="auto"/>
            <w:vAlign w:val="center"/>
          </w:tcPr>
          <w:p w:rsidR="006F6DD6" w:rsidRPr="00C36C8F" w:rsidRDefault="006F6DD6" w:rsidP="002B55DC">
            <w:pPr>
              <w:pStyle w:val="TableText"/>
              <w:keepNext/>
            </w:pPr>
            <w:bookmarkStart w:id="49" w:name="_Toc279510551"/>
            <w:r w:rsidRPr="00C36C8F">
              <w:t>Landfill</w:t>
            </w:r>
            <w:bookmarkEnd w:id="49"/>
          </w:p>
        </w:tc>
        <w:tc>
          <w:tcPr>
            <w:tcW w:w="6378" w:type="dxa"/>
            <w:shd w:val="clear" w:color="auto" w:fill="auto"/>
            <w:vAlign w:val="center"/>
          </w:tcPr>
          <w:p w:rsidR="006F6DD6" w:rsidRPr="00C36C8F" w:rsidRDefault="006F6DD6" w:rsidP="002B55DC">
            <w:pPr>
              <w:pStyle w:val="TableText"/>
              <w:keepNext/>
            </w:pPr>
            <w:r w:rsidRPr="00C36C8F">
              <w:t>A site used for the controlled and legal deposit of solid waste onto or into land.</w:t>
            </w:r>
          </w:p>
        </w:tc>
      </w:tr>
      <w:tr w:rsidR="006F6DD6" w:rsidRPr="00C36C8F" w:rsidTr="006F6DD6">
        <w:trPr>
          <w:cantSplit/>
        </w:trPr>
        <w:tc>
          <w:tcPr>
            <w:tcW w:w="2127" w:type="dxa"/>
            <w:shd w:val="clear" w:color="auto" w:fill="auto"/>
            <w:vAlign w:val="center"/>
          </w:tcPr>
          <w:p w:rsidR="006F6DD6" w:rsidRPr="00C36C8F" w:rsidRDefault="006F6DD6" w:rsidP="002B55DC">
            <w:pPr>
              <w:pStyle w:val="TableText"/>
              <w:keepNext/>
            </w:pPr>
            <w:bookmarkStart w:id="50" w:name="_Ref277164373"/>
            <w:bookmarkStart w:id="51" w:name="_Toc279510552"/>
            <w:r w:rsidRPr="00C36C8F">
              <w:t>Disposal</w:t>
            </w:r>
            <w:bookmarkEnd w:id="50"/>
            <w:bookmarkEnd w:id="51"/>
          </w:p>
        </w:tc>
        <w:tc>
          <w:tcPr>
            <w:tcW w:w="6378" w:type="dxa"/>
            <w:shd w:val="clear" w:color="auto" w:fill="auto"/>
            <w:vAlign w:val="center"/>
          </w:tcPr>
          <w:p w:rsidR="006F6DD6" w:rsidRPr="00C36C8F" w:rsidRDefault="006F6DD6" w:rsidP="002B55DC">
            <w:pPr>
              <w:pStyle w:val="TableText"/>
              <w:keepNext/>
            </w:pPr>
            <w:r w:rsidRPr="00C36C8F">
              <w:t>Solid waste that is disposed of to landfill, incinerated or destroyed without energy recovery, or is unrecovered litter.</w:t>
            </w:r>
          </w:p>
        </w:tc>
      </w:tr>
      <w:tr w:rsidR="006F6DD6" w:rsidRPr="00C36C8F" w:rsidTr="006F6DD6">
        <w:trPr>
          <w:cantSplit/>
        </w:trPr>
        <w:tc>
          <w:tcPr>
            <w:tcW w:w="2127" w:type="dxa"/>
            <w:shd w:val="clear" w:color="auto" w:fill="auto"/>
            <w:vAlign w:val="center"/>
          </w:tcPr>
          <w:p w:rsidR="006F6DD6" w:rsidRPr="00C36C8F" w:rsidRDefault="006F6DD6" w:rsidP="002B55DC">
            <w:pPr>
              <w:pStyle w:val="TableText"/>
              <w:keepNext/>
              <w:tabs>
                <w:tab w:val="left" w:pos="1052"/>
              </w:tabs>
            </w:pPr>
            <w:r w:rsidRPr="00C36C8F">
              <w:t xml:space="preserve">Waste generation </w:t>
            </w:r>
          </w:p>
        </w:tc>
        <w:tc>
          <w:tcPr>
            <w:tcW w:w="6378" w:type="dxa"/>
            <w:shd w:val="clear" w:color="auto" w:fill="auto"/>
            <w:vAlign w:val="center"/>
          </w:tcPr>
          <w:p w:rsidR="006F6DD6" w:rsidRPr="00C36C8F" w:rsidRDefault="006F6DD6" w:rsidP="002B55DC">
            <w:pPr>
              <w:pStyle w:val="TableText"/>
              <w:keepNext/>
            </w:pPr>
            <w:r w:rsidRPr="00C36C8F">
              <w:t xml:space="preserve">The total of products and materials that are </w:t>
            </w:r>
            <w:r w:rsidR="00A65B49" w:rsidRPr="00C36C8F">
              <w:t>recycled</w:t>
            </w:r>
            <w:r w:rsidR="00811081" w:rsidRPr="00C36C8F">
              <w:t>,</w:t>
            </w:r>
            <w:r w:rsidRPr="00C36C8F">
              <w:t xml:space="preserve"> recovered for energy or disposed.</w:t>
            </w:r>
          </w:p>
        </w:tc>
      </w:tr>
      <w:tr w:rsidR="006F6DD6" w:rsidRPr="00C36C8F" w:rsidTr="006F6DD6">
        <w:trPr>
          <w:cantSplit/>
        </w:trPr>
        <w:tc>
          <w:tcPr>
            <w:tcW w:w="2127" w:type="dxa"/>
            <w:shd w:val="clear" w:color="auto" w:fill="auto"/>
            <w:vAlign w:val="center"/>
          </w:tcPr>
          <w:p w:rsidR="006F6DD6" w:rsidRPr="00C36C8F" w:rsidRDefault="006F6DD6" w:rsidP="002B55DC">
            <w:pPr>
              <w:pStyle w:val="TableText"/>
            </w:pPr>
            <w:r w:rsidRPr="00C36C8F">
              <w:t>Recycling rate</w:t>
            </w:r>
          </w:p>
        </w:tc>
        <w:tc>
          <w:tcPr>
            <w:tcW w:w="6378" w:type="dxa"/>
            <w:shd w:val="clear" w:color="auto" w:fill="auto"/>
            <w:vAlign w:val="center"/>
          </w:tcPr>
          <w:p w:rsidR="006F6DD6" w:rsidRPr="00C36C8F" w:rsidRDefault="006F6DD6" w:rsidP="002B55DC">
            <w:pPr>
              <w:pStyle w:val="TableText"/>
            </w:pPr>
            <w:r w:rsidRPr="00C36C8F">
              <w:t>Solid waste recycled (net of contaminants/residuals) as a proportion of waste generation.</w:t>
            </w:r>
          </w:p>
        </w:tc>
      </w:tr>
      <w:tr w:rsidR="006F6DD6" w:rsidRPr="00C36C8F" w:rsidTr="006F6DD6">
        <w:trPr>
          <w:cantSplit/>
        </w:trPr>
        <w:tc>
          <w:tcPr>
            <w:tcW w:w="2127" w:type="dxa"/>
            <w:shd w:val="clear" w:color="auto" w:fill="auto"/>
            <w:vAlign w:val="center"/>
          </w:tcPr>
          <w:p w:rsidR="006F6DD6" w:rsidRPr="00C36C8F" w:rsidRDefault="006F6DD6" w:rsidP="002B55DC">
            <w:pPr>
              <w:pStyle w:val="TableText"/>
              <w:keepNext/>
            </w:pPr>
            <w:r w:rsidRPr="00C36C8F">
              <w:t>Recovery rate</w:t>
            </w:r>
          </w:p>
        </w:tc>
        <w:tc>
          <w:tcPr>
            <w:tcW w:w="6378" w:type="dxa"/>
            <w:shd w:val="clear" w:color="auto" w:fill="auto"/>
            <w:vAlign w:val="center"/>
          </w:tcPr>
          <w:p w:rsidR="006F6DD6" w:rsidRPr="00C36C8F" w:rsidRDefault="006F6DD6" w:rsidP="002B55DC">
            <w:pPr>
              <w:pStyle w:val="TableText"/>
              <w:keepNext/>
            </w:pPr>
            <w:r w:rsidRPr="00C36C8F">
              <w:t>Solid waste recycled and recovered for energy (net of contaminants/residuals) as a proportion of waste generation.</w:t>
            </w:r>
          </w:p>
        </w:tc>
      </w:tr>
      <w:tr w:rsidR="006F6DD6" w:rsidRPr="00C36C8F" w:rsidTr="006F6DD6">
        <w:trPr>
          <w:cantSplit/>
        </w:trPr>
        <w:tc>
          <w:tcPr>
            <w:tcW w:w="2127" w:type="dxa"/>
            <w:tcBorders>
              <w:top w:val="single" w:sz="4" w:space="0" w:color="808080"/>
              <w:bottom w:val="single" w:sz="4" w:space="0" w:color="808080"/>
            </w:tcBorders>
            <w:shd w:val="clear" w:color="auto" w:fill="auto"/>
            <w:vAlign w:val="center"/>
          </w:tcPr>
          <w:p w:rsidR="006F6DD6" w:rsidRPr="00C36C8F" w:rsidRDefault="006F6DD6" w:rsidP="002B55DC">
            <w:pPr>
              <w:pStyle w:val="TableText"/>
              <w:keepNext/>
            </w:pPr>
            <w:bookmarkStart w:id="52" w:name="_Toc279510554"/>
            <w:r w:rsidRPr="00C36C8F">
              <w:t>Solid waste</w:t>
            </w:r>
            <w:bookmarkEnd w:id="52"/>
          </w:p>
        </w:tc>
        <w:tc>
          <w:tcPr>
            <w:tcW w:w="6378" w:type="dxa"/>
            <w:tcBorders>
              <w:top w:val="single" w:sz="4" w:space="0" w:color="808080"/>
              <w:bottom w:val="single" w:sz="4" w:space="0" w:color="808080"/>
            </w:tcBorders>
            <w:shd w:val="clear" w:color="auto" w:fill="auto"/>
            <w:vAlign w:val="center"/>
          </w:tcPr>
          <w:p w:rsidR="006F6DD6" w:rsidRPr="00C36C8F" w:rsidRDefault="006F6DD6" w:rsidP="002B55DC">
            <w:pPr>
              <w:pStyle w:val="TableText"/>
              <w:keepNext/>
            </w:pPr>
            <w:r w:rsidRPr="00C36C8F">
              <w:t>Waste products and materials that are ‘spadeable’.</w:t>
            </w:r>
          </w:p>
        </w:tc>
      </w:tr>
    </w:tbl>
    <w:p w:rsidR="00F960BC" w:rsidRPr="00C36C8F" w:rsidRDefault="00F960BC" w:rsidP="00F960BC">
      <w:pPr>
        <w:pStyle w:val="ParaIndent"/>
      </w:pPr>
    </w:p>
    <w:p w:rsidR="003F3B3E" w:rsidRPr="00C36C8F" w:rsidRDefault="003F3B3E" w:rsidP="00F960BC">
      <w:pPr>
        <w:pStyle w:val="ParaIndent"/>
        <w:sectPr w:rsidR="003F3B3E" w:rsidRPr="00C36C8F" w:rsidSect="00860B52">
          <w:footerReference w:type="default" r:id="rId17"/>
          <w:pgSz w:w="11907" w:h="16840" w:code="9"/>
          <w:pgMar w:top="1134" w:right="1134" w:bottom="1134" w:left="1134" w:header="567" w:footer="567" w:gutter="0"/>
          <w:pgNumType w:start="1"/>
          <w:cols w:space="708"/>
          <w:docGrid w:linePitch="360"/>
        </w:sectPr>
      </w:pPr>
    </w:p>
    <w:tbl>
      <w:tblPr>
        <w:tblW w:w="0" w:type="auto"/>
        <w:tblInd w:w="1134" w:type="dxa"/>
        <w:tblLayout w:type="fixed"/>
        <w:tblCellMar>
          <w:left w:w="0" w:type="dxa"/>
          <w:right w:w="0" w:type="dxa"/>
        </w:tblCellMar>
        <w:tblLook w:val="0000"/>
      </w:tblPr>
      <w:tblGrid>
        <w:gridCol w:w="13183"/>
      </w:tblGrid>
      <w:tr w:rsidR="00AE6873" w:rsidRPr="00C36C8F" w:rsidTr="003F3B3E">
        <w:trPr>
          <w:cantSplit/>
          <w:trHeight w:val="4756"/>
        </w:trPr>
        <w:tc>
          <w:tcPr>
            <w:tcW w:w="13183" w:type="dxa"/>
          </w:tcPr>
          <w:p w:rsidR="00AE6873" w:rsidRPr="00C36C8F" w:rsidRDefault="009F5C2A" w:rsidP="00AE6873">
            <w:pPr>
              <w:pStyle w:val="Caption0"/>
              <w:keepNext/>
            </w:pPr>
            <w:r w:rsidRPr="00C36C8F">
              <w:rPr>
                <w:noProof/>
                <w:lang w:eastAsia="en-AU"/>
              </w:rPr>
              <w:drawing>
                <wp:inline distT="0" distB="0" distL="0" distR="0">
                  <wp:extent cx="9391650" cy="5410200"/>
                  <wp:effectExtent l="0" t="0" r="0" b="0"/>
                  <wp:docPr id="17" name="Picture 17" descr="C:\Users\glaz2081\Desktop\Updated Scope of W&amp;R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z2081\Desktop\Updated Scope of W&amp;R Table.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91650" cy="5410200"/>
                          </a:xfrm>
                          <a:prstGeom prst="rect">
                            <a:avLst/>
                          </a:prstGeom>
                          <a:noFill/>
                          <a:ln>
                            <a:noFill/>
                          </a:ln>
                        </pic:spPr>
                      </pic:pic>
                    </a:graphicData>
                  </a:graphic>
                </wp:inline>
              </w:drawing>
            </w:r>
          </w:p>
        </w:tc>
      </w:tr>
      <w:tr w:rsidR="00AE6873" w:rsidRPr="00C36C8F" w:rsidTr="003F3B3E">
        <w:trPr>
          <w:cantSplit/>
        </w:trPr>
        <w:tc>
          <w:tcPr>
            <w:tcW w:w="13183" w:type="dxa"/>
          </w:tcPr>
          <w:p w:rsidR="00AE6873" w:rsidRPr="00C36C8F" w:rsidRDefault="00AE6873" w:rsidP="000D3632">
            <w:pPr>
              <w:pStyle w:val="TableHeading"/>
              <w:tabs>
                <w:tab w:val="right" w:pos="7263"/>
              </w:tabs>
              <w:spacing w:after="0"/>
            </w:pPr>
            <w:bookmarkStart w:id="53" w:name="_Ref301273718"/>
            <w:bookmarkStart w:id="54" w:name="_Ref301273710"/>
            <w:r w:rsidRPr="00C36C8F">
              <w:rPr>
                <w:sz w:val="20"/>
              </w:rPr>
              <w:t xml:space="preserve">Figure </w:t>
            </w:r>
            <w:r w:rsidR="00B9555F" w:rsidRPr="00C36C8F">
              <w:rPr>
                <w:sz w:val="20"/>
              </w:rPr>
              <w:fldChar w:fldCharType="begin"/>
            </w:r>
            <w:r w:rsidR="008350AE" w:rsidRPr="00C36C8F">
              <w:rPr>
                <w:sz w:val="20"/>
              </w:rPr>
              <w:instrText xml:space="preserve"> STYLEREF "_Heading1" \n </w:instrText>
            </w:r>
            <w:r w:rsidR="00B9555F" w:rsidRPr="00C36C8F">
              <w:rPr>
                <w:sz w:val="20"/>
              </w:rPr>
              <w:fldChar w:fldCharType="separate"/>
            </w:r>
            <w:r w:rsidR="00AE7E3B">
              <w:rPr>
                <w:noProof/>
                <w:sz w:val="20"/>
              </w:rPr>
              <w:t>2</w:t>
            </w:r>
            <w:r w:rsidR="00B9555F" w:rsidRPr="00C36C8F">
              <w:rPr>
                <w:sz w:val="20"/>
              </w:rPr>
              <w:fldChar w:fldCharType="end"/>
            </w:r>
            <w:r w:rsidRPr="00C36C8F">
              <w:rPr>
                <w:sz w:val="20"/>
              </w:rPr>
              <w:t>-</w:t>
            </w:r>
            <w:r w:rsidR="00B9555F" w:rsidRPr="00C36C8F">
              <w:rPr>
                <w:sz w:val="20"/>
              </w:rPr>
              <w:fldChar w:fldCharType="begin"/>
            </w:r>
            <w:r w:rsidR="008350AE" w:rsidRPr="00C36C8F">
              <w:rPr>
                <w:sz w:val="20"/>
              </w:rPr>
              <w:instrText xml:space="preserve"> SEQ Figure \* Arabic </w:instrText>
            </w:r>
            <w:r w:rsidR="00B9555F" w:rsidRPr="00C36C8F">
              <w:rPr>
                <w:sz w:val="20"/>
              </w:rPr>
              <w:fldChar w:fldCharType="separate"/>
            </w:r>
            <w:r w:rsidR="00AE7E3B">
              <w:rPr>
                <w:noProof/>
                <w:sz w:val="20"/>
              </w:rPr>
              <w:t>1</w:t>
            </w:r>
            <w:r w:rsidR="00B9555F" w:rsidRPr="00C36C8F">
              <w:rPr>
                <w:sz w:val="20"/>
              </w:rPr>
              <w:fldChar w:fldCharType="end"/>
            </w:r>
            <w:bookmarkEnd w:id="53"/>
            <w:r w:rsidRPr="00C36C8F">
              <w:rPr>
                <w:sz w:val="20"/>
              </w:rPr>
              <w:t>: Key terms in waste and recycling reporting</w:t>
            </w:r>
            <w:bookmarkEnd w:id="54"/>
          </w:p>
        </w:tc>
      </w:tr>
    </w:tbl>
    <w:p w:rsidR="003F3B3E" w:rsidRPr="00C36C8F" w:rsidRDefault="003F3B3E" w:rsidP="000D3632">
      <w:pPr>
        <w:pStyle w:val="ParaIndent"/>
        <w:spacing w:after="0"/>
        <w:jc w:val="both"/>
        <w:sectPr w:rsidR="003F3B3E" w:rsidRPr="00C36C8F" w:rsidSect="00860B52">
          <w:pgSz w:w="16840" w:h="11907" w:orient="landscape" w:code="9"/>
          <w:pgMar w:top="1134" w:right="1134" w:bottom="1134" w:left="1134" w:header="567" w:footer="567" w:gutter="0"/>
          <w:cols w:space="708"/>
          <w:docGrid w:linePitch="360"/>
        </w:sectPr>
      </w:pPr>
    </w:p>
    <w:p w:rsidR="006301A4" w:rsidRPr="00C36C8F" w:rsidRDefault="005854DC" w:rsidP="006301A4">
      <w:pPr>
        <w:pStyle w:val="Heading1"/>
      </w:pPr>
      <w:bookmarkStart w:id="55" w:name="_Ref295210521"/>
      <w:bookmarkStart w:id="56" w:name="_Toc325020098"/>
      <w:bookmarkStart w:id="57" w:name="_Toc305049746"/>
      <w:bookmarkEnd w:id="42"/>
      <w:bookmarkEnd w:id="43"/>
      <w:bookmarkEnd w:id="44"/>
      <w:r w:rsidRPr="00C36C8F">
        <w:t>METHOD REPORT RECOMMENDATIONS - TESTING FINDINGS</w:t>
      </w:r>
      <w:bookmarkEnd w:id="55"/>
      <w:bookmarkEnd w:id="56"/>
      <w:bookmarkEnd w:id="57"/>
    </w:p>
    <w:p w:rsidR="00FB7FE5" w:rsidRPr="00C36C8F" w:rsidRDefault="006301A4" w:rsidP="000413DC">
      <w:pPr>
        <w:pStyle w:val="ParaIndent"/>
        <w:jc w:val="both"/>
        <w:rPr>
          <w:lang w:eastAsia="en-AU"/>
        </w:rPr>
      </w:pPr>
      <w:r w:rsidRPr="00C36C8F">
        <w:rPr>
          <w:lang w:eastAsia="en-AU"/>
        </w:rPr>
        <w:t>This se</w:t>
      </w:r>
      <w:r w:rsidR="00FB7FE5" w:rsidRPr="00C36C8F">
        <w:rPr>
          <w:lang w:eastAsia="en-AU"/>
        </w:rPr>
        <w:t xml:space="preserve">ction contains </w:t>
      </w:r>
      <w:r w:rsidR="00B22840" w:rsidRPr="00C36C8F">
        <w:rPr>
          <w:lang w:eastAsia="en-AU"/>
        </w:rPr>
        <w:t>the recommendations</w:t>
      </w:r>
      <w:r w:rsidR="00413813" w:rsidRPr="00C36C8F">
        <w:rPr>
          <w:lang w:eastAsia="en-AU"/>
        </w:rPr>
        <w:t xml:space="preserve"> and relevant discussions from</w:t>
      </w:r>
      <w:r w:rsidR="00B22840" w:rsidRPr="00C36C8F">
        <w:rPr>
          <w:lang w:eastAsia="en-AU"/>
        </w:rPr>
        <w:t xml:space="preserve"> the method report</w:t>
      </w:r>
      <w:r w:rsidR="00413813" w:rsidRPr="00C36C8F">
        <w:rPr>
          <w:lang w:eastAsia="en-AU"/>
        </w:rPr>
        <w:t xml:space="preserve">. </w:t>
      </w:r>
      <w:r w:rsidRPr="00C36C8F">
        <w:rPr>
          <w:lang w:eastAsia="en-AU"/>
        </w:rPr>
        <w:t xml:space="preserve">It also contains </w:t>
      </w:r>
      <w:r w:rsidR="00413813" w:rsidRPr="00C36C8F">
        <w:rPr>
          <w:lang w:eastAsia="en-AU"/>
        </w:rPr>
        <w:t>the analysis of</w:t>
      </w:r>
      <w:r w:rsidR="00FB7FE5" w:rsidRPr="00C36C8F">
        <w:rPr>
          <w:lang w:eastAsia="en-AU"/>
        </w:rPr>
        <w:t xml:space="preserve"> the testing of these recommendations during the collection of data for this report.</w:t>
      </w:r>
    </w:p>
    <w:p w:rsidR="00DE248B" w:rsidRPr="00C36C8F" w:rsidRDefault="00DE248B" w:rsidP="000413DC">
      <w:pPr>
        <w:pStyle w:val="ParaIndent"/>
        <w:jc w:val="both"/>
      </w:pPr>
      <w:r w:rsidRPr="00C36C8F">
        <w:t>Th</w:t>
      </w:r>
      <w:r w:rsidR="00413813" w:rsidRPr="00C36C8F">
        <w:t>e recommendations and discussions are grouped as they were in the method report, as follows:</w:t>
      </w:r>
    </w:p>
    <w:p w:rsidR="00DE248B" w:rsidRPr="00C36C8F" w:rsidRDefault="00DE248B" w:rsidP="000413DC">
      <w:pPr>
        <w:pStyle w:val="BulletPoints"/>
        <w:tabs>
          <w:tab w:val="clear" w:pos="567"/>
          <w:tab w:val="left" w:pos="1134"/>
          <w:tab w:val="num" w:pos="1701"/>
          <w:tab w:val="left" w:pos="2268"/>
        </w:tabs>
        <w:spacing w:after="180"/>
        <w:ind w:left="1701"/>
        <w:jc w:val="both"/>
      </w:pPr>
      <w:r w:rsidRPr="00C36C8F">
        <w:t>General consideration</w:t>
      </w:r>
      <w:r w:rsidR="00411315" w:rsidRPr="00C36C8F">
        <w:t>s</w:t>
      </w:r>
      <w:r w:rsidRPr="00C36C8F">
        <w:t xml:space="preserve"> </w:t>
      </w:r>
      <w:r w:rsidR="00411315" w:rsidRPr="00C36C8F">
        <w:t>of</w:t>
      </w:r>
      <w:r w:rsidR="00D34716" w:rsidRPr="00C36C8F">
        <w:t xml:space="preserve"> scope for waste and recycling reporting</w:t>
      </w:r>
    </w:p>
    <w:p w:rsidR="00DE248B" w:rsidRPr="00C36C8F" w:rsidRDefault="00DE248B" w:rsidP="000413DC">
      <w:pPr>
        <w:pStyle w:val="BulletPoints"/>
        <w:tabs>
          <w:tab w:val="clear" w:pos="567"/>
          <w:tab w:val="left" w:pos="1134"/>
          <w:tab w:val="num" w:pos="1701"/>
          <w:tab w:val="left" w:pos="2268"/>
        </w:tabs>
        <w:spacing w:after="180"/>
        <w:ind w:left="1701"/>
        <w:jc w:val="both"/>
      </w:pPr>
      <w:r w:rsidRPr="00C36C8F">
        <w:t xml:space="preserve">Specific waste </w:t>
      </w:r>
      <w:r w:rsidR="00883068" w:rsidRPr="00C36C8F">
        <w:t xml:space="preserve">categories and </w:t>
      </w:r>
      <w:r w:rsidR="00411315" w:rsidRPr="00C36C8F">
        <w:t xml:space="preserve">types that </w:t>
      </w:r>
      <w:r w:rsidR="00883068" w:rsidRPr="00C36C8F">
        <w:t xml:space="preserve">were difficult to allocate </w:t>
      </w:r>
      <w:r w:rsidR="00411315" w:rsidRPr="00C36C8F">
        <w:t>in the scope of waste and recyclin</w:t>
      </w:r>
      <w:r w:rsidR="00C712F5" w:rsidRPr="00C36C8F">
        <w:t>g reporting</w:t>
      </w:r>
    </w:p>
    <w:p w:rsidR="00894B68" w:rsidRPr="00C36C8F" w:rsidRDefault="00411315" w:rsidP="000413DC">
      <w:pPr>
        <w:pStyle w:val="BulletPoints"/>
        <w:tabs>
          <w:tab w:val="clear" w:pos="567"/>
          <w:tab w:val="left" w:pos="1134"/>
          <w:tab w:val="num" w:pos="1701"/>
          <w:tab w:val="left" w:pos="2268"/>
        </w:tabs>
        <w:spacing w:after="180"/>
        <w:ind w:left="1701"/>
        <w:jc w:val="both"/>
      </w:pPr>
      <w:r w:rsidRPr="00C36C8F">
        <w:t>Issues related to the</w:t>
      </w:r>
      <w:r w:rsidR="00894B68" w:rsidRPr="00C36C8F">
        <w:t xml:space="preserve"> measurement</w:t>
      </w:r>
      <w:r w:rsidRPr="00C36C8F">
        <w:t>, compilation and</w:t>
      </w:r>
      <w:r w:rsidR="00080923" w:rsidRPr="00C36C8F">
        <w:t xml:space="preserve"> allocation</w:t>
      </w:r>
      <w:r w:rsidR="00894B68" w:rsidRPr="00C36C8F">
        <w:t xml:space="preserve"> of data.</w:t>
      </w:r>
    </w:p>
    <w:p w:rsidR="00515527" w:rsidRPr="00C36C8F" w:rsidRDefault="003903E1" w:rsidP="000413DC">
      <w:pPr>
        <w:pStyle w:val="ParaIndent"/>
        <w:jc w:val="both"/>
        <w:rPr>
          <w:lang w:eastAsia="en-AU"/>
        </w:rPr>
      </w:pPr>
      <w:r w:rsidRPr="00C36C8F">
        <w:rPr>
          <w:lang w:eastAsia="en-AU"/>
        </w:rPr>
        <w:t xml:space="preserve">The majority of the discussion </w:t>
      </w:r>
      <w:r w:rsidR="00D34716" w:rsidRPr="00C36C8F">
        <w:rPr>
          <w:lang w:eastAsia="en-AU"/>
        </w:rPr>
        <w:t xml:space="preserve">in this section, </w:t>
      </w:r>
      <w:r w:rsidRPr="00C36C8F">
        <w:rPr>
          <w:lang w:eastAsia="en-AU"/>
        </w:rPr>
        <w:t xml:space="preserve">and all of the recommendations relating to the </w:t>
      </w:r>
      <w:r w:rsidR="00322DDC" w:rsidRPr="00C36C8F">
        <w:rPr>
          <w:lang w:eastAsia="en-AU"/>
        </w:rPr>
        <w:t>data scope and method</w:t>
      </w:r>
      <w:r w:rsidR="00B2289D">
        <w:rPr>
          <w:lang w:eastAsia="en-AU"/>
        </w:rPr>
        <w:t>,</w:t>
      </w:r>
      <w:r w:rsidRPr="00C36C8F">
        <w:rPr>
          <w:lang w:eastAsia="en-AU"/>
        </w:rPr>
        <w:t xml:space="preserve"> </w:t>
      </w:r>
      <w:r w:rsidR="00322DDC" w:rsidRPr="00C36C8F">
        <w:rPr>
          <w:lang w:eastAsia="en-AU"/>
        </w:rPr>
        <w:t>were</w:t>
      </w:r>
      <w:r w:rsidRPr="00C36C8F">
        <w:rPr>
          <w:lang w:eastAsia="en-AU"/>
        </w:rPr>
        <w:t xml:space="preserve"> originally </w:t>
      </w:r>
      <w:r w:rsidR="00D34716" w:rsidRPr="00C36C8F">
        <w:rPr>
          <w:lang w:eastAsia="en-AU"/>
        </w:rPr>
        <w:t>presented</w:t>
      </w:r>
      <w:r w:rsidRPr="00C36C8F">
        <w:rPr>
          <w:lang w:eastAsia="en-AU"/>
        </w:rPr>
        <w:t xml:space="preserve"> in </w:t>
      </w:r>
      <w:r w:rsidRPr="00C36C8F">
        <w:rPr>
          <w:i/>
          <w:lang w:eastAsia="en-AU"/>
        </w:rPr>
        <w:t>National waste and recycling reporting: A more uniform approach to data</w:t>
      </w:r>
      <w:r w:rsidR="00322DDC" w:rsidRPr="00C36C8F">
        <w:rPr>
          <w:lang w:eastAsia="en-AU"/>
        </w:rPr>
        <w:t xml:space="preserve"> (the </w:t>
      </w:r>
      <w:r w:rsidR="00DE7723" w:rsidRPr="00C36C8F">
        <w:rPr>
          <w:lang w:eastAsia="en-AU"/>
        </w:rPr>
        <w:t>m</w:t>
      </w:r>
      <w:r w:rsidR="00515527" w:rsidRPr="00C36C8F">
        <w:rPr>
          <w:lang w:eastAsia="en-AU"/>
        </w:rPr>
        <w:t>ethod report), which is attached as Appendix 2.</w:t>
      </w:r>
    </w:p>
    <w:p w:rsidR="003903E1" w:rsidRPr="00C36C8F" w:rsidRDefault="008D77A7" w:rsidP="000413DC">
      <w:pPr>
        <w:pStyle w:val="ParaIndent"/>
        <w:jc w:val="both"/>
        <w:rPr>
          <w:lang w:eastAsia="en-AU"/>
        </w:rPr>
      </w:pPr>
      <w:r w:rsidRPr="00C36C8F">
        <w:rPr>
          <w:lang w:eastAsia="en-AU"/>
        </w:rPr>
        <w:t>Where necessary, the discu</w:t>
      </w:r>
      <w:r w:rsidR="009D6EF8" w:rsidRPr="00C36C8F">
        <w:rPr>
          <w:lang w:eastAsia="en-AU"/>
        </w:rPr>
        <w:t>ssion providing the rationale for the recommendations has been expanded or amended</w:t>
      </w:r>
      <w:r w:rsidR="00515527" w:rsidRPr="00C36C8F">
        <w:rPr>
          <w:lang w:eastAsia="en-AU"/>
        </w:rPr>
        <w:t xml:space="preserve"> within this current report</w:t>
      </w:r>
      <w:r w:rsidR="009D6EF8" w:rsidRPr="00C36C8F">
        <w:rPr>
          <w:lang w:eastAsia="en-AU"/>
        </w:rPr>
        <w:t>. C</w:t>
      </w:r>
      <w:r w:rsidRPr="00C36C8F">
        <w:rPr>
          <w:lang w:eastAsia="en-AU"/>
        </w:rPr>
        <w:t xml:space="preserve">hanges to the recommendations have </w:t>
      </w:r>
      <w:r w:rsidR="009D6EF8" w:rsidRPr="00C36C8F">
        <w:rPr>
          <w:lang w:eastAsia="en-AU"/>
        </w:rPr>
        <w:t xml:space="preserve">also </w:t>
      </w:r>
      <w:r w:rsidR="002F485C" w:rsidRPr="00C36C8F">
        <w:rPr>
          <w:lang w:eastAsia="en-AU"/>
        </w:rPr>
        <w:t xml:space="preserve">been </w:t>
      </w:r>
      <w:r w:rsidR="009D6EF8" w:rsidRPr="00C36C8F">
        <w:rPr>
          <w:lang w:eastAsia="en-AU"/>
        </w:rPr>
        <w:t>noted</w:t>
      </w:r>
      <w:r w:rsidR="002F485C" w:rsidRPr="00C36C8F">
        <w:rPr>
          <w:lang w:eastAsia="en-AU"/>
        </w:rPr>
        <w:t>,</w:t>
      </w:r>
      <w:r w:rsidR="009D6EF8" w:rsidRPr="00C36C8F">
        <w:rPr>
          <w:lang w:eastAsia="en-AU"/>
        </w:rPr>
        <w:t xml:space="preserve"> along with</w:t>
      </w:r>
      <w:r w:rsidR="00413813" w:rsidRPr="00C36C8F">
        <w:rPr>
          <w:lang w:eastAsia="en-AU"/>
        </w:rPr>
        <w:t xml:space="preserve"> the</w:t>
      </w:r>
      <w:r w:rsidR="009D6EF8" w:rsidRPr="00C36C8F">
        <w:rPr>
          <w:lang w:eastAsia="en-AU"/>
        </w:rPr>
        <w:t xml:space="preserve"> commentary on their implementation</w:t>
      </w:r>
      <w:r w:rsidR="002F485C" w:rsidRPr="00C36C8F">
        <w:rPr>
          <w:lang w:eastAsia="en-AU"/>
        </w:rPr>
        <w:t>.</w:t>
      </w:r>
    </w:p>
    <w:tbl>
      <w:tblPr>
        <w:tblStyle w:val="TableGrid"/>
        <w:tblW w:w="0" w:type="auto"/>
        <w:tblInd w:w="1134" w:type="dxa"/>
        <w:shd w:val="clear" w:color="auto" w:fill="DBE5F1" w:themeFill="accent1" w:themeFillTint="33"/>
        <w:tblLook w:val="04A0"/>
      </w:tblPr>
      <w:tblGrid>
        <w:gridCol w:w="8721"/>
      </w:tblGrid>
      <w:tr w:rsidR="00C712F5" w:rsidRPr="00C36C8F" w:rsidTr="00C712F5">
        <w:tc>
          <w:tcPr>
            <w:tcW w:w="9855" w:type="dxa"/>
            <w:shd w:val="clear" w:color="auto" w:fill="DBE5F1" w:themeFill="accent1" w:themeFillTint="33"/>
          </w:tcPr>
          <w:p w:rsidR="00C712F5" w:rsidRPr="00C36C8F" w:rsidRDefault="00C712F5" w:rsidP="000413DC">
            <w:pPr>
              <w:pStyle w:val="ParaIndent"/>
              <w:ind w:left="0"/>
              <w:jc w:val="both"/>
              <w:rPr>
                <w:b/>
                <w:lang w:eastAsia="en-AU"/>
              </w:rPr>
            </w:pPr>
            <w:r w:rsidRPr="00C36C8F">
              <w:rPr>
                <w:b/>
                <w:lang w:eastAsia="en-AU"/>
              </w:rPr>
              <w:t>Note:</w:t>
            </w:r>
          </w:p>
          <w:p w:rsidR="00C712F5" w:rsidRPr="00C36C8F" w:rsidRDefault="00C712F5" w:rsidP="000413DC">
            <w:pPr>
              <w:pStyle w:val="ParaIndent"/>
              <w:ind w:left="0"/>
              <w:jc w:val="both"/>
              <w:rPr>
                <w:lang w:eastAsia="en-AU"/>
              </w:rPr>
            </w:pPr>
            <w:r w:rsidRPr="00C36C8F">
              <w:rPr>
                <w:lang w:eastAsia="en-AU"/>
              </w:rPr>
              <w:t>The intent of these recommendations is to aid the collation of the national data for this report only. This report and the recommendations contained within it are not part of the process of development of the National Waste Data System, and recommendations should not be read as suggestions to states and territories as to how they should collect, manage or report data.</w:t>
            </w:r>
          </w:p>
          <w:p w:rsidR="00C712F5" w:rsidRPr="00C36C8F" w:rsidRDefault="00C712F5" w:rsidP="000413DC">
            <w:pPr>
              <w:pStyle w:val="ParaIndent"/>
              <w:ind w:left="0"/>
              <w:jc w:val="both"/>
              <w:rPr>
                <w:lang w:eastAsia="en-AU"/>
              </w:rPr>
            </w:pPr>
            <w:r w:rsidRPr="00C36C8F">
              <w:rPr>
                <w:lang w:eastAsia="en-AU"/>
              </w:rPr>
              <w:t>The recommended exclusion or separate treatment of any particular waste type, in waste and recycling reporting, should not be seen as a suggestion that these wastes should be exempt, or eligible for discounts, on fees or charges relating to the disposal of waste.</w:t>
            </w:r>
          </w:p>
        </w:tc>
      </w:tr>
    </w:tbl>
    <w:p w:rsidR="006301A4" w:rsidRPr="00C36C8F" w:rsidRDefault="006301A4" w:rsidP="006301A4">
      <w:pPr>
        <w:pStyle w:val="Heading2"/>
        <w:spacing w:before="480" w:after="180"/>
        <w:rPr>
          <w:lang w:eastAsia="en-AU"/>
        </w:rPr>
      </w:pPr>
      <w:bookmarkStart w:id="58" w:name="_Toc279510556"/>
      <w:bookmarkStart w:id="59" w:name="_Toc325020099"/>
      <w:bookmarkStart w:id="60" w:name="_Toc305049747"/>
      <w:r w:rsidRPr="00C36C8F">
        <w:rPr>
          <w:lang w:eastAsia="en-AU"/>
        </w:rPr>
        <w:t>General considerations</w:t>
      </w:r>
      <w:bookmarkEnd w:id="58"/>
      <w:bookmarkEnd w:id="59"/>
      <w:bookmarkEnd w:id="60"/>
      <w:r w:rsidR="001D4C1D" w:rsidRPr="00C36C8F">
        <w:rPr>
          <w:lang w:eastAsia="en-AU"/>
        </w:rPr>
        <w:t xml:space="preserve"> </w:t>
      </w:r>
    </w:p>
    <w:p w:rsidR="00416F0B" w:rsidRPr="00C36C8F" w:rsidRDefault="00413813" w:rsidP="000413DC">
      <w:pPr>
        <w:pStyle w:val="Heading40"/>
        <w:spacing w:before="0"/>
        <w:jc w:val="both"/>
        <w:rPr>
          <w:lang w:eastAsia="en-AU"/>
        </w:rPr>
      </w:pPr>
      <w:bookmarkStart w:id="61" w:name="_Toc333908392"/>
      <w:r w:rsidRPr="00C36C8F">
        <w:t xml:space="preserve">Recommendation </w:t>
      </w:r>
      <w:r w:rsidR="00B9555F" w:rsidRPr="00C36C8F">
        <w:fldChar w:fldCharType="begin"/>
      </w:r>
      <w:r w:rsidRPr="00C36C8F">
        <w:instrText xml:space="preserve"> SEQ Recommendation \* ARABIC </w:instrText>
      </w:r>
      <w:r w:rsidR="00B9555F" w:rsidRPr="00C36C8F">
        <w:fldChar w:fldCharType="separate"/>
      </w:r>
      <w:r w:rsidR="00AE7E3B">
        <w:rPr>
          <w:noProof/>
        </w:rPr>
        <w:t>1</w:t>
      </w:r>
      <w:r w:rsidR="00B9555F" w:rsidRPr="00C36C8F">
        <w:fldChar w:fldCharType="end"/>
      </w:r>
      <w:r w:rsidRPr="00C36C8F">
        <w:t xml:space="preserve"> (from the method report): </w:t>
      </w:r>
      <w:r w:rsidR="00C924BE" w:rsidRPr="00C36C8F">
        <w:t>t</w:t>
      </w:r>
      <w:r w:rsidRPr="00C36C8F">
        <w:t>he scope should be limited to waste material that is recycled, recovered for energy and disposed</w:t>
      </w:r>
      <w:r w:rsidR="00C924BE" w:rsidRPr="00C36C8F">
        <w:t>.</w:t>
      </w:r>
      <w:r w:rsidRPr="00C36C8F">
        <w:t xml:space="preserve"> </w:t>
      </w:r>
      <w:r w:rsidR="00C924BE" w:rsidRPr="00C36C8F">
        <w:t>R</w:t>
      </w:r>
      <w:r w:rsidRPr="00C36C8F">
        <w:t>e-use is excluded from the scope.</w:t>
      </w:r>
      <w:bookmarkEnd w:id="61"/>
    </w:p>
    <w:p w:rsidR="00326AC1" w:rsidRPr="00C36C8F" w:rsidRDefault="00326AC1" w:rsidP="000413DC">
      <w:pPr>
        <w:pStyle w:val="ParaIndent"/>
        <w:keepNext/>
        <w:keepLines/>
        <w:jc w:val="both"/>
      </w:pPr>
      <w:r w:rsidRPr="00C36C8F">
        <w:t xml:space="preserve">Re-use usually provides </w:t>
      </w:r>
      <w:r w:rsidR="004C2ED2" w:rsidRPr="00C36C8F">
        <w:t>m</w:t>
      </w:r>
      <w:r w:rsidRPr="00C36C8F">
        <w:t xml:space="preserve">ore favourable environmental outcomes than recycling, energy recovery or disposal. The waste hierarchy, shown in </w:t>
      </w:r>
      <w:r w:rsidR="00C719F6" w:rsidRPr="00C36C8F">
        <w:t>Figure 3.2</w:t>
      </w:r>
      <w:r w:rsidR="0038741D" w:rsidRPr="00C36C8F">
        <w:t xml:space="preserve">, </w:t>
      </w:r>
      <w:r w:rsidR="00413813" w:rsidRPr="00C36C8F">
        <w:t>is discussed below</w:t>
      </w:r>
      <w:r w:rsidR="00D42777" w:rsidRPr="00C36C8F">
        <w:t>.</w:t>
      </w:r>
      <w:r w:rsidRPr="00C36C8F">
        <w:t xml:space="preserve"> </w:t>
      </w:r>
    </w:p>
    <w:tbl>
      <w:tblPr>
        <w:tblStyle w:val="TableGrid"/>
        <w:tblW w:w="8613" w:type="dxa"/>
        <w:tblInd w:w="1134" w:type="dxa"/>
        <w:tblBorders>
          <w:top w:val="none" w:sz="0" w:space="0" w:color="auto"/>
          <w:left w:val="none" w:sz="0" w:space="0" w:color="auto"/>
          <w:bottom w:val="none" w:sz="0" w:space="0" w:color="auto"/>
          <w:right w:val="none" w:sz="0" w:space="0" w:color="auto"/>
          <w:insideH w:val="single" w:sz="12" w:space="0" w:color="7F7F7F" w:themeColor="text1" w:themeTint="80"/>
          <w:insideV w:val="none" w:sz="0" w:space="0" w:color="auto"/>
        </w:tblBorders>
        <w:tblLook w:val="04A0"/>
      </w:tblPr>
      <w:tblGrid>
        <w:gridCol w:w="8613"/>
      </w:tblGrid>
      <w:tr w:rsidR="00326AC1" w:rsidRPr="00C36C8F" w:rsidTr="00D75067">
        <w:trPr>
          <w:trHeight w:hRule="exact" w:val="3686"/>
        </w:trPr>
        <w:tc>
          <w:tcPr>
            <w:tcW w:w="8613" w:type="dxa"/>
            <w:tcBorders>
              <w:top w:val="nil"/>
              <w:bottom w:val="nil"/>
            </w:tcBorders>
            <w:shd w:val="clear" w:color="auto" w:fill="auto"/>
          </w:tcPr>
          <w:p w:rsidR="00326AC1" w:rsidRPr="00C36C8F" w:rsidRDefault="006D436D" w:rsidP="00D75067">
            <w:pPr>
              <w:pStyle w:val="TableHeading"/>
              <w:tabs>
                <w:tab w:val="right" w:pos="7263"/>
              </w:tabs>
            </w:pPr>
            <w:r w:rsidRPr="00C36C8F">
              <w:rPr>
                <w:noProof/>
                <w:lang w:eastAsia="en-AU"/>
              </w:rPr>
              <w:drawing>
                <wp:inline distT="0" distB="0" distL="0" distR="0">
                  <wp:extent cx="3339545" cy="2282025"/>
                  <wp:effectExtent l="19050" t="0" r="0" b="0"/>
                  <wp:docPr id="13" name="Picture 35" descr="Waste hierarch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hierarchy.emf"/>
                          <pic:cNvPicPr/>
                        </pic:nvPicPr>
                        <pic:blipFill>
                          <a:blip r:embed="rId19" cstate="print"/>
                          <a:stretch>
                            <a:fillRect/>
                          </a:stretch>
                        </pic:blipFill>
                        <pic:spPr>
                          <a:xfrm>
                            <a:off x="0" y="0"/>
                            <a:ext cx="3409673" cy="2329946"/>
                          </a:xfrm>
                          <a:prstGeom prst="rect">
                            <a:avLst/>
                          </a:prstGeom>
                        </pic:spPr>
                      </pic:pic>
                    </a:graphicData>
                  </a:graphic>
                </wp:inline>
              </w:drawing>
            </w:r>
          </w:p>
        </w:tc>
      </w:tr>
      <w:tr w:rsidR="00326AC1" w:rsidRPr="00C36C8F" w:rsidTr="00D75067">
        <w:trPr>
          <w:trHeight w:hRule="exact" w:val="426"/>
        </w:trPr>
        <w:tc>
          <w:tcPr>
            <w:tcW w:w="8613" w:type="dxa"/>
            <w:tcBorders>
              <w:top w:val="nil"/>
              <w:bottom w:val="nil"/>
            </w:tcBorders>
            <w:shd w:val="clear" w:color="auto" w:fill="auto"/>
          </w:tcPr>
          <w:p w:rsidR="00326AC1" w:rsidRPr="00C36C8F" w:rsidRDefault="00326AC1" w:rsidP="00D75067">
            <w:pPr>
              <w:pStyle w:val="TableHeading"/>
              <w:tabs>
                <w:tab w:val="right" w:pos="7263"/>
              </w:tabs>
              <w:spacing w:after="0"/>
              <w:rPr>
                <w:noProof/>
                <w:sz w:val="20"/>
                <w:lang w:eastAsia="en-AU"/>
              </w:rPr>
            </w:pPr>
            <w:bookmarkStart w:id="62" w:name="_Ref302055886"/>
            <w:r w:rsidRPr="00C36C8F">
              <w:rPr>
                <w:sz w:val="20"/>
              </w:rPr>
              <w:t xml:space="preserve">Figure </w:t>
            </w:r>
            <w:r w:rsidR="00B9555F" w:rsidRPr="00C36C8F">
              <w:rPr>
                <w:sz w:val="20"/>
              </w:rPr>
              <w:fldChar w:fldCharType="begin"/>
            </w:r>
            <w:r w:rsidRPr="00C36C8F">
              <w:rPr>
                <w:sz w:val="20"/>
              </w:rPr>
              <w:instrText xml:space="preserve"> STYLEREF "_Heading1" \n </w:instrText>
            </w:r>
            <w:r w:rsidR="00B9555F" w:rsidRPr="00C36C8F">
              <w:rPr>
                <w:sz w:val="20"/>
              </w:rPr>
              <w:fldChar w:fldCharType="separate"/>
            </w:r>
            <w:r w:rsidR="00AE7E3B">
              <w:rPr>
                <w:noProof/>
                <w:sz w:val="20"/>
              </w:rPr>
              <w:t>3</w:t>
            </w:r>
            <w:r w:rsidR="00B9555F" w:rsidRPr="00C36C8F">
              <w:rPr>
                <w:sz w:val="20"/>
              </w:rPr>
              <w:fldChar w:fldCharType="end"/>
            </w:r>
            <w:r w:rsidRPr="00C36C8F">
              <w:rPr>
                <w:sz w:val="20"/>
              </w:rPr>
              <w:t>-</w:t>
            </w:r>
            <w:r w:rsidR="00B9555F" w:rsidRPr="00C36C8F">
              <w:rPr>
                <w:sz w:val="20"/>
              </w:rPr>
              <w:fldChar w:fldCharType="begin"/>
            </w:r>
            <w:r w:rsidRPr="00C36C8F">
              <w:rPr>
                <w:sz w:val="20"/>
              </w:rPr>
              <w:instrText xml:space="preserve"> SEQ Figure \* Arabic </w:instrText>
            </w:r>
            <w:r w:rsidR="00B9555F" w:rsidRPr="00C36C8F">
              <w:rPr>
                <w:sz w:val="20"/>
              </w:rPr>
              <w:fldChar w:fldCharType="separate"/>
            </w:r>
            <w:r w:rsidR="00AE7E3B">
              <w:rPr>
                <w:noProof/>
                <w:sz w:val="20"/>
              </w:rPr>
              <w:t>2</w:t>
            </w:r>
            <w:r w:rsidR="00B9555F" w:rsidRPr="00C36C8F">
              <w:rPr>
                <w:sz w:val="20"/>
              </w:rPr>
              <w:fldChar w:fldCharType="end"/>
            </w:r>
            <w:bookmarkEnd w:id="62"/>
            <w:r w:rsidRPr="00C36C8F">
              <w:rPr>
                <w:sz w:val="20"/>
              </w:rPr>
              <w:t>: Waste hierarchy</w:t>
            </w:r>
            <w:r w:rsidRPr="00C36C8F">
              <w:rPr>
                <w:rStyle w:val="FootnoteReference"/>
                <w:sz w:val="20"/>
              </w:rPr>
              <w:footnoteReference w:id="4"/>
            </w:r>
            <w:r w:rsidRPr="00C36C8F">
              <w:rPr>
                <w:sz w:val="20"/>
              </w:rPr>
              <w:t xml:space="preserve"> and scope of waste and recycling reporting</w:t>
            </w:r>
          </w:p>
        </w:tc>
      </w:tr>
    </w:tbl>
    <w:p w:rsidR="00326AC1" w:rsidRPr="00C36C8F" w:rsidRDefault="00326AC1" w:rsidP="004C2ED2">
      <w:pPr>
        <w:pStyle w:val="ParaIndent"/>
        <w:spacing w:after="0"/>
        <w:jc w:val="both"/>
      </w:pPr>
    </w:p>
    <w:p w:rsidR="00326AC1" w:rsidRPr="00C36C8F" w:rsidRDefault="00DA5A74" w:rsidP="000413DC">
      <w:pPr>
        <w:pStyle w:val="ParaIndent"/>
        <w:jc w:val="both"/>
        <w:rPr>
          <w:lang w:eastAsia="en-AU"/>
        </w:rPr>
      </w:pPr>
      <w:r w:rsidRPr="00C36C8F">
        <w:rPr>
          <w:b/>
          <w:lang w:eastAsia="en-AU"/>
        </w:rPr>
        <w:t>Re-use</w:t>
      </w:r>
      <w:r w:rsidR="00326AC1" w:rsidRPr="00C36C8F">
        <w:rPr>
          <w:lang w:eastAsia="en-AU"/>
        </w:rPr>
        <w:t xml:space="preserve"> prolongs the life of the energy and water that is embodied in a product or material. Re-use also prolongs the life of a material in its current physical state. In doing so, re-use offsets the use of further energy, water or materials to produce new products.</w:t>
      </w:r>
    </w:p>
    <w:p w:rsidR="00413813" w:rsidRPr="00C36C8F" w:rsidRDefault="00413813" w:rsidP="000413DC">
      <w:pPr>
        <w:pStyle w:val="ParaIndent"/>
        <w:jc w:val="both"/>
        <w:rPr>
          <w:lang w:eastAsia="en-AU"/>
        </w:rPr>
      </w:pPr>
      <w:r w:rsidRPr="00C36C8F">
        <w:rPr>
          <w:b/>
          <w:lang w:eastAsia="en-AU"/>
        </w:rPr>
        <w:t>Recycling</w:t>
      </w:r>
      <w:r w:rsidRPr="00C36C8F">
        <w:rPr>
          <w:lang w:eastAsia="en-AU"/>
        </w:rPr>
        <w:t xml:space="preserve"> does not fully recover the embodied energy and water in a product or material. Recycling also often reduces the physical performance of a material. For example, polymers, both synthetic and natural, often deteriorate in strength due to the process of recycling.</w:t>
      </w:r>
    </w:p>
    <w:p w:rsidR="00413813" w:rsidRPr="00C36C8F" w:rsidRDefault="00413813" w:rsidP="000413DC">
      <w:pPr>
        <w:pStyle w:val="ParaIndent"/>
        <w:jc w:val="both"/>
        <w:rPr>
          <w:lang w:eastAsia="en-AU"/>
        </w:rPr>
      </w:pPr>
      <w:r w:rsidRPr="00C36C8F">
        <w:rPr>
          <w:b/>
          <w:lang w:eastAsia="en-AU"/>
        </w:rPr>
        <w:t>Energy recovery</w:t>
      </w:r>
      <w:r w:rsidRPr="00C36C8F">
        <w:rPr>
          <w:lang w:eastAsia="en-AU"/>
        </w:rPr>
        <w:t xml:space="preserve"> only captures the energy value of the raw material, and destroys the physical value of a material. Energy recovery does not recover the embodied energy and water required to refine a material or to make a product.</w:t>
      </w:r>
    </w:p>
    <w:p w:rsidR="00413813" w:rsidRPr="00C36C8F" w:rsidRDefault="00413813" w:rsidP="000413DC">
      <w:pPr>
        <w:pStyle w:val="ParaIndent"/>
        <w:jc w:val="both"/>
        <w:rPr>
          <w:lang w:eastAsia="en-AU"/>
        </w:rPr>
      </w:pPr>
      <w:r w:rsidRPr="00C36C8F">
        <w:rPr>
          <w:b/>
          <w:lang w:eastAsia="en-AU"/>
        </w:rPr>
        <w:t>Landfill</w:t>
      </w:r>
      <w:r w:rsidRPr="00C36C8F">
        <w:rPr>
          <w:lang w:eastAsia="en-AU"/>
        </w:rPr>
        <w:t xml:space="preserve"> of a product or material usually represents a complete loss of a resource, and the embodied energy and water within it, with the notable exception of methane gas capture and combustion for electricity generation.</w:t>
      </w:r>
    </w:p>
    <w:p w:rsidR="00307F2B" w:rsidRPr="00C36C8F" w:rsidRDefault="006301A4" w:rsidP="000413DC">
      <w:pPr>
        <w:pStyle w:val="ParaIndent"/>
        <w:keepLines/>
        <w:jc w:val="both"/>
        <w:rPr>
          <w:lang w:eastAsia="en-AU"/>
        </w:rPr>
      </w:pPr>
      <w:r w:rsidRPr="00C36C8F">
        <w:rPr>
          <w:lang w:eastAsia="en-AU"/>
        </w:rPr>
        <w:t xml:space="preserve">The consideration of re-use is often </w:t>
      </w:r>
      <w:r w:rsidR="000A1612" w:rsidRPr="00C36C8F">
        <w:rPr>
          <w:lang w:eastAsia="en-AU"/>
        </w:rPr>
        <w:t>a</w:t>
      </w:r>
      <w:r w:rsidRPr="00C36C8F">
        <w:rPr>
          <w:lang w:eastAsia="en-AU"/>
        </w:rPr>
        <w:t xml:space="preserve"> cause of uncertainty as to what constitutes </w:t>
      </w:r>
      <w:r w:rsidR="002D4ECA" w:rsidRPr="00C36C8F">
        <w:rPr>
          <w:lang w:eastAsia="en-AU"/>
        </w:rPr>
        <w:t xml:space="preserve">a </w:t>
      </w:r>
      <w:r w:rsidRPr="00C36C8F">
        <w:rPr>
          <w:lang w:eastAsia="en-AU"/>
        </w:rPr>
        <w:t xml:space="preserve">waste. </w:t>
      </w:r>
      <w:r w:rsidR="003D3B7D" w:rsidRPr="00C36C8F">
        <w:rPr>
          <w:lang w:eastAsia="en-AU"/>
        </w:rPr>
        <w:t>While a somewhat grey area, re-use is usually seen as evidence</w:t>
      </w:r>
      <w:r w:rsidR="004120DF" w:rsidRPr="00C36C8F">
        <w:rPr>
          <w:lang w:eastAsia="en-AU"/>
        </w:rPr>
        <w:t xml:space="preserve"> that a product has not reache</w:t>
      </w:r>
      <w:r w:rsidR="003D3B7D" w:rsidRPr="00C36C8F">
        <w:rPr>
          <w:lang w:eastAsia="en-AU"/>
        </w:rPr>
        <w:t>d end-of-life, and that it is therefore not</w:t>
      </w:r>
      <w:r w:rsidR="004120DF" w:rsidRPr="00C36C8F">
        <w:rPr>
          <w:lang w:eastAsia="en-AU"/>
        </w:rPr>
        <w:t xml:space="preserve"> a waste.</w:t>
      </w:r>
      <w:r w:rsidR="003D3B7D" w:rsidRPr="00C36C8F">
        <w:rPr>
          <w:lang w:eastAsia="en-AU"/>
        </w:rPr>
        <w:t xml:space="preserve"> The vast majority of re-use </w:t>
      </w:r>
      <w:r w:rsidR="00307F2B" w:rsidRPr="00C36C8F">
        <w:rPr>
          <w:lang w:eastAsia="en-AU"/>
        </w:rPr>
        <w:t xml:space="preserve">occurs before the material or product enters the waste stream (for example the sale and reuse of a car) as illustrated in </w:t>
      </w:r>
      <w:fldSimple w:instr=" REF _Ref301273718 \h  \* MERGEFORMAT ">
        <w:r w:rsidR="00AE7E3B" w:rsidRPr="00C36C8F">
          <w:t xml:space="preserve">Figure </w:t>
        </w:r>
        <w:r w:rsidR="00AE7E3B">
          <w:rPr>
            <w:noProof/>
          </w:rPr>
          <w:t>2</w:t>
        </w:r>
        <w:r w:rsidR="00AE7E3B" w:rsidRPr="00C36C8F">
          <w:rPr>
            <w:noProof/>
          </w:rPr>
          <w:t>-</w:t>
        </w:r>
        <w:r w:rsidR="00AE7E3B">
          <w:rPr>
            <w:noProof/>
          </w:rPr>
          <w:t>1</w:t>
        </w:r>
      </w:fldSimple>
      <w:r w:rsidR="003D3B7D" w:rsidRPr="00C36C8F">
        <w:rPr>
          <w:lang w:eastAsia="en-AU"/>
        </w:rPr>
        <w:t xml:space="preserve"> </w:t>
      </w:r>
      <w:r w:rsidR="00307F2B" w:rsidRPr="00C36C8F">
        <w:rPr>
          <w:lang w:eastAsia="en-AU"/>
        </w:rPr>
        <w:t xml:space="preserve">and </w:t>
      </w:r>
      <w:r w:rsidR="003D3B7D" w:rsidRPr="00C36C8F">
        <w:rPr>
          <w:lang w:eastAsia="en-AU"/>
        </w:rPr>
        <w:t xml:space="preserve">is </w:t>
      </w:r>
      <w:r w:rsidR="008D3154" w:rsidRPr="00C36C8F">
        <w:rPr>
          <w:lang w:eastAsia="en-AU"/>
        </w:rPr>
        <w:t xml:space="preserve">difficult to quantify and </w:t>
      </w:r>
      <w:r w:rsidR="003D3B7D" w:rsidRPr="00C36C8F">
        <w:rPr>
          <w:lang w:eastAsia="en-AU"/>
        </w:rPr>
        <w:t>not wi</w:t>
      </w:r>
      <w:r w:rsidR="008D3154" w:rsidRPr="00C36C8F">
        <w:rPr>
          <w:lang w:eastAsia="en-AU"/>
        </w:rPr>
        <w:t xml:space="preserve">thin the scope of this report. </w:t>
      </w:r>
    </w:p>
    <w:p w:rsidR="008D3154" w:rsidRPr="00C36C8F" w:rsidRDefault="00307F2B" w:rsidP="000413DC">
      <w:pPr>
        <w:pStyle w:val="ParaIndent"/>
        <w:keepLines/>
        <w:jc w:val="both"/>
        <w:rPr>
          <w:lang w:eastAsia="en-AU"/>
        </w:rPr>
      </w:pPr>
      <w:r w:rsidRPr="00C36C8F">
        <w:rPr>
          <w:lang w:eastAsia="en-AU"/>
        </w:rPr>
        <w:t>The</w:t>
      </w:r>
      <w:r w:rsidR="003D3B7D" w:rsidRPr="00C36C8F">
        <w:rPr>
          <w:lang w:eastAsia="en-AU"/>
        </w:rPr>
        <w:t xml:space="preserve"> exception to this is </w:t>
      </w:r>
      <w:r w:rsidR="0000132E" w:rsidRPr="00C36C8F">
        <w:rPr>
          <w:lang w:eastAsia="en-AU"/>
        </w:rPr>
        <w:t xml:space="preserve">waste reuse, which is </w:t>
      </w:r>
      <w:r w:rsidR="003D3B7D" w:rsidRPr="00C36C8F">
        <w:rPr>
          <w:lang w:eastAsia="en-AU"/>
        </w:rPr>
        <w:t xml:space="preserve">the recovery of </w:t>
      </w:r>
      <w:r w:rsidRPr="00C36C8F">
        <w:rPr>
          <w:lang w:eastAsia="en-AU"/>
        </w:rPr>
        <w:t xml:space="preserve">materials or </w:t>
      </w:r>
      <w:r w:rsidR="003D3B7D" w:rsidRPr="00C36C8F">
        <w:rPr>
          <w:lang w:eastAsia="en-AU"/>
        </w:rPr>
        <w:t xml:space="preserve">products from </w:t>
      </w:r>
      <w:r w:rsidR="0000132E" w:rsidRPr="00C36C8F">
        <w:rPr>
          <w:lang w:eastAsia="en-AU"/>
        </w:rPr>
        <w:t>the</w:t>
      </w:r>
      <w:r w:rsidR="003D3B7D" w:rsidRPr="00C36C8F">
        <w:rPr>
          <w:lang w:eastAsia="en-AU"/>
        </w:rPr>
        <w:t xml:space="preserve"> waste streams</w:t>
      </w:r>
      <w:r w:rsidR="008D3154" w:rsidRPr="00C36C8F">
        <w:rPr>
          <w:lang w:eastAsia="en-AU"/>
        </w:rPr>
        <w:t xml:space="preserve"> (i.e. they have been thrown away)</w:t>
      </w:r>
      <w:r w:rsidR="003D3B7D" w:rsidRPr="00C36C8F">
        <w:rPr>
          <w:lang w:eastAsia="en-AU"/>
        </w:rPr>
        <w:t xml:space="preserve"> for re-use in their original applications</w:t>
      </w:r>
      <w:r w:rsidR="0000132E" w:rsidRPr="00C36C8F">
        <w:rPr>
          <w:lang w:eastAsia="en-AU"/>
        </w:rPr>
        <w:t>. For example</w:t>
      </w:r>
      <w:r w:rsidR="008D3154" w:rsidRPr="00C36C8F">
        <w:rPr>
          <w:lang w:eastAsia="en-AU"/>
        </w:rPr>
        <w:t xml:space="preserve"> items recovered from local council hard-waste collections and then sold through second-hand goods organisations. </w:t>
      </w:r>
    </w:p>
    <w:p w:rsidR="00416F0B" w:rsidRPr="00C36C8F" w:rsidRDefault="006301A4" w:rsidP="000413DC">
      <w:pPr>
        <w:pStyle w:val="ParaIndent"/>
        <w:jc w:val="both"/>
        <w:rPr>
          <w:rFonts w:cs="Arial"/>
        </w:rPr>
      </w:pPr>
      <w:r w:rsidRPr="00C36C8F">
        <w:rPr>
          <w:lang w:eastAsia="en-AU"/>
        </w:rPr>
        <w:t>Previous national waste and recycling report</w:t>
      </w:r>
      <w:r w:rsidR="00E63F6C" w:rsidRPr="00C36C8F">
        <w:rPr>
          <w:lang w:eastAsia="en-AU"/>
        </w:rPr>
        <w:t>s</w:t>
      </w:r>
      <w:r w:rsidRPr="00C36C8F">
        <w:rPr>
          <w:lang w:eastAsia="en-AU"/>
        </w:rPr>
        <w:t xml:space="preserve"> have compiled figures for waste</w:t>
      </w:r>
      <w:r w:rsidR="00240215" w:rsidRPr="00C36C8F">
        <w:rPr>
          <w:lang w:eastAsia="en-AU"/>
        </w:rPr>
        <w:t>s</w:t>
      </w:r>
      <w:r w:rsidRPr="00C36C8F">
        <w:rPr>
          <w:lang w:eastAsia="en-AU"/>
        </w:rPr>
        <w:t xml:space="preserve"> recycled and </w:t>
      </w:r>
      <w:r w:rsidR="004E7E59" w:rsidRPr="00C36C8F">
        <w:rPr>
          <w:lang w:eastAsia="en-AU"/>
        </w:rPr>
        <w:t>wastes disposed, with some accommodation of energy recovery from waste; but have</w:t>
      </w:r>
      <w:r w:rsidRPr="00C36C8F">
        <w:rPr>
          <w:lang w:eastAsia="en-AU"/>
        </w:rPr>
        <w:t xml:space="preserve"> not included </w:t>
      </w:r>
      <w:r w:rsidR="00240215" w:rsidRPr="00C36C8F">
        <w:rPr>
          <w:lang w:eastAsia="en-AU"/>
        </w:rPr>
        <w:t xml:space="preserve">broad </w:t>
      </w:r>
      <w:r w:rsidRPr="00C36C8F">
        <w:rPr>
          <w:lang w:eastAsia="en-AU"/>
        </w:rPr>
        <w:t>data on re-use.</w:t>
      </w:r>
      <w:r w:rsidR="00D42777" w:rsidRPr="00C36C8F" w:rsidDel="00D42777">
        <w:rPr>
          <w:lang w:eastAsia="en-AU"/>
        </w:rPr>
        <w:t xml:space="preserve"> </w:t>
      </w:r>
    </w:p>
    <w:p w:rsidR="00416F0B" w:rsidRPr="00C36C8F" w:rsidRDefault="000C4429" w:rsidP="000413DC">
      <w:pPr>
        <w:pStyle w:val="ParaIndent"/>
        <w:jc w:val="both"/>
      </w:pPr>
      <w:r w:rsidRPr="00C36C8F">
        <w:t xml:space="preserve">The exclusion of re-use </w:t>
      </w:r>
      <w:r w:rsidR="00240215" w:rsidRPr="00C36C8F">
        <w:t xml:space="preserve">from the scope of this study </w:t>
      </w:r>
      <w:r w:rsidR="00DA5A74" w:rsidRPr="00C36C8F">
        <w:rPr>
          <w:b/>
        </w:rPr>
        <w:t>does not suggest</w:t>
      </w:r>
      <w:r w:rsidRPr="00C36C8F">
        <w:t xml:space="preserve"> that re-use should not be pursued and </w:t>
      </w:r>
      <w:r w:rsidR="004748FB" w:rsidRPr="00C36C8F">
        <w:t>valued</w:t>
      </w:r>
      <w:r w:rsidRPr="00C36C8F">
        <w:t xml:space="preserve"> by states and territories. </w:t>
      </w:r>
      <w:r w:rsidR="002E01D8" w:rsidRPr="00C36C8F">
        <w:t>It is widely re</w:t>
      </w:r>
      <w:r w:rsidR="00240215" w:rsidRPr="00C36C8F">
        <w:t xml:space="preserve">cognised </w:t>
      </w:r>
      <w:r w:rsidR="00515527" w:rsidRPr="00C36C8F">
        <w:t>within</w:t>
      </w:r>
      <w:r w:rsidR="00240215" w:rsidRPr="00C36C8F">
        <w:t xml:space="preserve"> state and territor</w:t>
      </w:r>
      <w:r w:rsidR="00515527" w:rsidRPr="00C36C8F">
        <w:t>y</w:t>
      </w:r>
      <w:r w:rsidR="002E01D8" w:rsidRPr="00C36C8F">
        <w:t xml:space="preserve"> policy frameworks that </w:t>
      </w:r>
      <w:r w:rsidRPr="00C36C8F">
        <w:t>re-use</w:t>
      </w:r>
      <w:r w:rsidR="00326AC1" w:rsidRPr="00C36C8F">
        <w:t xml:space="preserve"> </w:t>
      </w:r>
      <w:r w:rsidRPr="00C36C8F">
        <w:t xml:space="preserve">is an important component of waste </w:t>
      </w:r>
      <w:r w:rsidR="004748FB" w:rsidRPr="00C36C8F">
        <w:t>minimisation policy</w:t>
      </w:r>
      <w:r w:rsidRPr="00C36C8F">
        <w:t xml:space="preserve"> (see</w:t>
      </w:r>
      <w:r w:rsidR="00FD4ECC" w:rsidRPr="00C36C8F">
        <w:t xml:space="preserve"> Section</w:t>
      </w:r>
      <w:r w:rsidRPr="00C36C8F">
        <w:t xml:space="preserve"> </w:t>
      </w:r>
      <w:fldSimple w:instr=" REF _Ref295314060 \r \h  \* MERGEFORMAT ">
        <w:r w:rsidR="00AE7E3B">
          <w:t>7.5</w:t>
        </w:r>
      </w:fldSimple>
      <w:r w:rsidR="004748FB" w:rsidRPr="00C36C8F">
        <w:t xml:space="preserve"> </w:t>
      </w:r>
      <w:r w:rsidRPr="00C36C8F">
        <w:t>for further discussion).</w:t>
      </w:r>
    </w:p>
    <w:p w:rsidR="00416F0B" w:rsidRPr="00C36C8F" w:rsidRDefault="008C4994" w:rsidP="000413DC">
      <w:pPr>
        <w:pStyle w:val="ParaIndent"/>
        <w:jc w:val="both"/>
        <w:rPr>
          <w:b/>
          <w:i/>
        </w:rPr>
      </w:pPr>
      <w:r w:rsidRPr="00C36C8F">
        <w:t>There are occurrences where the re-use of product</w:t>
      </w:r>
      <w:r w:rsidR="00E63F6C" w:rsidRPr="00C36C8F">
        <w:t xml:space="preserve">s and materials </w:t>
      </w:r>
      <w:r w:rsidR="00791013" w:rsidRPr="00C36C8F">
        <w:t>has been</w:t>
      </w:r>
      <w:r w:rsidR="00E63F6C" w:rsidRPr="00C36C8F">
        <w:t xml:space="preserve"> </w:t>
      </w:r>
      <w:r w:rsidR="00240215" w:rsidRPr="00C36C8F">
        <w:t>ac</w:t>
      </w:r>
      <w:r w:rsidR="00E63F6C" w:rsidRPr="00C36C8F">
        <w:t xml:space="preserve">counted </w:t>
      </w:r>
      <w:r w:rsidR="00240215" w:rsidRPr="00C36C8F">
        <w:t>for within</w:t>
      </w:r>
      <w:r w:rsidR="00E63F6C" w:rsidRPr="00C36C8F">
        <w:t xml:space="preserve"> recyc</w:t>
      </w:r>
      <w:r w:rsidR="00FD4ECC" w:rsidRPr="00C36C8F">
        <w:t>ling. For example, a number of</w:t>
      </w:r>
      <w:r w:rsidR="00E63F6C" w:rsidRPr="00C36C8F">
        <w:t xml:space="preserve"> jurisdictions count</w:t>
      </w:r>
      <w:r w:rsidR="002E7D05" w:rsidRPr="00C36C8F">
        <w:t xml:space="preserve"> as recycling</w:t>
      </w:r>
      <w:r w:rsidR="00E63F6C" w:rsidRPr="00C36C8F">
        <w:t xml:space="preserve"> products and materials that are extracted from waste loads at transfer stations and sold on-site </w:t>
      </w:r>
      <w:r w:rsidR="007572A8" w:rsidRPr="00C36C8F">
        <w:t>through second-hand goods shops</w:t>
      </w:r>
      <w:r w:rsidR="00E63F6C" w:rsidRPr="00C36C8F">
        <w:t xml:space="preserve">. </w:t>
      </w:r>
      <w:r w:rsidR="004E7E59" w:rsidRPr="00C36C8F">
        <w:t>Given that data on this practice is not</w:t>
      </w:r>
      <w:r w:rsidR="000966A5" w:rsidRPr="00C36C8F">
        <w:t xml:space="preserve"> currently </w:t>
      </w:r>
      <w:r w:rsidR="004E7E59" w:rsidRPr="00C36C8F">
        <w:t xml:space="preserve">disaggregated, this re-use </w:t>
      </w:r>
      <w:r w:rsidR="007572A8" w:rsidRPr="00C36C8F">
        <w:t>cannot be</w:t>
      </w:r>
      <w:r w:rsidR="000966A5" w:rsidRPr="00C36C8F">
        <w:t xml:space="preserve"> reported </w:t>
      </w:r>
      <w:r w:rsidR="00667F10" w:rsidRPr="00C36C8F">
        <w:t>separately</w:t>
      </w:r>
      <w:r w:rsidR="007572A8" w:rsidRPr="00C36C8F">
        <w:t xml:space="preserve"> from recycling data.</w:t>
      </w:r>
      <w:r w:rsidR="00643599" w:rsidRPr="00C36C8F">
        <w:t xml:space="preserve"> In </w:t>
      </w:r>
      <w:r w:rsidR="00B2289D">
        <w:t xml:space="preserve">the </w:t>
      </w:r>
      <w:r w:rsidR="00643599" w:rsidRPr="00C36C8F">
        <w:t xml:space="preserve">future, if </w:t>
      </w:r>
      <w:r w:rsidR="007572A8" w:rsidRPr="00C36C8F">
        <w:t>disaggregated data for products</w:t>
      </w:r>
      <w:r w:rsidR="0094469C" w:rsidRPr="00C36C8F">
        <w:t xml:space="preserve"> that are recovered from the waste stream is available from the states and territor</w:t>
      </w:r>
      <w:r w:rsidR="00667F10" w:rsidRPr="00C36C8F">
        <w:t>ies, it should be reported and R</w:t>
      </w:r>
      <w:r w:rsidR="0094469C" w:rsidRPr="00C36C8F">
        <w:t>ecommendation 1 amended to enable reporting on the amounts of waste</w:t>
      </w:r>
      <w:r w:rsidR="000966A5" w:rsidRPr="00C36C8F">
        <w:t xml:space="preserve"> re-use</w:t>
      </w:r>
      <w:r w:rsidR="0094469C" w:rsidRPr="00C36C8F">
        <w:t>.</w:t>
      </w:r>
      <w:r w:rsidR="008E3699" w:rsidRPr="00C36C8F">
        <w:t xml:space="preserve"> </w:t>
      </w:r>
    </w:p>
    <w:p w:rsidR="00416F0B" w:rsidRPr="00C36C8F" w:rsidRDefault="00D42777" w:rsidP="000413DC">
      <w:pPr>
        <w:pStyle w:val="ParaIndent"/>
        <w:jc w:val="both"/>
      </w:pPr>
      <w:r w:rsidRPr="00C36C8F">
        <w:t>In regard to energy recovery, d</w:t>
      </w:r>
      <w:r w:rsidR="008C4994" w:rsidRPr="00C36C8F">
        <w:t xml:space="preserve">ata on waste that was incinerated without energy recovery has not been collected. </w:t>
      </w:r>
      <w:r w:rsidR="008C199E" w:rsidRPr="008D75B1">
        <w:t xml:space="preserve">The </w:t>
      </w:r>
      <w:r w:rsidR="008C199E" w:rsidRPr="008D75B1">
        <w:rPr>
          <w:i/>
        </w:rPr>
        <w:t>Australian National Greenhouse Gas Inventory</w:t>
      </w:r>
      <w:r w:rsidR="008C199E" w:rsidRPr="008D75B1">
        <w:t xml:space="preserve"> in May 2009 reported that estimated emissions from waste incineration in Australia are 0.03 Mt CO</w:t>
      </w:r>
      <w:r w:rsidR="008C199E" w:rsidRPr="008D75B1">
        <w:rPr>
          <w:vertAlign w:val="subscript"/>
        </w:rPr>
        <w:t>2</w:t>
      </w:r>
      <w:r w:rsidR="008C199E" w:rsidRPr="008D75B1">
        <w:t xml:space="preserve">-e, mainly from the incineration of solvents and clinical wastes. </w:t>
      </w:r>
      <w:r w:rsidR="00912F68" w:rsidRPr="008D75B1">
        <w:t xml:space="preserve">Public data </w:t>
      </w:r>
      <w:r w:rsidR="008C199E" w:rsidRPr="008D75B1">
        <w:t>on</w:t>
      </w:r>
      <w:r w:rsidR="00912F68" w:rsidRPr="008D75B1">
        <w:t xml:space="preserve"> the exact splits between </w:t>
      </w:r>
      <w:r w:rsidR="008C199E" w:rsidRPr="008D75B1">
        <w:t xml:space="preserve"> waste incinerated without energy generation </w:t>
      </w:r>
      <w:r w:rsidR="00912F68" w:rsidRPr="008D75B1">
        <w:t xml:space="preserve">and waste incinerated with some energy </w:t>
      </w:r>
      <w:r w:rsidR="002054DB" w:rsidRPr="008D75B1">
        <w:t xml:space="preserve">recovery </w:t>
      </w:r>
      <w:r w:rsidR="008C199E" w:rsidRPr="008D75B1">
        <w:t>was not readily available, but should be included in any future reports if it becomes available.</w:t>
      </w:r>
    </w:p>
    <w:p w:rsidR="0072581A" w:rsidRPr="00C36C8F" w:rsidRDefault="0072581A" w:rsidP="0072581A">
      <w:pPr>
        <w:pStyle w:val="Heading40"/>
      </w:pPr>
      <w:bookmarkStart w:id="63" w:name="_Toc333908393"/>
      <w:r w:rsidRPr="00C36C8F">
        <w:t xml:space="preserve">Recommendation </w:t>
      </w:r>
      <w:r w:rsidR="00B9555F" w:rsidRPr="00C36C8F">
        <w:fldChar w:fldCharType="begin"/>
      </w:r>
      <w:r w:rsidRPr="00C36C8F">
        <w:instrText xml:space="preserve"> SEQ Recommendation \* ARABIC </w:instrText>
      </w:r>
      <w:r w:rsidR="00B9555F" w:rsidRPr="00C36C8F">
        <w:fldChar w:fldCharType="separate"/>
      </w:r>
      <w:r w:rsidR="00AE7E3B">
        <w:rPr>
          <w:noProof/>
        </w:rPr>
        <w:t>2</w:t>
      </w:r>
      <w:r w:rsidR="00B9555F" w:rsidRPr="00C36C8F">
        <w:fldChar w:fldCharType="end"/>
      </w:r>
      <w:r w:rsidRPr="00C36C8F">
        <w:t>: Waste generation and waste disposal quantities should be reported, as well as recycling and recovery rates.</w:t>
      </w:r>
      <w:bookmarkEnd w:id="63"/>
    </w:p>
    <w:p w:rsidR="00EB619F" w:rsidRPr="00C36C8F" w:rsidRDefault="00CF6748" w:rsidP="000413DC">
      <w:pPr>
        <w:pStyle w:val="ParaIndent"/>
        <w:jc w:val="both"/>
        <w:rPr>
          <w:lang w:eastAsia="en-AU"/>
        </w:rPr>
      </w:pPr>
      <w:r w:rsidRPr="00C36C8F">
        <w:rPr>
          <w:lang w:eastAsia="en-AU"/>
        </w:rPr>
        <w:t>A</w:t>
      </w:r>
      <w:r w:rsidR="00313340" w:rsidRPr="00C36C8F">
        <w:rPr>
          <w:lang w:eastAsia="en-AU"/>
        </w:rPr>
        <w:t xml:space="preserve"> change in </w:t>
      </w:r>
      <w:r w:rsidRPr="00C36C8F">
        <w:rPr>
          <w:lang w:eastAsia="en-AU"/>
        </w:rPr>
        <w:t xml:space="preserve">the amount of </w:t>
      </w:r>
      <w:r w:rsidR="00313340" w:rsidRPr="00C36C8F">
        <w:rPr>
          <w:lang w:eastAsia="en-AU"/>
        </w:rPr>
        <w:t>re-use impacts on waste generation and waste disposal quantities. All else being equal, an increase in re-use will lead to a decrease in waste generation and/or waste disposal. As such, waste generatio</w:t>
      </w:r>
      <w:r w:rsidR="00EB619F" w:rsidRPr="00C36C8F">
        <w:rPr>
          <w:lang w:eastAsia="en-AU"/>
        </w:rPr>
        <w:t>n and waste disposal quantities have some use</w:t>
      </w:r>
      <w:r w:rsidR="00313340" w:rsidRPr="00C36C8F">
        <w:rPr>
          <w:lang w:eastAsia="en-AU"/>
        </w:rPr>
        <w:t xml:space="preserve"> as indicators of the t</w:t>
      </w:r>
      <w:r w:rsidR="00EB619F" w:rsidRPr="00C36C8F">
        <w:rPr>
          <w:lang w:eastAsia="en-AU"/>
        </w:rPr>
        <w:t>otal amount of re-use occurring</w:t>
      </w:r>
      <w:r w:rsidRPr="00C36C8F">
        <w:rPr>
          <w:lang w:eastAsia="en-AU"/>
        </w:rPr>
        <w:t>. Therefore R</w:t>
      </w:r>
      <w:r w:rsidR="00EB619F" w:rsidRPr="00C36C8F">
        <w:rPr>
          <w:lang w:eastAsia="en-AU"/>
        </w:rPr>
        <w:t>ecommendation 2 has been modified from the method report to include waste generation and waste disposal.</w:t>
      </w:r>
    </w:p>
    <w:tbl>
      <w:tblPr>
        <w:tblStyle w:val="TableGrid"/>
        <w:tblW w:w="0" w:type="auto"/>
        <w:tblInd w:w="1134" w:type="dxa"/>
        <w:shd w:val="clear" w:color="auto" w:fill="DBE5F1" w:themeFill="accent1" w:themeFillTint="33"/>
        <w:tblLook w:val="04A0"/>
      </w:tblPr>
      <w:tblGrid>
        <w:gridCol w:w="8721"/>
      </w:tblGrid>
      <w:tr w:rsidR="00667F10" w:rsidRPr="00C36C8F" w:rsidTr="00667F10">
        <w:tc>
          <w:tcPr>
            <w:tcW w:w="9855" w:type="dxa"/>
            <w:shd w:val="clear" w:color="auto" w:fill="DBE5F1" w:themeFill="accent1" w:themeFillTint="33"/>
          </w:tcPr>
          <w:p w:rsidR="00667F10" w:rsidRPr="00C36C8F" w:rsidRDefault="00667F10" w:rsidP="000413DC">
            <w:pPr>
              <w:pStyle w:val="ParaIndent"/>
              <w:ind w:left="0"/>
              <w:jc w:val="both"/>
              <w:rPr>
                <w:b/>
                <w:lang w:eastAsia="en-AU"/>
              </w:rPr>
            </w:pPr>
            <w:r w:rsidRPr="00C36C8F">
              <w:rPr>
                <w:b/>
                <w:lang w:eastAsia="en-AU"/>
              </w:rPr>
              <w:t>Note</w:t>
            </w:r>
          </w:p>
          <w:p w:rsidR="00667F10" w:rsidRPr="00C36C8F" w:rsidRDefault="00667F10" w:rsidP="000413DC">
            <w:pPr>
              <w:pStyle w:val="ParaIndent"/>
              <w:ind w:left="0"/>
              <w:jc w:val="both"/>
              <w:rPr>
                <w:lang w:eastAsia="en-AU"/>
              </w:rPr>
            </w:pPr>
            <w:r w:rsidRPr="00C36C8F">
              <w:rPr>
                <w:lang w:eastAsia="en-AU"/>
              </w:rPr>
              <w:t xml:space="preserve">There are a number of occurrences where </w:t>
            </w:r>
            <w:r w:rsidR="00515527" w:rsidRPr="00C36C8F">
              <w:rPr>
                <w:lang w:eastAsia="en-AU"/>
              </w:rPr>
              <w:t xml:space="preserve">some </w:t>
            </w:r>
            <w:r w:rsidRPr="00C36C8F">
              <w:rPr>
                <w:lang w:eastAsia="en-AU"/>
              </w:rPr>
              <w:t xml:space="preserve">materials that are recommended for inclusion by the method report </w:t>
            </w:r>
            <w:r w:rsidR="00515527" w:rsidRPr="00C36C8F">
              <w:rPr>
                <w:lang w:eastAsia="en-AU"/>
              </w:rPr>
              <w:t>may be</w:t>
            </w:r>
            <w:r w:rsidRPr="00C36C8F">
              <w:rPr>
                <w:lang w:eastAsia="en-AU"/>
              </w:rPr>
              <w:t xml:space="preserve"> absent from this report because of the difficulty in obtaining data. The most notable of these are:</w:t>
            </w:r>
          </w:p>
          <w:p w:rsidR="00667F10" w:rsidRPr="00C36C8F" w:rsidRDefault="00667F10" w:rsidP="004B50A2">
            <w:pPr>
              <w:pStyle w:val="ParaIndent"/>
              <w:numPr>
                <w:ilvl w:val="0"/>
                <w:numId w:val="32"/>
              </w:numPr>
              <w:jc w:val="both"/>
              <w:rPr>
                <w:lang w:eastAsia="en-AU"/>
              </w:rPr>
            </w:pPr>
            <w:r w:rsidRPr="00C36C8F">
              <w:rPr>
                <w:lang w:eastAsia="en-AU"/>
              </w:rPr>
              <w:t>Self-managed or on-site disposal (e.g. home composted organics, or discarded farm and mining equipment)</w:t>
            </w:r>
          </w:p>
          <w:p w:rsidR="00667F10" w:rsidRPr="00C36C8F" w:rsidRDefault="00667F10" w:rsidP="004B50A2">
            <w:pPr>
              <w:pStyle w:val="ParaIndent"/>
              <w:numPr>
                <w:ilvl w:val="0"/>
                <w:numId w:val="32"/>
              </w:numPr>
              <w:jc w:val="both"/>
              <w:rPr>
                <w:lang w:eastAsia="en-AU"/>
              </w:rPr>
            </w:pPr>
            <w:r w:rsidRPr="00C36C8F">
              <w:rPr>
                <w:lang w:eastAsia="en-AU"/>
              </w:rPr>
              <w:t>Counci</w:t>
            </w:r>
            <w:r w:rsidR="001C5635">
              <w:rPr>
                <w:lang w:eastAsia="en-AU"/>
              </w:rPr>
              <w:t>l managed recycling of organics</w:t>
            </w:r>
          </w:p>
          <w:p w:rsidR="00667F10" w:rsidRPr="00C36C8F" w:rsidRDefault="00667F10" w:rsidP="004B50A2">
            <w:pPr>
              <w:pStyle w:val="ParaIndent"/>
              <w:numPr>
                <w:ilvl w:val="0"/>
                <w:numId w:val="32"/>
              </w:numPr>
              <w:jc w:val="both"/>
              <w:rPr>
                <w:lang w:eastAsia="en-AU"/>
              </w:rPr>
            </w:pPr>
            <w:r w:rsidRPr="00C36C8F">
              <w:rPr>
                <w:lang w:eastAsia="en-AU"/>
              </w:rPr>
              <w:t>Litter (included in the definition of disposal; see Section 2).</w:t>
            </w:r>
          </w:p>
        </w:tc>
      </w:tr>
    </w:tbl>
    <w:p w:rsidR="00416F0B" w:rsidRPr="00C36C8F" w:rsidRDefault="00F6414C" w:rsidP="0072581A">
      <w:pPr>
        <w:pStyle w:val="Heading40"/>
        <w:jc w:val="both"/>
        <w:rPr>
          <w:lang w:eastAsia="en-AU"/>
        </w:rPr>
      </w:pPr>
      <w:bookmarkStart w:id="64" w:name="_Toc279510559"/>
      <w:r w:rsidRPr="00C36C8F">
        <w:rPr>
          <w:lang w:eastAsia="en-AU"/>
        </w:rPr>
        <w:t>Recommendation 3: Liquid and gaseous wastes should be excluded from the scope at this stage.</w:t>
      </w:r>
      <w:bookmarkEnd w:id="64"/>
      <w:r w:rsidRPr="00C36C8F">
        <w:rPr>
          <w:lang w:eastAsia="en-AU"/>
        </w:rPr>
        <w:t xml:space="preserve"> </w:t>
      </w:r>
    </w:p>
    <w:p w:rsidR="006301A4" w:rsidRPr="00C36C8F" w:rsidRDefault="006301A4" w:rsidP="000413DC">
      <w:pPr>
        <w:pStyle w:val="ParaIndent"/>
        <w:keepNext/>
        <w:jc w:val="both"/>
        <w:rPr>
          <w:lang w:eastAsia="en-AU"/>
        </w:rPr>
      </w:pPr>
      <w:r w:rsidRPr="00C36C8F">
        <w:rPr>
          <w:lang w:eastAsia="en-AU"/>
        </w:rPr>
        <w:t>The scope of the Hyder (2009) report was:</w:t>
      </w:r>
    </w:p>
    <w:p w:rsidR="006301A4" w:rsidRPr="00C36C8F" w:rsidRDefault="006301A4" w:rsidP="000413DC">
      <w:pPr>
        <w:pStyle w:val="ParaIndent"/>
        <w:ind w:left="1689"/>
        <w:jc w:val="both"/>
        <w:rPr>
          <w:sz w:val="18"/>
          <w:szCs w:val="18"/>
          <w:lang w:eastAsia="en-AU"/>
        </w:rPr>
      </w:pPr>
      <w:r w:rsidRPr="00C36C8F">
        <w:rPr>
          <w:sz w:val="18"/>
          <w:szCs w:val="18"/>
          <w:lang w:eastAsia="en-AU"/>
        </w:rPr>
        <w:t>... the three major solid waste streams: municipal solid waste (municipal or MSW), commercial and industrial (C&amp;I), and construction and demolition (C&amp;D).</w:t>
      </w:r>
    </w:p>
    <w:p w:rsidR="006301A4" w:rsidRPr="00C36C8F" w:rsidRDefault="006301A4" w:rsidP="000413DC">
      <w:pPr>
        <w:pStyle w:val="ParaIndent"/>
        <w:keepNext/>
        <w:jc w:val="both"/>
        <w:rPr>
          <w:lang w:eastAsia="en-AU"/>
        </w:rPr>
      </w:pPr>
      <w:r w:rsidRPr="00C36C8F">
        <w:rPr>
          <w:lang w:eastAsia="en-AU"/>
        </w:rPr>
        <w:t>This is narrower than the scope of th</w:t>
      </w:r>
      <w:r w:rsidR="00F86D9C" w:rsidRPr="00C36C8F">
        <w:rPr>
          <w:lang w:eastAsia="en-AU"/>
        </w:rPr>
        <w:t xml:space="preserve">e </w:t>
      </w:r>
      <w:r w:rsidR="00F86D9C" w:rsidRPr="00C36C8F">
        <w:rPr>
          <w:i/>
          <w:lang w:eastAsia="en-AU"/>
        </w:rPr>
        <w:t>National Waste Policy</w:t>
      </w:r>
      <w:r w:rsidR="00F86D9C" w:rsidRPr="00C36C8F">
        <w:rPr>
          <w:lang w:eastAsia="en-AU"/>
        </w:rPr>
        <w:t>, which:</w:t>
      </w:r>
    </w:p>
    <w:p w:rsidR="006301A4" w:rsidRPr="00C36C8F" w:rsidRDefault="006301A4" w:rsidP="000413DC">
      <w:pPr>
        <w:pStyle w:val="ParaIndent"/>
        <w:ind w:left="1701"/>
        <w:jc w:val="both"/>
        <w:rPr>
          <w:sz w:val="18"/>
          <w:szCs w:val="18"/>
          <w:lang w:eastAsia="en-AU"/>
        </w:rPr>
      </w:pPr>
      <w:r w:rsidRPr="00C36C8F">
        <w:rPr>
          <w:sz w:val="18"/>
          <w:szCs w:val="18"/>
          <w:lang w:eastAsia="en-AU"/>
        </w:rPr>
        <w:t>...encompasses wastes, including hazardous wastes and substances, in the municipal, commercial and industrial, construction and demolition waste streams, and covers gaseous, liquid and solid wastes. Radioactive waste is excluded.</w:t>
      </w:r>
    </w:p>
    <w:p w:rsidR="006301A4" w:rsidRPr="00C36C8F" w:rsidRDefault="006301A4" w:rsidP="000413DC">
      <w:pPr>
        <w:pStyle w:val="ParaIndent"/>
        <w:jc w:val="both"/>
        <w:rPr>
          <w:lang w:eastAsia="en-AU"/>
        </w:rPr>
      </w:pPr>
      <w:r w:rsidRPr="00C36C8F">
        <w:rPr>
          <w:lang w:eastAsia="en-AU"/>
        </w:rPr>
        <w:t xml:space="preserve">However, the focus of the key directions and strategies, and the implementation plan of the </w:t>
      </w:r>
      <w:r w:rsidRPr="00C36C8F">
        <w:rPr>
          <w:i/>
          <w:lang w:eastAsia="en-AU"/>
        </w:rPr>
        <w:t>National Waste Policy</w:t>
      </w:r>
      <w:r w:rsidRPr="00C36C8F">
        <w:rPr>
          <w:lang w:eastAsia="en-AU"/>
        </w:rPr>
        <w:t xml:space="preserve">, is on solid waste. </w:t>
      </w:r>
      <w:r w:rsidRPr="00C36C8F">
        <w:rPr>
          <w:i/>
          <w:lang w:eastAsia="en-AU"/>
        </w:rPr>
        <w:t xml:space="preserve">The National Waste Policy </w:t>
      </w:r>
      <w:r w:rsidR="00515527" w:rsidRPr="00C36C8F">
        <w:rPr>
          <w:i/>
          <w:lang w:eastAsia="en-AU"/>
        </w:rPr>
        <w:t>Regulatory Impact Statement</w:t>
      </w:r>
      <w:r w:rsidR="00515527" w:rsidRPr="00C36C8F">
        <w:rPr>
          <w:lang w:eastAsia="en-AU"/>
        </w:rPr>
        <w:t xml:space="preserve"> (</w:t>
      </w:r>
      <w:r w:rsidRPr="00C36C8F">
        <w:rPr>
          <w:lang w:eastAsia="en-AU"/>
        </w:rPr>
        <w:t>RIS</w:t>
      </w:r>
      <w:r w:rsidR="00515527" w:rsidRPr="00C36C8F">
        <w:rPr>
          <w:lang w:eastAsia="en-AU"/>
        </w:rPr>
        <w:t>)</w:t>
      </w:r>
      <w:r w:rsidRPr="00C36C8F">
        <w:rPr>
          <w:lang w:eastAsia="en-AU"/>
        </w:rPr>
        <w:t>, while acknowledging the scope defined above, also restricts its analysis to the three major solid waste streams.</w:t>
      </w:r>
    </w:p>
    <w:p w:rsidR="006301A4" w:rsidRPr="00C36C8F" w:rsidRDefault="006301A4" w:rsidP="000413DC">
      <w:pPr>
        <w:pStyle w:val="ParaIndent"/>
        <w:jc w:val="both"/>
        <w:rPr>
          <w:lang w:eastAsia="en-AU"/>
        </w:rPr>
      </w:pPr>
      <w:r w:rsidRPr="00C36C8F">
        <w:rPr>
          <w:lang w:eastAsia="en-AU"/>
        </w:rPr>
        <w:t xml:space="preserve">State and territory government reporting of waste is generally constrained to solid waste. Queensland does include liquid wastes within its </w:t>
      </w:r>
      <w:r w:rsidR="005338E9" w:rsidRPr="00C36C8F">
        <w:rPr>
          <w:i/>
          <w:lang w:eastAsia="en-AU"/>
        </w:rPr>
        <w:t>State of Waste and Recycling</w:t>
      </w:r>
      <w:r w:rsidRPr="00C36C8F">
        <w:rPr>
          <w:lang w:eastAsia="en-AU"/>
        </w:rPr>
        <w:t xml:space="preserve"> reports, </w:t>
      </w:r>
      <w:r w:rsidR="00F86D9C" w:rsidRPr="00C36C8F">
        <w:rPr>
          <w:lang w:eastAsia="en-AU"/>
        </w:rPr>
        <w:t>but lists these</w:t>
      </w:r>
      <w:r w:rsidRPr="00C36C8F">
        <w:rPr>
          <w:lang w:eastAsia="en-AU"/>
        </w:rPr>
        <w:t xml:space="preserve"> separately.</w:t>
      </w:r>
    </w:p>
    <w:p w:rsidR="004F4411" w:rsidRPr="00C36C8F" w:rsidRDefault="004F4411" w:rsidP="000413DC">
      <w:pPr>
        <w:pStyle w:val="ParaIndent"/>
        <w:jc w:val="both"/>
        <w:rPr>
          <w:lang w:eastAsia="en-AU"/>
        </w:rPr>
      </w:pPr>
      <w:r w:rsidRPr="00C36C8F">
        <w:rPr>
          <w:lang w:eastAsia="en-AU"/>
        </w:rPr>
        <w:t>Liquid wastes cannot be disposed directly to landfill in any jurisdiction. Liquid wastes that are not readily re</w:t>
      </w:r>
      <w:r w:rsidR="000A1612" w:rsidRPr="00C36C8F">
        <w:rPr>
          <w:lang w:eastAsia="en-AU"/>
        </w:rPr>
        <w:t>-</w:t>
      </w:r>
      <w:r w:rsidRPr="00C36C8F">
        <w:rPr>
          <w:lang w:eastAsia="en-AU"/>
        </w:rPr>
        <w:t xml:space="preserve">used or recycled are often solidified </w:t>
      </w:r>
      <w:r w:rsidR="00223280" w:rsidRPr="00C36C8F">
        <w:rPr>
          <w:lang w:eastAsia="en-AU"/>
        </w:rPr>
        <w:t xml:space="preserve">(stabilised) </w:t>
      </w:r>
      <w:r w:rsidRPr="00C36C8F">
        <w:rPr>
          <w:lang w:eastAsia="en-AU"/>
        </w:rPr>
        <w:t xml:space="preserve">to enable their disposal to landfill, usually as a hazardous solid waste. As a result, it is important to note that </w:t>
      </w:r>
      <w:r w:rsidR="002E7D05" w:rsidRPr="00C36C8F">
        <w:rPr>
          <w:lang w:eastAsia="en-AU"/>
        </w:rPr>
        <w:t xml:space="preserve">the </w:t>
      </w:r>
      <w:r w:rsidRPr="00C36C8F">
        <w:rPr>
          <w:lang w:eastAsia="en-AU"/>
        </w:rPr>
        <w:t>reported amount of waste disposed to landfill usually includes solidified liquid wastes. Solidified liquid wastes may be a significant proportion of hazar</w:t>
      </w:r>
      <w:r w:rsidR="00682ECC" w:rsidRPr="00C36C8F">
        <w:rPr>
          <w:lang w:eastAsia="en-AU"/>
        </w:rPr>
        <w:t xml:space="preserve">dous wastes, but are </w:t>
      </w:r>
      <w:r w:rsidRPr="00C36C8F">
        <w:rPr>
          <w:lang w:eastAsia="en-AU"/>
        </w:rPr>
        <w:t xml:space="preserve">a small percentage of total solid waste. </w:t>
      </w:r>
    </w:p>
    <w:p w:rsidR="00416F0B" w:rsidRPr="00C36C8F" w:rsidRDefault="004365EB" w:rsidP="000413DC">
      <w:pPr>
        <w:pStyle w:val="ParaIndent"/>
        <w:jc w:val="both"/>
      </w:pPr>
      <w:r w:rsidRPr="00C36C8F">
        <w:t>The exclusion of liquid and gaseous waste is not</w:t>
      </w:r>
      <w:r w:rsidR="00DA5A74" w:rsidRPr="00C36C8F">
        <w:rPr>
          <w:b/>
        </w:rPr>
        <w:t xml:space="preserve"> </w:t>
      </w:r>
      <w:r w:rsidRPr="00C36C8F">
        <w:t xml:space="preserve">intended to imply </w:t>
      </w:r>
      <w:r w:rsidR="00DA2ADD" w:rsidRPr="00C36C8F">
        <w:t xml:space="preserve">that </w:t>
      </w:r>
      <w:r w:rsidRPr="00C36C8F">
        <w:t>waste minimisation and resource recovery of mate</w:t>
      </w:r>
      <w:r w:rsidR="00DA2ADD" w:rsidRPr="00C36C8F">
        <w:t>rials in these states of matter (liquid and gas)</w:t>
      </w:r>
      <w:r w:rsidRPr="00C36C8F">
        <w:t xml:space="preserve"> should not be pursued and valued by states and territ</w:t>
      </w:r>
      <w:r w:rsidR="00223280" w:rsidRPr="00C36C8F">
        <w:t>ories</w:t>
      </w:r>
      <w:r w:rsidR="00DA2ADD" w:rsidRPr="00C36C8F">
        <w:t xml:space="preserve"> any less than for materials in a solid state of matter</w:t>
      </w:r>
      <w:r w:rsidR="00223280" w:rsidRPr="00C36C8F">
        <w:t>.</w:t>
      </w:r>
    </w:p>
    <w:p w:rsidR="00416F0B" w:rsidRPr="00C36C8F" w:rsidRDefault="008C4994" w:rsidP="000413DC">
      <w:pPr>
        <w:pStyle w:val="ParaIndent"/>
        <w:jc w:val="both"/>
      </w:pPr>
      <w:r w:rsidRPr="00C36C8F">
        <w:t xml:space="preserve">There are occurrences where </w:t>
      </w:r>
      <w:r w:rsidR="002538B4" w:rsidRPr="00C36C8F">
        <w:t>high viscosity</w:t>
      </w:r>
      <w:r w:rsidRPr="00C36C8F">
        <w:t xml:space="preserve"> liquids are being counted as solid waste. For example, in Victoria, liquids that are blended with plastics to create a high viscosity cement kiln fuel have been </w:t>
      </w:r>
      <w:r w:rsidR="00682ECC" w:rsidRPr="00C36C8F">
        <w:t>ac</w:t>
      </w:r>
      <w:r w:rsidRPr="00C36C8F">
        <w:t xml:space="preserve">counted </w:t>
      </w:r>
      <w:r w:rsidR="00682ECC" w:rsidRPr="00C36C8F">
        <w:t xml:space="preserve">for </w:t>
      </w:r>
      <w:r w:rsidRPr="00C36C8F">
        <w:t>as energy recovery from solid waste.</w:t>
      </w:r>
      <w:r w:rsidR="000A1612" w:rsidRPr="00C36C8F">
        <w:t xml:space="preserve"> </w:t>
      </w:r>
      <w:r w:rsidR="00223280" w:rsidRPr="00C36C8F">
        <w:t xml:space="preserve">However, these quantities are </w:t>
      </w:r>
      <w:r w:rsidR="00682ECC" w:rsidRPr="00C36C8F">
        <w:t>relatively minor with respect to total waste generation</w:t>
      </w:r>
      <w:r w:rsidR="000A1612" w:rsidRPr="00C36C8F">
        <w:t>.</w:t>
      </w:r>
    </w:p>
    <w:p w:rsidR="00416F0B" w:rsidRPr="00C36C8F" w:rsidRDefault="00682ECC" w:rsidP="000413DC">
      <w:pPr>
        <w:pStyle w:val="ParaIndent"/>
        <w:jc w:val="both"/>
      </w:pPr>
      <w:r w:rsidRPr="00C36C8F">
        <w:t>W</w:t>
      </w:r>
      <w:r w:rsidR="008C4994" w:rsidRPr="00C36C8F">
        <w:t xml:space="preserve">here </w:t>
      </w:r>
      <w:r w:rsidRPr="00C36C8F">
        <w:t>data is available</w:t>
      </w:r>
      <w:r w:rsidR="002E7D05" w:rsidRPr="00C36C8F">
        <w:t>,</w:t>
      </w:r>
      <w:r w:rsidRPr="00C36C8F">
        <w:t xml:space="preserve"> </w:t>
      </w:r>
      <w:r w:rsidR="008C4994" w:rsidRPr="00C36C8F">
        <w:t xml:space="preserve">solidified liquid </w:t>
      </w:r>
      <w:r w:rsidRPr="00C36C8F">
        <w:t>wastes are included in the reporting scope, f</w:t>
      </w:r>
      <w:r w:rsidR="008C4994" w:rsidRPr="00C36C8F">
        <w:t xml:space="preserve">or example, </w:t>
      </w:r>
      <w:r w:rsidR="002E7D05" w:rsidRPr="00C36C8F">
        <w:t xml:space="preserve">with </w:t>
      </w:r>
      <w:r w:rsidR="008C4994" w:rsidRPr="00C36C8F">
        <w:t xml:space="preserve">solidified </w:t>
      </w:r>
      <w:r w:rsidRPr="00C36C8F">
        <w:t>hazardous wastes.</w:t>
      </w:r>
    </w:p>
    <w:p w:rsidR="004F4411" w:rsidRPr="00C36C8F" w:rsidRDefault="004F4411" w:rsidP="000413DC">
      <w:pPr>
        <w:pStyle w:val="ParaIndent"/>
        <w:keepNext/>
        <w:keepLines/>
        <w:jc w:val="both"/>
        <w:rPr>
          <w:lang w:eastAsia="en-AU"/>
        </w:rPr>
      </w:pPr>
      <w:r w:rsidRPr="00C36C8F">
        <w:rPr>
          <w:lang w:eastAsia="en-AU"/>
        </w:rPr>
        <w:t>The Department recently commissioned a project to collate and assess data and information on liquid waste</w:t>
      </w:r>
      <w:r w:rsidR="00F879ED" w:rsidRPr="00C36C8F">
        <w:rPr>
          <w:lang w:eastAsia="en-AU"/>
        </w:rPr>
        <w:t>. Among</w:t>
      </w:r>
      <w:r w:rsidRPr="00C36C8F">
        <w:rPr>
          <w:lang w:eastAsia="en-AU"/>
        </w:rPr>
        <w:t xml:space="preserve"> other things, this project will document the different definitions and classificat</w:t>
      </w:r>
      <w:r w:rsidR="00F879ED" w:rsidRPr="00C36C8F">
        <w:rPr>
          <w:lang w:eastAsia="en-AU"/>
        </w:rPr>
        <w:t xml:space="preserve">ions of liquid waste and will </w:t>
      </w:r>
      <w:r w:rsidRPr="00C36C8F">
        <w:rPr>
          <w:lang w:eastAsia="en-AU"/>
        </w:rPr>
        <w:t>assist in distinguishing between liquid waste and sol</w:t>
      </w:r>
      <w:r w:rsidR="00F879ED" w:rsidRPr="00C36C8F">
        <w:rPr>
          <w:lang w:eastAsia="en-AU"/>
        </w:rPr>
        <w:t>id waste data.</w:t>
      </w:r>
    </w:p>
    <w:p w:rsidR="00416F0B" w:rsidRPr="00C36C8F" w:rsidRDefault="00F8275A" w:rsidP="000413DC">
      <w:pPr>
        <w:pStyle w:val="Heading40"/>
        <w:spacing w:before="0"/>
        <w:jc w:val="both"/>
        <w:rPr>
          <w:lang w:eastAsia="en-AU"/>
        </w:rPr>
      </w:pPr>
      <w:bookmarkStart w:id="65" w:name="_Toc279510560"/>
      <w:r w:rsidRPr="00C36C8F">
        <w:rPr>
          <w:lang w:eastAsia="en-AU"/>
        </w:rPr>
        <w:t>Recommendation 4: Report waste generation data, disposal, energy recovery and recycling on a per capita basis using population figures that correspond to the end of the reporting period.</w:t>
      </w:r>
      <w:bookmarkEnd w:id="65"/>
    </w:p>
    <w:p w:rsidR="006301A4" w:rsidRPr="00C36C8F" w:rsidRDefault="006301A4" w:rsidP="000413DC">
      <w:pPr>
        <w:pStyle w:val="ParaIndent"/>
        <w:jc w:val="both"/>
        <w:rPr>
          <w:lang w:eastAsia="en-AU"/>
        </w:rPr>
      </w:pPr>
      <w:r w:rsidRPr="00C36C8F">
        <w:rPr>
          <w:lang w:eastAsia="en-AU"/>
        </w:rPr>
        <w:t xml:space="preserve">Variation in overall waste generation data for each state is expected given the population size of the different states/territories. This </w:t>
      </w:r>
      <w:r w:rsidR="002D7BE6" w:rsidRPr="00C36C8F">
        <w:rPr>
          <w:lang w:eastAsia="en-AU"/>
        </w:rPr>
        <w:t>can be</w:t>
      </w:r>
      <w:r w:rsidRPr="00C36C8F">
        <w:rPr>
          <w:lang w:eastAsia="en-AU"/>
        </w:rPr>
        <w:t xml:space="preserve"> corrected for by </w:t>
      </w:r>
      <w:r w:rsidR="00DA2ADD" w:rsidRPr="00C36C8F">
        <w:rPr>
          <w:lang w:eastAsia="en-AU"/>
        </w:rPr>
        <w:t>including</w:t>
      </w:r>
      <w:r w:rsidRPr="00C36C8F">
        <w:rPr>
          <w:lang w:eastAsia="en-AU"/>
        </w:rPr>
        <w:t xml:space="preserve"> data on waste on a per capita basis. When presenting data on a per capita basis, the population of the relevant time period (as reported by the Australian Bureau of Statistics) needs to be used to ensure that p</w:t>
      </w:r>
      <w:r w:rsidR="00F879ED" w:rsidRPr="00C36C8F">
        <w:rPr>
          <w:lang w:eastAsia="en-AU"/>
        </w:rPr>
        <w:t xml:space="preserve">opulation growth does not lead to </w:t>
      </w:r>
      <w:r w:rsidR="002C0D73">
        <w:rPr>
          <w:lang w:eastAsia="en-AU"/>
        </w:rPr>
        <w:t>a mis</w:t>
      </w:r>
      <w:r w:rsidR="00F879ED" w:rsidRPr="00C36C8F">
        <w:rPr>
          <w:lang w:eastAsia="en-AU"/>
        </w:rPr>
        <w:t>statement in</w:t>
      </w:r>
      <w:r w:rsidRPr="00C36C8F">
        <w:rPr>
          <w:lang w:eastAsia="en-AU"/>
        </w:rPr>
        <w:t xml:space="preserve"> the per capita generation rates of the time.</w:t>
      </w:r>
    </w:p>
    <w:p w:rsidR="00416F0B" w:rsidRPr="00C36C8F" w:rsidRDefault="00791013" w:rsidP="000413DC">
      <w:pPr>
        <w:pStyle w:val="ParaIndent"/>
        <w:jc w:val="both"/>
      </w:pPr>
      <w:bookmarkStart w:id="66" w:name="_Toc278203411"/>
      <w:bookmarkEnd w:id="66"/>
      <w:r w:rsidRPr="00C36C8F">
        <w:t xml:space="preserve">The recommendation has been adjusted from preliminary versions of the method to include </w:t>
      </w:r>
      <w:r w:rsidR="003D123C" w:rsidRPr="00C36C8F">
        <w:t>disposal, energy recovery, and recycling</w:t>
      </w:r>
      <w:r w:rsidRPr="00C36C8F">
        <w:t>.</w:t>
      </w:r>
    </w:p>
    <w:p w:rsidR="00416F0B" w:rsidRPr="00C36C8F" w:rsidRDefault="007F4F0B" w:rsidP="000413DC">
      <w:pPr>
        <w:pStyle w:val="ParaIndent"/>
        <w:jc w:val="both"/>
      </w:pPr>
      <w:r w:rsidRPr="00C36C8F">
        <w:t xml:space="preserve">In addition to </w:t>
      </w:r>
      <w:r w:rsidR="004757FD" w:rsidRPr="00C36C8F">
        <w:t>reporting on a per capita basis</w:t>
      </w:r>
      <w:r w:rsidRPr="00C36C8F">
        <w:t xml:space="preserve">, data has been </w:t>
      </w:r>
      <w:r w:rsidR="00791013" w:rsidRPr="00C36C8F">
        <w:t>included in this report</w:t>
      </w:r>
      <w:r w:rsidRPr="00C36C8F">
        <w:t xml:space="preserve"> on a per dom</w:t>
      </w:r>
      <w:r w:rsidR="00F879ED" w:rsidRPr="00C36C8F">
        <w:t xml:space="preserve">estic product </w:t>
      </w:r>
      <w:r w:rsidR="00682ECC" w:rsidRPr="00C36C8F">
        <w:t xml:space="preserve">(dollar) </w:t>
      </w:r>
      <w:r w:rsidR="00F879ED" w:rsidRPr="00C36C8F">
        <w:t xml:space="preserve">basis for each </w:t>
      </w:r>
      <w:r w:rsidRPr="00C36C8F">
        <w:t>jurisdiction</w:t>
      </w:r>
      <w:r w:rsidR="00682ECC" w:rsidRPr="00C36C8F">
        <w:t>,</w:t>
      </w:r>
      <w:r w:rsidRPr="00C36C8F">
        <w:t xml:space="preserve"> using economic activity figures that correspond to the report</w:t>
      </w:r>
      <w:r w:rsidR="00682ECC" w:rsidRPr="00C36C8F">
        <w:t>ing</w:t>
      </w:r>
      <w:r w:rsidRPr="00C36C8F">
        <w:t xml:space="preserve"> period.</w:t>
      </w:r>
    </w:p>
    <w:p w:rsidR="00416F0B" w:rsidRPr="00C36C8F" w:rsidRDefault="00D262A3" w:rsidP="000413DC">
      <w:pPr>
        <w:pStyle w:val="Heading40"/>
        <w:spacing w:before="0"/>
        <w:jc w:val="both"/>
        <w:rPr>
          <w:lang w:eastAsia="en-AU"/>
        </w:rPr>
      </w:pPr>
      <w:bookmarkStart w:id="67" w:name="_Toc279510561"/>
      <w:r w:rsidRPr="00C36C8F">
        <w:rPr>
          <w:lang w:eastAsia="en-AU"/>
        </w:rPr>
        <w:t>Recommendation 5: Waste and recycling should be reported by weight.</w:t>
      </w:r>
      <w:bookmarkEnd w:id="67"/>
    </w:p>
    <w:p w:rsidR="00DA67C2" w:rsidRPr="00C36C8F" w:rsidRDefault="00DA67C2" w:rsidP="000413DC">
      <w:pPr>
        <w:pStyle w:val="ParaIndent"/>
        <w:jc w:val="both"/>
        <w:rPr>
          <w:lang w:eastAsia="en-AU"/>
        </w:rPr>
      </w:pPr>
      <w:r w:rsidRPr="00C36C8F">
        <w:rPr>
          <w:lang w:eastAsia="en-AU"/>
        </w:rPr>
        <w:t>The</w:t>
      </w:r>
      <w:r w:rsidR="006301A4" w:rsidRPr="00C36C8F">
        <w:rPr>
          <w:lang w:eastAsia="en-AU"/>
        </w:rPr>
        <w:t xml:space="preserve"> approach of previous reports, and that of most states and territories, is to report waste and recycling by weight</w:t>
      </w:r>
      <w:r w:rsidRPr="00C36C8F">
        <w:rPr>
          <w:lang w:eastAsia="en-AU"/>
        </w:rPr>
        <w:t>.</w:t>
      </w:r>
    </w:p>
    <w:p w:rsidR="00551734" w:rsidRPr="00C36C8F" w:rsidRDefault="00A13E65" w:rsidP="000413DC">
      <w:pPr>
        <w:pStyle w:val="ParaIndent"/>
        <w:jc w:val="both"/>
        <w:rPr>
          <w:lang w:eastAsia="en-AU"/>
        </w:rPr>
      </w:pPr>
      <w:r w:rsidRPr="00C36C8F">
        <w:rPr>
          <w:lang w:eastAsia="en-AU"/>
        </w:rPr>
        <w:t>I</w:t>
      </w:r>
      <w:r w:rsidR="00791013" w:rsidRPr="00C36C8F">
        <w:rPr>
          <w:lang w:eastAsia="en-AU"/>
        </w:rPr>
        <w:t>t</w:t>
      </w:r>
      <w:r w:rsidR="00551734" w:rsidRPr="00C36C8F">
        <w:rPr>
          <w:lang w:eastAsia="en-AU"/>
        </w:rPr>
        <w:t xml:space="preserve"> should be noted that mass alone does not provide a complete representation of the relative benefits of recycling or disposing </w:t>
      </w:r>
      <w:r w:rsidRPr="00C36C8F">
        <w:rPr>
          <w:lang w:eastAsia="en-AU"/>
        </w:rPr>
        <w:t xml:space="preserve">to landfill of </w:t>
      </w:r>
      <w:r w:rsidR="001C1C28" w:rsidRPr="00C36C8F">
        <w:rPr>
          <w:lang w:eastAsia="en-AU"/>
        </w:rPr>
        <w:t>products and</w:t>
      </w:r>
      <w:r w:rsidR="00551734" w:rsidRPr="00C36C8F">
        <w:rPr>
          <w:lang w:eastAsia="en-AU"/>
        </w:rPr>
        <w:t xml:space="preserve"> materials. For example, from the perspective of resource recovery, in particular embodied energy, the diversion </w:t>
      </w:r>
      <w:r w:rsidR="00F879ED" w:rsidRPr="00C36C8F">
        <w:rPr>
          <w:lang w:eastAsia="en-AU"/>
        </w:rPr>
        <w:t xml:space="preserve">from landfill </w:t>
      </w:r>
      <w:r w:rsidR="00551734" w:rsidRPr="00C36C8F">
        <w:rPr>
          <w:lang w:eastAsia="en-AU"/>
        </w:rPr>
        <w:t>of a tonne of aluminium is more important than the diversion of a tonne of timber. Aggregating the disposal of mate</w:t>
      </w:r>
      <w:r w:rsidR="00F879ED" w:rsidRPr="00C36C8F">
        <w:rPr>
          <w:lang w:eastAsia="en-AU"/>
        </w:rPr>
        <w:t>rials by mass does not provide detail on</w:t>
      </w:r>
      <w:r w:rsidR="00551734" w:rsidRPr="00C36C8F">
        <w:rPr>
          <w:lang w:eastAsia="en-AU"/>
        </w:rPr>
        <w:t xml:space="preserve"> this important environmental aspect of material disposal.</w:t>
      </w:r>
    </w:p>
    <w:p w:rsidR="00551734" w:rsidRPr="00C36C8F" w:rsidRDefault="00551734" w:rsidP="000413DC">
      <w:pPr>
        <w:pStyle w:val="ParaIndent"/>
        <w:jc w:val="both"/>
        <w:rPr>
          <w:lang w:eastAsia="en-AU"/>
        </w:rPr>
      </w:pPr>
      <w:r w:rsidRPr="00C36C8F">
        <w:rPr>
          <w:lang w:eastAsia="en-AU"/>
        </w:rPr>
        <w:t>The full life cycle impacts of the disposal of materials require</w:t>
      </w:r>
      <w:r w:rsidR="007B3E9C" w:rsidRPr="00C36C8F">
        <w:rPr>
          <w:lang w:eastAsia="en-AU"/>
        </w:rPr>
        <w:t>s</w:t>
      </w:r>
      <w:r w:rsidRPr="00C36C8F">
        <w:rPr>
          <w:lang w:eastAsia="en-AU"/>
        </w:rPr>
        <w:t xml:space="preserve"> a more detailed analysi</w:t>
      </w:r>
      <w:r w:rsidR="00F879ED" w:rsidRPr="00C36C8F">
        <w:rPr>
          <w:lang w:eastAsia="en-AU"/>
        </w:rPr>
        <w:t>s of the embodied resources of</w:t>
      </w:r>
      <w:r w:rsidRPr="00C36C8F">
        <w:rPr>
          <w:lang w:eastAsia="en-AU"/>
        </w:rPr>
        <w:t xml:space="preserve"> a </w:t>
      </w:r>
      <w:r w:rsidR="00F879ED" w:rsidRPr="00C36C8F">
        <w:rPr>
          <w:lang w:eastAsia="en-AU"/>
        </w:rPr>
        <w:t xml:space="preserve">product or </w:t>
      </w:r>
      <w:r w:rsidRPr="00C36C8F">
        <w:rPr>
          <w:lang w:eastAsia="en-AU"/>
        </w:rPr>
        <w:t>ma</w:t>
      </w:r>
      <w:r w:rsidR="00F879ED" w:rsidRPr="00C36C8F">
        <w:rPr>
          <w:lang w:eastAsia="en-AU"/>
        </w:rPr>
        <w:t xml:space="preserve">terial, and the impacts associated with </w:t>
      </w:r>
      <w:r w:rsidR="00A13E65" w:rsidRPr="00C36C8F">
        <w:rPr>
          <w:lang w:eastAsia="en-AU"/>
        </w:rPr>
        <w:t>the recovery</w:t>
      </w:r>
      <w:r w:rsidR="007E5C5D" w:rsidRPr="00C36C8F">
        <w:rPr>
          <w:lang w:eastAsia="en-AU"/>
        </w:rPr>
        <w:t xml:space="preserve"> (or not)</w:t>
      </w:r>
      <w:r w:rsidR="00F879ED" w:rsidRPr="00C36C8F">
        <w:rPr>
          <w:lang w:eastAsia="en-AU"/>
        </w:rPr>
        <w:t xml:space="preserve"> </w:t>
      </w:r>
      <w:r w:rsidR="00A13E65" w:rsidRPr="00C36C8F">
        <w:rPr>
          <w:lang w:eastAsia="en-AU"/>
        </w:rPr>
        <w:t xml:space="preserve">of </w:t>
      </w:r>
      <w:r w:rsidR="00F879ED" w:rsidRPr="00C36C8F">
        <w:rPr>
          <w:lang w:eastAsia="en-AU"/>
        </w:rPr>
        <w:t>these resources</w:t>
      </w:r>
      <w:r w:rsidRPr="00C36C8F">
        <w:rPr>
          <w:lang w:eastAsia="en-AU"/>
        </w:rPr>
        <w:t>.</w:t>
      </w:r>
    </w:p>
    <w:p w:rsidR="00416F0B" w:rsidRPr="00C36C8F" w:rsidRDefault="00551734" w:rsidP="000413DC">
      <w:pPr>
        <w:pStyle w:val="ParaIndent"/>
        <w:jc w:val="both"/>
      </w:pPr>
      <w:r w:rsidRPr="00C36C8F">
        <w:rPr>
          <w:lang w:eastAsia="en-AU"/>
        </w:rPr>
        <w:t>However, the weight of end-of-lif</w:t>
      </w:r>
      <w:r w:rsidR="007E5C5D" w:rsidRPr="00C36C8F">
        <w:rPr>
          <w:lang w:eastAsia="en-AU"/>
        </w:rPr>
        <w:t>e products and materials that are disposed is important</w:t>
      </w:r>
      <w:r w:rsidRPr="00C36C8F">
        <w:rPr>
          <w:lang w:eastAsia="en-AU"/>
        </w:rPr>
        <w:t xml:space="preserve"> </w:t>
      </w:r>
      <w:r w:rsidR="002E7D05" w:rsidRPr="00C36C8F">
        <w:rPr>
          <w:lang w:eastAsia="en-AU"/>
        </w:rPr>
        <w:t xml:space="preserve">for </w:t>
      </w:r>
      <w:r w:rsidRPr="00C36C8F">
        <w:rPr>
          <w:lang w:eastAsia="en-AU"/>
        </w:rPr>
        <w:t>understanding the impacts of was</w:t>
      </w:r>
      <w:r w:rsidR="007E5C5D" w:rsidRPr="00C36C8F">
        <w:rPr>
          <w:lang w:eastAsia="en-AU"/>
        </w:rPr>
        <w:t xml:space="preserve">te and recycling, and is a </w:t>
      </w:r>
      <w:r w:rsidRPr="00C36C8F">
        <w:rPr>
          <w:lang w:eastAsia="en-AU"/>
        </w:rPr>
        <w:t>useful first step towards better management and use of materials and resources. It is also the most practical and universal way to measure waste and recycling.</w:t>
      </w:r>
    </w:p>
    <w:p w:rsidR="00416F0B" w:rsidRPr="00C36C8F" w:rsidRDefault="00DA67C2" w:rsidP="000413DC">
      <w:pPr>
        <w:pStyle w:val="Heading40"/>
        <w:spacing w:before="0"/>
        <w:jc w:val="both"/>
      </w:pPr>
      <w:bookmarkStart w:id="68" w:name="_Ref272145582"/>
      <w:bookmarkStart w:id="69" w:name="_Toc279510562"/>
      <w:r w:rsidRPr="00C36C8F">
        <w:t>Recommendation 6: Waste converted to energy should be reported as a separate disposal pathway to recycling and disposal.</w:t>
      </w:r>
      <w:bookmarkEnd w:id="68"/>
      <w:bookmarkEnd w:id="69"/>
    </w:p>
    <w:p w:rsidR="006301A4" w:rsidRPr="00C36C8F" w:rsidRDefault="006301A4" w:rsidP="000413DC">
      <w:pPr>
        <w:pStyle w:val="ParaIndent"/>
        <w:keepNext/>
        <w:keepLines/>
        <w:jc w:val="both"/>
      </w:pPr>
      <w:r w:rsidRPr="00C36C8F">
        <w:t>Energy recovery from solid waste can occur through the conversion of material with a useful energy value directly into a combustible fuel, or through the collection and combustion of methane generated through the anaerobic decomposition of organic material.</w:t>
      </w:r>
    </w:p>
    <w:p w:rsidR="006301A4" w:rsidRPr="00C36C8F" w:rsidRDefault="006301A4" w:rsidP="000413DC">
      <w:pPr>
        <w:pStyle w:val="ParaIndent"/>
        <w:jc w:val="both"/>
      </w:pPr>
      <w:r w:rsidRPr="00C36C8F">
        <w:t>Previous national waste and recycl</w:t>
      </w:r>
      <w:r w:rsidR="004637CA" w:rsidRPr="00C36C8F">
        <w:t>ing reporting has not reported upon energy recovery</w:t>
      </w:r>
      <w:r w:rsidRPr="00C36C8F">
        <w:t xml:space="preserve">. This reflects the approach of most states and territories. However, given </w:t>
      </w:r>
      <w:r w:rsidR="00EE02E4" w:rsidRPr="00C36C8F">
        <w:t>that waste to energy</w:t>
      </w:r>
      <w:r w:rsidR="004637CA" w:rsidRPr="00C36C8F">
        <w:t xml:space="preserve"> (WtE)</w:t>
      </w:r>
      <w:r w:rsidR="00EE02E4" w:rsidRPr="00C36C8F">
        <w:t xml:space="preserve"> is recognised as a </w:t>
      </w:r>
      <w:r w:rsidR="00A5033F" w:rsidRPr="00C36C8F">
        <w:t>distinct</w:t>
      </w:r>
      <w:r w:rsidR="00EE02E4" w:rsidRPr="00C36C8F">
        <w:t xml:space="preserve"> </w:t>
      </w:r>
      <w:r w:rsidR="002D7BE6" w:rsidRPr="00C36C8F">
        <w:t>tier</w:t>
      </w:r>
      <w:r w:rsidR="00EE02E4" w:rsidRPr="00C36C8F">
        <w:t xml:space="preserve"> in the waste hierarchy, and </w:t>
      </w:r>
      <w:r w:rsidR="00444D6F" w:rsidRPr="00C36C8F">
        <w:t>there has been</w:t>
      </w:r>
      <w:r w:rsidRPr="00C36C8F">
        <w:t xml:space="preserve"> increase in </w:t>
      </w:r>
      <w:r w:rsidR="004637CA" w:rsidRPr="00C36C8F">
        <w:t>the</w:t>
      </w:r>
      <w:r w:rsidR="00FA4FA3" w:rsidRPr="00C36C8F">
        <w:t xml:space="preserve"> prevalence</w:t>
      </w:r>
      <w:r w:rsidR="004637CA" w:rsidRPr="00C36C8F">
        <w:t xml:space="preserve"> </w:t>
      </w:r>
      <w:r w:rsidR="00EE02E4" w:rsidRPr="00C36C8F">
        <w:t>of</w:t>
      </w:r>
      <w:r w:rsidR="004637CA" w:rsidRPr="00C36C8F">
        <w:t xml:space="preserve"> WtE</w:t>
      </w:r>
      <w:r w:rsidR="00A5033F" w:rsidRPr="00C36C8F">
        <w:t xml:space="preserve"> in Australia</w:t>
      </w:r>
      <w:r w:rsidR="004637CA" w:rsidRPr="00C36C8F">
        <w:t>—</w:t>
      </w:r>
      <w:r w:rsidRPr="00C36C8F">
        <w:t>particularly methane capture</w:t>
      </w:r>
      <w:r w:rsidR="004637CA" w:rsidRPr="00C36C8F">
        <w:t>—energy recovery is</w:t>
      </w:r>
      <w:r w:rsidRPr="00C36C8F">
        <w:t xml:space="preserve"> </w:t>
      </w:r>
      <w:r w:rsidR="00FA4FA3" w:rsidRPr="00C36C8F">
        <w:t>now reported separately</w:t>
      </w:r>
      <w:r w:rsidRPr="00C36C8F">
        <w:t xml:space="preserve"> from </w:t>
      </w:r>
      <w:r w:rsidR="00444D6F" w:rsidRPr="00C36C8F">
        <w:t>disposal</w:t>
      </w:r>
      <w:r w:rsidRPr="00C36C8F">
        <w:t xml:space="preserve"> and recycling.</w:t>
      </w:r>
    </w:p>
    <w:p w:rsidR="00416F0B" w:rsidRPr="00C36C8F" w:rsidRDefault="00ED3D18" w:rsidP="000413DC">
      <w:pPr>
        <w:pStyle w:val="Heading40"/>
        <w:spacing w:before="0"/>
        <w:rPr>
          <w:color w:val="auto"/>
        </w:rPr>
      </w:pPr>
      <w:r w:rsidRPr="00C36C8F">
        <w:rPr>
          <w:color w:val="auto"/>
        </w:rPr>
        <w:t>Energy recovery from solid waste combustion</w:t>
      </w:r>
      <w:r w:rsidR="008574D4" w:rsidRPr="00C36C8F">
        <w:rPr>
          <w:color w:val="auto"/>
        </w:rPr>
        <w:t xml:space="preserve"> data:</w:t>
      </w:r>
    </w:p>
    <w:p w:rsidR="00416F0B" w:rsidRPr="00C36C8F" w:rsidRDefault="00ED3D18" w:rsidP="000413DC">
      <w:pPr>
        <w:pStyle w:val="ParaIndent"/>
        <w:jc w:val="both"/>
      </w:pPr>
      <w:r w:rsidRPr="00C36C8F">
        <w:t xml:space="preserve">Data on the weight of solid waste combusted for energy recovery was obtained directly from industry sources. </w:t>
      </w:r>
      <w:r w:rsidR="00FA4FA3" w:rsidRPr="00C36C8F">
        <w:t>Note that t</w:t>
      </w:r>
      <w:r w:rsidR="00A21A5B" w:rsidRPr="00C36C8F">
        <w:t>he</w:t>
      </w:r>
      <w:r w:rsidRPr="00C36C8F">
        <w:t xml:space="preserve"> data provided is not net of </w:t>
      </w:r>
      <w:r w:rsidR="00FA4FA3" w:rsidRPr="00C36C8F">
        <w:t xml:space="preserve">any </w:t>
      </w:r>
      <w:r w:rsidRPr="00C36C8F">
        <w:t>residual material</w:t>
      </w:r>
      <w:r w:rsidR="00FA4FA3" w:rsidRPr="00C36C8F">
        <w:t xml:space="preserve"> following combustion</w:t>
      </w:r>
      <w:r w:rsidRPr="00C36C8F">
        <w:t xml:space="preserve"> (</w:t>
      </w:r>
      <w:r w:rsidR="00FA4FA3" w:rsidRPr="00C36C8F">
        <w:t xml:space="preserve">e.g. </w:t>
      </w:r>
      <w:r w:rsidRPr="00C36C8F">
        <w:t>bottom ash)</w:t>
      </w:r>
      <w:r w:rsidR="002D7BE6" w:rsidRPr="00C36C8F">
        <w:t>.</w:t>
      </w:r>
    </w:p>
    <w:p w:rsidR="00416F0B" w:rsidRPr="00C36C8F" w:rsidRDefault="0071258A" w:rsidP="000413DC">
      <w:pPr>
        <w:pStyle w:val="ParaIndent"/>
        <w:jc w:val="both"/>
      </w:pPr>
      <w:r w:rsidRPr="00C36C8F">
        <w:t>Where jurisdictions were know</w:t>
      </w:r>
      <w:r w:rsidR="007564EF" w:rsidRPr="00C36C8F">
        <w:t>n</w:t>
      </w:r>
      <w:r w:rsidRPr="00C36C8F">
        <w:t xml:space="preserve"> to aggregate such </w:t>
      </w:r>
      <w:r w:rsidR="0063614E" w:rsidRPr="00C36C8F">
        <w:t xml:space="preserve">energy recovery </w:t>
      </w:r>
      <w:r w:rsidRPr="00C36C8F">
        <w:t>with overall recycling figures, these volumes were then sub</w:t>
      </w:r>
      <w:r w:rsidR="002D7BE6" w:rsidRPr="00C36C8F">
        <w:t>tracted from recycling figures.</w:t>
      </w:r>
    </w:p>
    <w:p w:rsidR="00416F0B" w:rsidRPr="00C36C8F" w:rsidRDefault="00ED3D18" w:rsidP="000413DC">
      <w:pPr>
        <w:pStyle w:val="ParaIndent"/>
        <w:jc w:val="both"/>
      </w:pPr>
      <w:r w:rsidRPr="00C36C8F">
        <w:t>The material classification of energy recovery from combustion was made on a case-by-case basis according to the source material used. The source sector classification was als</w:t>
      </w:r>
      <w:r w:rsidR="00552F2B" w:rsidRPr="00C36C8F">
        <w:t>o made on a case-by-case basis, with</w:t>
      </w:r>
      <w:r w:rsidR="0063614E" w:rsidRPr="00C36C8F">
        <w:t xml:space="preserve"> all</w:t>
      </w:r>
      <w:r w:rsidR="00552F2B" w:rsidRPr="00C36C8F">
        <w:t xml:space="preserve"> material classified as coming</w:t>
      </w:r>
      <w:r w:rsidRPr="00C36C8F">
        <w:t xml:space="preserve"> from </w:t>
      </w:r>
      <w:r w:rsidR="00552F2B" w:rsidRPr="00C36C8F">
        <w:t xml:space="preserve">either </w:t>
      </w:r>
      <w:r w:rsidRPr="00C36C8F">
        <w:t>C&amp;I</w:t>
      </w:r>
      <w:r w:rsidR="00552F2B" w:rsidRPr="00C36C8F">
        <w:t xml:space="preserve"> or C&amp;D</w:t>
      </w:r>
      <w:r w:rsidRPr="00C36C8F">
        <w:t xml:space="preserve"> sources.</w:t>
      </w:r>
    </w:p>
    <w:p w:rsidR="00416F0B" w:rsidRPr="00C36C8F" w:rsidRDefault="00ED3D18" w:rsidP="000413DC">
      <w:pPr>
        <w:pStyle w:val="ParaIndent"/>
        <w:keepNext/>
        <w:jc w:val="both"/>
        <w:rPr>
          <w:b/>
        </w:rPr>
      </w:pPr>
      <w:r w:rsidRPr="00C36C8F">
        <w:rPr>
          <w:b/>
        </w:rPr>
        <w:t xml:space="preserve">Energy recovery from methane capture at </w:t>
      </w:r>
      <w:r w:rsidR="00551734" w:rsidRPr="00C36C8F">
        <w:rPr>
          <w:b/>
        </w:rPr>
        <w:t>landfills</w:t>
      </w:r>
      <w:r w:rsidR="009536E3" w:rsidRPr="00C36C8F">
        <w:rPr>
          <w:b/>
        </w:rPr>
        <w:t xml:space="preserve"> and AWTs</w:t>
      </w:r>
      <w:r w:rsidR="008574D4" w:rsidRPr="00C36C8F">
        <w:rPr>
          <w:b/>
        </w:rPr>
        <w:t xml:space="preserve"> data:</w:t>
      </w:r>
    </w:p>
    <w:p w:rsidR="00416F0B" w:rsidRPr="00C36C8F" w:rsidRDefault="00FA4E79" w:rsidP="000413DC">
      <w:pPr>
        <w:pStyle w:val="ParaIndent"/>
        <w:jc w:val="both"/>
      </w:pPr>
      <w:r w:rsidRPr="00C36C8F">
        <w:t>The mass of methane that was captured and combuste</w:t>
      </w:r>
      <w:r w:rsidR="007564EF" w:rsidRPr="00C36C8F">
        <w:t>d for the generation of electricity</w:t>
      </w:r>
      <w:r w:rsidRPr="00C36C8F">
        <w:t xml:space="preserve"> at landfills </w:t>
      </w:r>
      <w:r w:rsidR="009536E3" w:rsidRPr="00C36C8F">
        <w:t xml:space="preserve">and (much less significantly) </w:t>
      </w:r>
      <w:r w:rsidR="001C5635">
        <w:t>advanced</w:t>
      </w:r>
      <w:r w:rsidR="009536E3" w:rsidRPr="00C36C8F">
        <w:t xml:space="preserve"> waste </w:t>
      </w:r>
      <w:r w:rsidR="00B92A1B" w:rsidRPr="00C36C8F">
        <w:t xml:space="preserve">treatment </w:t>
      </w:r>
      <w:r w:rsidR="009536E3" w:rsidRPr="00C36C8F">
        <w:t xml:space="preserve">facilities (AWTs) </w:t>
      </w:r>
      <w:r w:rsidRPr="00C36C8F">
        <w:t xml:space="preserve">was calculated. This mass was then </w:t>
      </w:r>
      <w:r w:rsidR="007564EF" w:rsidRPr="00C36C8F">
        <w:t>ac</w:t>
      </w:r>
      <w:r w:rsidRPr="00C36C8F">
        <w:t>counted</w:t>
      </w:r>
      <w:r w:rsidR="007564EF" w:rsidRPr="00C36C8F">
        <w:t xml:space="preserve"> for as energy recovery, and subtracted from disposal</w:t>
      </w:r>
      <w:r w:rsidR="00747B9D" w:rsidRPr="00C36C8F">
        <w:t>.</w:t>
      </w:r>
    </w:p>
    <w:p w:rsidR="00416F0B" w:rsidRPr="00C36C8F" w:rsidRDefault="007564EF" w:rsidP="000413DC">
      <w:pPr>
        <w:pStyle w:val="ParaIndent"/>
        <w:jc w:val="both"/>
      </w:pPr>
      <w:r w:rsidRPr="00C36C8F">
        <w:t>B</w:t>
      </w:r>
      <w:r w:rsidR="00551734" w:rsidRPr="00C36C8F">
        <w:t>enchmark</w:t>
      </w:r>
      <w:r w:rsidRPr="00C36C8F">
        <w:t>s of</w:t>
      </w:r>
      <w:r w:rsidR="00551734" w:rsidRPr="00C36C8F">
        <w:t xml:space="preserve"> the annual generation of electricity</w:t>
      </w:r>
      <w:r w:rsidRPr="00C36C8F">
        <w:t xml:space="preserve">, based on </w:t>
      </w:r>
      <w:r w:rsidR="00551734" w:rsidRPr="00C36C8F">
        <w:t>the installed capacity at landfill sites</w:t>
      </w:r>
      <w:r w:rsidRPr="00C36C8F">
        <w:t>,</w:t>
      </w:r>
      <w:r w:rsidR="00551734" w:rsidRPr="00C36C8F">
        <w:t xml:space="preserve"> </w:t>
      </w:r>
      <w:r w:rsidRPr="00C36C8F">
        <w:t>were</w:t>
      </w:r>
      <w:r w:rsidR="00551734" w:rsidRPr="00C36C8F">
        <w:t xml:space="preserve"> generated for each state and territory </w:t>
      </w:r>
      <w:r w:rsidRPr="00C36C8F">
        <w:t xml:space="preserve">for </w:t>
      </w:r>
      <w:r w:rsidR="00551734" w:rsidRPr="00C36C8F">
        <w:t>the 2008 calendar year</w:t>
      </w:r>
      <w:r w:rsidR="00551734" w:rsidRPr="00C36C8F">
        <w:rPr>
          <w:rStyle w:val="FootnoteReference"/>
        </w:rPr>
        <w:footnoteReference w:id="5"/>
      </w:r>
      <w:r w:rsidRPr="00C36C8F">
        <w:t>. These</w:t>
      </w:r>
      <w:r w:rsidR="00551734" w:rsidRPr="00C36C8F">
        <w:t xml:space="preserve"> benchmark</w:t>
      </w:r>
      <w:r w:rsidRPr="00C36C8F">
        <w:t>s were</w:t>
      </w:r>
      <w:r w:rsidR="00551734" w:rsidRPr="00C36C8F">
        <w:t xml:space="preserve"> then applied to more recent data on the installed capacity at landfill sites in each state and te</w:t>
      </w:r>
      <w:r w:rsidRPr="00C36C8F">
        <w:t>rritory</w:t>
      </w:r>
      <w:r w:rsidR="00551734" w:rsidRPr="00C36C8F">
        <w:rPr>
          <w:rStyle w:val="FootnoteReference"/>
        </w:rPr>
        <w:footnoteReference w:id="6"/>
      </w:r>
      <w:r w:rsidR="00551734" w:rsidRPr="00C36C8F">
        <w:t>.</w:t>
      </w:r>
    </w:p>
    <w:p w:rsidR="00416F0B" w:rsidRPr="00C36C8F" w:rsidRDefault="00551734" w:rsidP="000413DC">
      <w:pPr>
        <w:pStyle w:val="ParaIndent"/>
        <w:jc w:val="both"/>
      </w:pPr>
      <w:r w:rsidRPr="00C36C8F">
        <w:t>The amount and compositio</w:t>
      </w:r>
      <w:r w:rsidR="00C86EB6" w:rsidRPr="00C36C8F">
        <w:t>n of landfill gas generated by</w:t>
      </w:r>
      <w:r w:rsidRPr="00C36C8F">
        <w:t xml:space="preserve"> solid waste disposal to landfill, and the amount of electricity generated from landfill </w:t>
      </w:r>
      <w:r w:rsidR="00C86EB6" w:rsidRPr="00C36C8F">
        <w:t xml:space="preserve">gas, was taken from a report on the Woodlawn bioreactor in </w:t>
      </w:r>
      <w:r w:rsidRPr="00C36C8F">
        <w:t>NSW</w:t>
      </w:r>
      <w:r w:rsidRPr="00C36C8F">
        <w:rPr>
          <w:rStyle w:val="FootnoteReference"/>
        </w:rPr>
        <w:footnoteReference w:id="7"/>
      </w:r>
      <w:r w:rsidR="00C86EB6" w:rsidRPr="00C36C8F">
        <w:t xml:space="preserve">. </w:t>
      </w:r>
      <w:r w:rsidRPr="00C36C8F">
        <w:t xml:space="preserve">The </w:t>
      </w:r>
      <w:r w:rsidR="00C86EB6" w:rsidRPr="00C36C8F">
        <w:t>effective weight of solid waste recovered</w:t>
      </w:r>
      <w:r w:rsidRPr="00C36C8F">
        <w:t xml:space="preserve"> as energy through landfill gas</w:t>
      </w:r>
      <w:r w:rsidR="00C86EB6" w:rsidRPr="00C36C8F">
        <w:t xml:space="preserve"> capture was then calculated assuming </w:t>
      </w:r>
      <w:r w:rsidRPr="00C36C8F">
        <w:t>a l</w:t>
      </w:r>
      <w:r w:rsidR="00C86EB6" w:rsidRPr="00C36C8F">
        <w:t>andfill gas ratio of 1:1 for</w:t>
      </w:r>
      <w:r w:rsidRPr="00C36C8F">
        <w:t xml:space="preserve"> methane and carbon dioxide</w:t>
      </w:r>
      <w:r w:rsidRPr="00C36C8F">
        <w:rPr>
          <w:rStyle w:val="FootnoteReference"/>
        </w:rPr>
        <w:footnoteReference w:id="8"/>
      </w:r>
      <w:r w:rsidR="00C86EB6" w:rsidRPr="00C36C8F">
        <w:t>. This estimate</w:t>
      </w:r>
      <w:r w:rsidRPr="00C36C8F">
        <w:t xml:space="preserve"> was then s</w:t>
      </w:r>
      <w:r w:rsidR="00C86EB6" w:rsidRPr="00C36C8F">
        <w:t>ubtracted from the quantity of organics to landfill</w:t>
      </w:r>
      <w:r w:rsidR="00E24FAA" w:rsidRPr="00C36C8F">
        <w:t xml:space="preserve"> to ensure that this mass was not ‘double counted’ within waste generation tonnages</w:t>
      </w:r>
      <w:r w:rsidR="006314E8" w:rsidRPr="00C36C8F">
        <w:t xml:space="preserve"> (i.e. counted within the organic waste mass and then counted again within the landfill gas tonnage estimates</w:t>
      </w:r>
      <w:r w:rsidR="00831427" w:rsidRPr="00C36C8F">
        <w:t>)</w:t>
      </w:r>
      <w:r w:rsidR="006314E8" w:rsidRPr="00C36C8F">
        <w:t>.</w:t>
      </w:r>
    </w:p>
    <w:p w:rsidR="00416F0B" w:rsidRPr="00C36C8F" w:rsidRDefault="00551734" w:rsidP="000413DC">
      <w:pPr>
        <w:pStyle w:val="ParaIndent"/>
        <w:jc w:val="both"/>
      </w:pPr>
      <w:r w:rsidRPr="001D4A1D">
        <w:t xml:space="preserve">This method is consistent with that used </w:t>
      </w:r>
      <w:r w:rsidR="00C86EB6" w:rsidRPr="001D4A1D">
        <w:t>for</w:t>
      </w:r>
      <w:r w:rsidRPr="001D4A1D">
        <w:t xml:space="preserve"> National Greenhouse and Energy Reporting </w:t>
      </w:r>
      <w:r w:rsidR="00975F3B" w:rsidRPr="001D4A1D">
        <w:t>(NGER</w:t>
      </w:r>
      <w:r w:rsidRPr="001D4A1D">
        <w:t>). In future years, it is possible that disaggregated figures on the amount of methane generated and capture at landfills for each state and territory will b</w:t>
      </w:r>
      <w:r w:rsidR="00975F3B" w:rsidRPr="001D4A1D">
        <w:t xml:space="preserve">e able to be extracted </w:t>
      </w:r>
      <w:r w:rsidR="00261DD8" w:rsidRPr="001D4A1D">
        <w:t xml:space="preserve">directly </w:t>
      </w:r>
      <w:r w:rsidR="00975F3B" w:rsidRPr="001D4A1D">
        <w:t xml:space="preserve">from </w:t>
      </w:r>
      <w:r w:rsidR="00261DD8" w:rsidRPr="001D4A1D">
        <w:t xml:space="preserve">the </w:t>
      </w:r>
      <w:r w:rsidR="00975F3B" w:rsidRPr="001D4A1D">
        <w:t>NGER</w:t>
      </w:r>
      <w:r w:rsidRPr="001D4A1D">
        <w:t xml:space="preserve"> </w:t>
      </w:r>
      <w:r w:rsidR="00C86EB6" w:rsidRPr="001D4A1D">
        <w:t>related reporting</w:t>
      </w:r>
      <w:r w:rsidR="009536E3" w:rsidRPr="001D4A1D">
        <w:t>,</w:t>
      </w:r>
      <w:r w:rsidR="00C86EB6" w:rsidRPr="001D4A1D">
        <w:t xml:space="preserve"> </w:t>
      </w:r>
      <w:r w:rsidR="009536E3" w:rsidRPr="001D4A1D">
        <w:t>or</w:t>
      </w:r>
      <w:r w:rsidRPr="001D4A1D">
        <w:t xml:space="preserve"> </w:t>
      </w:r>
      <w:r w:rsidR="009536E3" w:rsidRPr="001D4A1D">
        <w:t xml:space="preserve">from </w:t>
      </w:r>
      <w:r w:rsidRPr="001D4A1D">
        <w:t xml:space="preserve">carbon accounting </w:t>
      </w:r>
      <w:r w:rsidR="009536E3" w:rsidRPr="001D4A1D">
        <w:t>undertaken by the Federal G</w:t>
      </w:r>
      <w:r w:rsidRPr="001D4A1D">
        <w:t>overnment.</w:t>
      </w:r>
    </w:p>
    <w:p w:rsidR="00416F0B" w:rsidRPr="00C36C8F" w:rsidRDefault="00203A07" w:rsidP="000413DC">
      <w:pPr>
        <w:pStyle w:val="ParaIndent"/>
        <w:jc w:val="both"/>
      </w:pPr>
      <w:r w:rsidRPr="00C36C8F">
        <w:t>The mass estimates</w:t>
      </w:r>
      <w:r w:rsidR="00551734" w:rsidRPr="00C36C8F">
        <w:t xml:space="preserve"> </w:t>
      </w:r>
      <w:r w:rsidR="00A12484" w:rsidRPr="00C36C8F">
        <w:t>relating to energy recovery through</w:t>
      </w:r>
      <w:r w:rsidR="00551734" w:rsidRPr="00C36C8F">
        <w:t xml:space="preserve"> methane capture at landfills</w:t>
      </w:r>
      <w:r w:rsidRPr="00C36C8F">
        <w:t xml:space="preserve"> and AWTs</w:t>
      </w:r>
      <w:r w:rsidR="00551734" w:rsidRPr="00C36C8F">
        <w:t xml:space="preserve"> w</w:t>
      </w:r>
      <w:r w:rsidR="00831427" w:rsidRPr="00C36C8F">
        <w:t>ere</w:t>
      </w:r>
      <w:r w:rsidR="00A12484" w:rsidRPr="00C36C8F">
        <w:t xml:space="preserve"> all</w:t>
      </w:r>
      <w:r w:rsidR="00551734" w:rsidRPr="00C36C8F">
        <w:t xml:space="preserve"> classed as organic mate</w:t>
      </w:r>
      <w:r w:rsidR="00A12484" w:rsidRPr="00C36C8F">
        <w:t>rial, and apportioned to sector streams</w:t>
      </w:r>
      <w:r w:rsidR="00551734" w:rsidRPr="00C36C8F">
        <w:t xml:space="preserve"> on the basis of the amount of </w:t>
      </w:r>
      <w:r w:rsidR="00A12484" w:rsidRPr="00C36C8F">
        <w:t xml:space="preserve">total </w:t>
      </w:r>
      <w:r w:rsidR="00551734" w:rsidRPr="00C36C8F">
        <w:t>orga</w:t>
      </w:r>
      <w:r w:rsidR="00A12484" w:rsidRPr="00C36C8F">
        <w:t>nic material arising from</w:t>
      </w:r>
      <w:r w:rsidR="00551734" w:rsidRPr="00C36C8F">
        <w:t xml:space="preserve"> those strea</w:t>
      </w:r>
      <w:r w:rsidR="00A12484" w:rsidRPr="00C36C8F">
        <w:t>ms in each</w:t>
      </w:r>
      <w:r w:rsidR="00E466E5" w:rsidRPr="00C36C8F">
        <w:t xml:space="preserve"> state and territory. This is a</w:t>
      </w:r>
      <w:r w:rsidR="00A12484" w:rsidRPr="00C36C8F">
        <w:t xml:space="preserve"> </w:t>
      </w:r>
      <w:r w:rsidR="00E466E5" w:rsidRPr="00C36C8F">
        <w:t xml:space="preserve">significant </w:t>
      </w:r>
      <w:r w:rsidR="00A12484" w:rsidRPr="00C36C8F">
        <w:t xml:space="preserve">approximation </w:t>
      </w:r>
      <w:r w:rsidR="00E466E5" w:rsidRPr="00C36C8F">
        <w:t>for a number of reasons, including:</w:t>
      </w:r>
    </w:p>
    <w:p w:rsidR="00416F0B" w:rsidRPr="00C36C8F" w:rsidRDefault="00E466E5" w:rsidP="004B50A2">
      <w:pPr>
        <w:pStyle w:val="ParaIndent"/>
        <w:numPr>
          <w:ilvl w:val="0"/>
          <w:numId w:val="31"/>
        </w:numPr>
        <w:jc w:val="both"/>
      </w:pPr>
      <w:r w:rsidRPr="00C36C8F">
        <w:t>Methane recovered would mostly be generated by organic waste deposited b</w:t>
      </w:r>
      <w:r w:rsidR="009D259C">
        <w:t>efore the reference year period</w:t>
      </w:r>
    </w:p>
    <w:p w:rsidR="00416F0B" w:rsidRPr="00C36C8F" w:rsidRDefault="00E466E5" w:rsidP="004B50A2">
      <w:pPr>
        <w:pStyle w:val="ParaIndent"/>
        <w:numPr>
          <w:ilvl w:val="0"/>
          <w:numId w:val="31"/>
        </w:numPr>
        <w:jc w:val="both"/>
      </w:pPr>
      <w:r w:rsidRPr="00C36C8F">
        <w:t>T</w:t>
      </w:r>
      <w:r w:rsidR="00A12484" w:rsidRPr="00C36C8F">
        <w:t xml:space="preserve">he organic material make-up of the </w:t>
      </w:r>
      <w:r w:rsidRPr="00C36C8F">
        <w:t xml:space="preserve">waste </w:t>
      </w:r>
      <w:r w:rsidR="00A12484" w:rsidRPr="00C36C8F">
        <w:t xml:space="preserve">streams will be different, and different organic material types, for example food as compared to timber, generate different </w:t>
      </w:r>
      <w:r w:rsidR="009D259C">
        <w:t>levels of methane per unit mass</w:t>
      </w:r>
    </w:p>
    <w:p w:rsidR="00416F0B" w:rsidRPr="00C36C8F" w:rsidRDefault="00E466E5" w:rsidP="004B50A2">
      <w:pPr>
        <w:pStyle w:val="ParaIndent"/>
        <w:numPr>
          <w:ilvl w:val="0"/>
          <w:numId w:val="31"/>
        </w:numPr>
        <w:jc w:val="both"/>
      </w:pPr>
      <w:r w:rsidRPr="00C36C8F">
        <w:t>M</w:t>
      </w:r>
      <w:r w:rsidR="00CE3AB3" w:rsidRPr="00C36C8F">
        <w:t xml:space="preserve">ethane generation in landfills </w:t>
      </w:r>
      <w:r w:rsidRPr="00C36C8F">
        <w:t>is somewhat dependent on</w:t>
      </w:r>
      <w:r w:rsidR="00CE3AB3" w:rsidRPr="00C36C8F">
        <w:t xml:space="preserve"> regionally variable </w:t>
      </w:r>
      <w:r w:rsidR="00A13E65" w:rsidRPr="00C36C8F">
        <w:t>climatic conditions</w:t>
      </w:r>
      <w:r w:rsidR="00831427" w:rsidRPr="00C36C8F">
        <w:t>, as wel</w:t>
      </w:r>
      <w:r w:rsidR="009D259C">
        <w:t>l as management of the landfill</w:t>
      </w:r>
      <w:r w:rsidR="00E4626D">
        <w:t>.</w:t>
      </w:r>
    </w:p>
    <w:p w:rsidR="00416F0B" w:rsidRPr="00C36C8F" w:rsidRDefault="00551734" w:rsidP="000413DC">
      <w:pPr>
        <w:pStyle w:val="ParaIndent"/>
        <w:jc w:val="both"/>
      </w:pPr>
      <w:r w:rsidRPr="00C36C8F">
        <w:t>The flaring of methane at landfill</w:t>
      </w:r>
      <w:r w:rsidR="00A12484" w:rsidRPr="00C36C8F">
        <w:t>s</w:t>
      </w:r>
      <w:r w:rsidRPr="00C36C8F">
        <w:t xml:space="preserve"> was excluded from the calculation o</w:t>
      </w:r>
      <w:r w:rsidR="00A12484" w:rsidRPr="00C36C8F">
        <w:t>f energy recovery</w:t>
      </w:r>
      <w:r w:rsidR="0034700A" w:rsidRPr="00C36C8F">
        <w:t>. There is a greenhouse gas</w:t>
      </w:r>
      <w:r w:rsidRPr="00C36C8F">
        <w:t xml:space="preserve"> benefit in reducing the emissions of methane, </w:t>
      </w:r>
      <w:r w:rsidR="0034700A" w:rsidRPr="00C36C8F">
        <w:t xml:space="preserve">however </w:t>
      </w:r>
      <w:r w:rsidRPr="00C36C8F">
        <w:t xml:space="preserve">this is a separate </w:t>
      </w:r>
      <w:r w:rsidR="0034700A" w:rsidRPr="00C36C8F">
        <w:t>issue to</w:t>
      </w:r>
      <w:r w:rsidRPr="00C36C8F">
        <w:t xml:space="preserve"> the recovery of energy from solid waste.</w:t>
      </w:r>
    </w:p>
    <w:p w:rsidR="00416F0B" w:rsidRPr="00C36C8F" w:rsidRDefault="006301A4">
      <w:pPr>
        <w:pStyle w:val="Caption0"/>
        <w:keepNext/>
        <w:spacing w:after="120"/>
        <w:ind w:firstLine="0"/>
      </w:pPr>
      <w:r w:rsidRPr="00C36C8F">
        <w:rPr>
          <w:noProof/>
          <w:lang w:eastAsia="en-AU"/>
        </w:rPr>
        <w:drawing>
          <wp:inline distT="0" distB="0" distL="0" distR="0">
            <wp:extent cx="4800601" cy="1371600"/>
            <wp:effectExtent l="19050" t="0" r="0" b="0"/>
            <wp:docPr id="28" name="Picture 0" descr="Landfil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fill.emf"/>
                    <pic:cNvPicPr/>
                  </pic:nvPicPr>
                  <pic:blipFill>
                    <a:blip r:embed="rId20" cstate="print"/>
                    <a:stretch>
                      <a:fillRect/>
                    </a:stretch>
                  </pic:blipFill>
                  <pic:spPr>
                    <a:xfrm>
                      <a:off x="0" y="0"/>
                      <a:ext cx="4803764" cy="1372504"/>
                    </a:xfrm>
                    <a:prstGeom prst="rect">
                      <a:avLst/>
                    </a:prstGeom>
                  </pic:spPr>
                </pic:pic>
              </a:graphicData>
            </a:graphic>
          </wp:inline>
        </w:drawing>
      </w:r>
      <w:r w:rsidR="00A25DC2" w:rsidRPr="00C36C8F">
        <w:tab/>
      </w:r>
    </w:p>
    <w:p w:rsidR="00416F0B" w:rsidRPr="00C36C8F" w:rsidRDefault="00A25DC2">
      <w:pPr>
        <w:pStyle w:val="TableHeading"/>
        <w:tabs>
          <w:tab w:val="right" w:pos="7263"/>
        </w:tabs>
        <w:spacing w:after="0"/>
        <w:ind w:left="1134"/>
        <w:rPr>
          <w:sz w:val="20"/>
        </w:rPr>
      </w:pPr>
      <w:r w:rsidRPr="00C36C8F">
        <w:rPr>
          <w:sz w:val="20"/>
        </w:rPr>
        <w:t xml:space="preserve">Figure </w:t>
      </w:r>
      <w:r w:rsidR="00B9555F" w:rsidRPr="00C36C8F">
        <w:rPr>
          <w:sz w:val="20"/>
        </w:rPr>
        <w:fldChar w:fldCharType="begin"/>
      </w:r>
      <w:r w:rsidRPr="00C36C8F">
        <w:rPr>
          <w:sz w:val="20"/>
        </w:rPr>
        <w:instrText xml:space="preserve"> STYLEREF "_Heading1" \n </w:instrText>
      </w:r>
      <w:r w:rsidR="00B9555F" w:rsidRPr="00C36C8F">
        <w:rPr>
          <w:sz w:val="20"/>
        </w:rPr>
        <w:fldChar w:fldCharType="separate"/>
      </w:r>
      <w:r w:rsidR="00AE7E3B">
        <w:rPr>
          <w:noProof/>
          <w:sz w:val="20"/>
        </w:rPr>
        <w:t>3</w:t>
      </w:r>
      <w:r w:rsidR="00B9555F" w:rsidRPr="00C36C8F">
        <w:rPr>
          <w:sz w:val="20"/>
        </w:rPr>
        <w:fldChar w:fldCharType="end"/>
      </w:r>
      <w:r w:rsidRPr="00C36C8F">
        <w:rPr>
          <w:sz w:val="20"/>
        </w:rPr>
        <w:t>-</w:t>
      </w:r>
      <w:r w:rsidR="00B9555F" w:rsidRPr="00C36C8F">
        <w:rPr>
          <w:sz w:val="20"/>
        </w:rPr>
        <w:fldChar w:fldCharType="begin"/>
      </w:r>
      <w:r w:rsidRPr="00C36C8F">
        <w:rPr>
          <w:sz w:val="20"/>
        </w:rPr>
        <w:instrText xml:space="preserve"> SEQ Figure \* Arabic </w:instrText>
      </w:r>
      <w:r w:rsidR="00B9555F" w:rsidRPr="00C36C8F">
        <w:rPr>
          <w:sz w:val="20"/>
        </w:rPr>
        <w:fldChar w:fldCharType="separate"/>
      </w:r>
      <w:r w:rsidR="00AE7E3B">
        <w:rPr>
          <w:noProof/>
          <w:sz w:val="20"/>
        </w:rPr>
        <w:t>3</w:t>
      </w:r>
      <w:r w:rsidR="00B9555F" w:rsidRPr="00C36C8F">
        <w:rPr>
          <w:sz w:val="20"/>
        </w:rPr>
        <w:fldChar w:fldCharType="end"/>
      </w:r>
      <w:r w:rsidRPr="00C36C8F">
        <w:rPr>
          <w:sz w:val="20"/>
        </w:rPr>
        <w:t>: Mass flow of organic material in landfill</w:t>
      </w:r>
    </w:p>
    <w:p w:rsidR="00416F0B" w:rsidRPr="00C36C8F" w:rsidRDefault="00416F0B">
      <w:pPr>
        <w:pStyle w:val="TableHeading"/>
        <w:tabs>
          <w:tab w:val="right" w:pos="7263"/>
        </w:tabs>
        <w:spacing w:after="0"/>
        <w:ind w:left="1134"/>
        <w:rPr>
          <w:sz w:val="20"/>
          <w:highlight w:val="yellow"/>
        </w:rPr>
      </w:pPr>
    </w:p>
    <w:p w:rsidR="00F170A2" w:rsidRPr="00C36C8F" w:rsidRDefault="00F170A2">
      <w:pPr>
        <w:pStyle w:val="TableHeading"/>
        <w:tabs>
          <w:tab w:val="right" w:pos="7263"/>
        </w:tabs>
        <w:spacing w:after="0"/>
        <w:ind w:left="1134"/>
        <w:rPr>
          <w:sz w:val="20"/>
          <w:highlight w:val="yellow"/>
        </w:rPr>
      </w:pPr>
    </w:p>
    <w:p w:rsidR="00416F0B" w:rsidRPr="00C36C8F" w:rsidRDefault="00F170A2">
      <w:pPr>
        <w:pStyle w:val="ParaIndent"/>
        <w:keepNext/>
        <w:spacing w:after="120"/>
        <w:rPr>
          <w:highlight w:val="yellow"/>
        </w:rPr>
      </w:pPr>
      <w:r w:rsidRPr="00C36C8F">
        <w:rPr>
          <w:noProof/>
          <w:lang w:eastAsia="en-AU"/>
        </w:rPr>
        <w:drawing>
          <wp:inline distT="0" distB="0" distL="0" distR="0">
            <wp:extent cx="4939019" cy="218627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9175" cy="2186344"/>
                    </a:xfrm>
                    <a:prstGeom prst="rect">
                      <a:avLst/>
                    </a:prstGeom>
                    <a:noFill/>
                    <a:ln>
                      <a:noFill/>
                    </a:ln>
                  </pic:spPr>
                </pic:pic>
              </a:graphicData>
            </a:graphic>
          </wp:inline>
        </w:drawing>
      </w:r>
    </w:p>
    <w:p w:rsidR="00416F0B" w:rsidRPr="00C36C8F" w:rsidRDefault="00551734">
      <w:pPr>
        <w:pStyle w:val="TableHeading"/>
        <w:keepNext w:val="0"/>
        <w:tabs>
          <w:tab w:val="right" w:pos="7263"/>
        </w:tabs>
        <w:spacing w:after="0"/>
        <w:ind w:left="1134"/>
        <w:rPr>
          <w:sz w:val="20"/>
        </w:rPr>
      </w:pPr>
      <w:r w:rsidRPr="00C36C8F">
        <w:rPr>
          <w:sz w:val="20"/>
        </w:rPr>
        <w:t xml:space="preserve">Figure </w:t>
      </w:r>
      <w:r w:rsidR="00B9555F" w:rsidRPr="00C36C8F">
        <w:rPr>
          <w:sz w:val="20"/>
        </w:rPr>
        <w:fldChar w:fldCharType="begin"/>
      </w:r>
      <w:r w:rsidRPr="00C36C8F">
        <w:rPr>
          <w:sz w:val="20"/>
        </w:rPr>
        <w:instrText xml:space="preserve"> STYLEREF "_Heading1" \n </w:instrText>
      </w:r>
      <w:r w:rsidR="00B9555F" w:rsidRPr="00C36C8F">
        <w:rPr>
          <w:sz w:val="20"/>
        </w:rPr>
        <w:fldChar w:fldCharType="separate"/>
      </w:r>
      <w:r w:rsidR="00AE7E3B">
        <w:rPr>
          <w:noProof/>
          <w:sz w:val="20"/>
        </w:rPr>
        <w:t>3</w:t>
      </w:r>
      <w:r w:rsidR="00B9555F" w:rsidRPr="00C36C8F">
        <w:rPr>
          <w:sz w:val="20"/>
        </w:rPr>
        <w:fldChar w:fldCharType="end"/>
      </w:r>
      <w:r w:rsidRPr="00C36C8F">
        <w:rPr>
          <w:sz w:val="20"/>
        </w:rPr>
        <w:t>-</w:t>
      </w:r>
      <w:r w:rsidR="00B9555F" w:rsidRPr="00C36C8F">
        <w:rPr>
          <w:sz w:val="20"/>
        </w:rPr>
        <w:fldChar w:fldCharType="begin"/>
      </w:r>
      <w:r w:rsidRPr="00C36C8F">
        <w:rPr>
          <w:sz w:val="20"/>
        </w:rPr>
        <w:instrText xml:space="preserve"> SEQ Figure \* Arabic </w:instrText>
      </w:r>
      <w:r w:rsidR="00B9555F" w:rsidRPr="00C36C8F">
        <w:rPr>
          <w:sz w:val="20"/>
        </w:rPr>
        <w:fldChar w:fldCharType="separate"/>
      </w:r>
      <w:r w:rsidR="00AE7E3B">
        <w:rPr>
          <w:noProof/>
          <w:sz w:val="20"/>
        </w:rPr>
        <w:t>4</w:t>
      </w:r>
      <w:r w:rsidR="00B9555F" w:rsidRPr="00C36C8F">
        <w:rPr>
          <w:sz w:val="20"/>
        </w:rPr>
        <w:fldChar w:fldCharType="end"/>
      </w:r>
      <w:r w:rsidRPr="00C36C8F">
        <w:rPr>
          <w:sz w:val="20"/>
        </w:rPr>
        <w:t>:</w:t>
      </w:r>
      <w:r w:rsidR="002F2447" w:rsidRPr="00C36C8F">
        <w:rPr>
          <w:sz w:val="20"/>
        </w:rPr>
        <w:t xml:space="preserve"> </w:t>
      </w:r>
      <w:r w:rsidRPr="00C36C8F">
        <w:rPr>
          <w:sz w:val="20"/>
        </w:rPr>
        <w:t xml:space="preserve">Mass flow of organic material in an </w:t>
      </w:r>
      <w:r w:rsidR="0034700A" w:rsidRPr="00C36C8F">
        <w:rPr>
          <w:sz w:val="20"/>
        </w:rPr>
        <w:t xml:space="preserve">AWT </w:t>
      </w:r>
      <w:r w:rsidRPr="00C36C8F">
        <w:rPr>
          <w:sz w:val="20"/>
        </w:rPr>
        <w:t>anaerobic digester</w:t>
      </w:r>
    </w:p>
    <w:p w:rsidR="008574D4" w:rsidRPr="00C36C8F" w:rsidRDefault="008574D4">
      <w:pPr>
        <w:spacing w:after="0" w:line="240" w:lineRule="auto"/>
        <w:ind w:left="0"/>
        <w:rPr>
          <w:b/>
          <w:color w:val="495F70"/>
        </w:rPr>
      </w:pPr>
      <w:r w:rsidRPr="00C36C8F">
        <w:br w:type="page"/>
      </w:r>
    </w:p>
    <w:p w:rsidR="00416F0B" w:rsidRPr="00C36C8F" w:rsidRDefault="008916AC">
      <w:pPr>
        <w:pStyle w:val="Heading2"/>
        <w:rPr>
          <w:lang w:eastAsia="en-AU"/>
        </w:rPr>
      </w:pPr>
      <w:bookmarkStart w:id="70" w:name="_Toc301301798"/>
      <w:bookmarkStart w:id="71" w:name="_Toc301443324"/>
      <w:bookmarkStart w:id="72" w:name="_Ref295220177"/>
      <w:bookmarkStart w:id="73" w:name="_Toc325020100"/>
      <w:bookmarkStart w:id="74" w:name="_Toc305049748"/>
      <w:bookmarkEnd w:id="70"/>
      <w:bookmarkEnd w:id="71"/>
      <w:r w:rsidRPr="00C36C8F">
        <w:rPr>
          <w:lang w:eastAsia="en-AU"/>
        </w:rPr>
        <w:t>Waste streams</w:t>
      </w:r>
      <w:bookmarkEnd w:id="72"/>
      <w:bookmarkEnd w:id="73"/>
      <w:bookmarkEnd w:id="74"/>
    </w:p>
    <w:p w:rsidR="00416F0B" w:rsidRPr="00C36C8F" w:rsidRDefault="008574D4" w:rsidP="000413DC">
      <w:pPr>
        <w:pStyle w:val="Heading40"/>
        <w:spacing w:before="0"/>
        <w:jc w:val="both"/>
        <w:rPr>
          <w:lang w:eastAsia="en-AU"/>
        </w:rPr>
      </w:pPr>
      <w:r w:rsidRPr="00C36C8F">
        <w:rPr>
          <w:lang w:eastAsia="en-AU"/>
        </w:rPr>
        <w:t xml:space="preserve">Recommendation 7: The definitions in the </w:t>
      </w:r>
      <w:r w:rsidR="005338E9" w:rsidRPr="00C36C8F">
        <w:rPr>
          <w:i/>
          <w:lang w:eastAsia="en-AU"/>
        </w:rPr>
        <w:t xml:space="preserve">National Waste Report </w:t>
      </w:r>
      <w:r w:rsidR="00DC4A9E" w:rsidRPr="00D578CA">
        <w:rPr>
          <w:i/>
          <w:lang w:eastAsia="en-AU"/>
        </w:rPr>
        <w:t>2010</w:t>
      </w:r>
      <w:r w:rsidRPr="00C36C8F">
        <w:rPr>
          <w:lang w:eastAsia="en-AU"/>
        </w:rPr>
        <w:t xml:space="preserve"> for the three major solid waste streams should be used.</w:t>
      </w:r>
    </w:p>
    <w:p w:rsidR="006301A4" w:rsidRPr="00C36C8F" w:rsidRDefault="006301A4" w:rsidP="000413DC">
      <w:pPr>
        <w:pStyle w:val="ParaIndent"/>
        <w:jc w:val="both"/>
        <w:rPr>
          <w:lang w:eastAsia="en-AU"/>
        </w:rPr>
      </w:pPr>
      <w:r w:rsidRPr="00C36C8F">
        <w:rPr>
          <w:lang w:eastAsia="en-AU"/>
        </w:rPr>
        <w:t xml:space="preserve">Waste streams </w:t>
      </w:r>
      <w:r w:rsidR="00B44827" w:rsidRPr="00C36C8F">
        <w:rPr>
          <w:lang w:eastAsia="en-AU"/>
        </w:rPr>
        <w:t>(</w:t>
      </w:r>
      <w:r w:rsidR="0034700A" w:rsidRPr="00C36C8F">
        <w:rPr>
          <w:lang w:eastAsia="en-AU"/>
        </w:rPr>
        <w:t>also known as source sectors</w:t>
      </w:r>
      <w:r w:rsidR="00B44827" w:rsidRPr="00C36C8F">
        <w:rPr>
          <w:lang w:eastAsia="en-AU"/>
        </w:rPr>
        <w:t xml:space="preserve"> when referring </w:t>
      </w:r>
      <w:r w:rsidR="00D2182C" w:rsidRPr="00C36C8F">
        <w:rPr>
          <w:lang w:eastAsia="en-AU"/>
        </w:rPr>
        <w:t xml:space="preserve">more directly </w:t>
      </w:r>
      <w:r w:rsidR="00B44827" w:rsidRPr="00C36C8F">
        <w:rPr>
          <w:lang w:eastAsia="en-AU"/>
        </w:rPr>
        <w:t>to the sector origin</w:t>
      </w:r>
      <w:r w:rsidR="0034700A" w:rsidRPr="00C36C8F">
        <w:rPr>
          <w:lang w:eastAsia="en-AU"/>
        </w:rPr>
        <w:t>) indicate</w:t>
      </w:r>
      <w:r w:rsidR="007B3E9C" w:rsidRPr="00C36C8F">
        <w:rPr>
          <w:lang w:eastAsia="en-AU"/>
        </w:rPr>
        <w:t xml:space="preserve"> </w:t>
      </w:r>
      <w:r w:rsidRPr="00C36C8F">
        <w:rPr>
          <w:lang w:eastAsia="en-AU"/>
        </w:rPr>
        <w:t xml:space="preserve">the </w:t>
      </w:r>
      <w:r w:rsidR="0085576E" w:rsidRPr="00C36C8F">
        <w:rPr>
          <w:lang w:eastAsia="en-AU"/>
        </w:rPr>
        <w:t xml:space="preserve">general </w:t>
      </w:r>
      <w:r w:rsidRPr="00C36C8F">
        <w:rPr>
          <w:lang w:eastAsia="en-AU"/>
        </w:rPr>
        <w:t>source of waste material</w:t>
      </w:r>
      <w:r w:rsidR="0085576E" w:rsidRPr="00C36C8F">
        <w:rPr>
          <w:lang w:eastAsia="en-AU"/>
        </w:rPr>
        <w:t xml:space="preserve">, usually in terms of </w:t>
      </w:r>
      <w:r w:rsidR="007B3E9C" w:rsidRPr="00C36C8F">
        <w:rPr>
          <w:lang w:eastAsia="en-AU"/>
        </w:rPr>
        <w:t>MSW,</w:t>
      </w:r>
      <w:r w:rsidR="002D28D1" w:rsidRPr="00C36C8F">
        <w:rPr>
          <w:lang w:eastAsia="en-AU"/>
        </w:rPr>
        <w:t xml:space="preserve"> </w:t>
      </w:r>
      <w:r w:rsidR="0085576E" w:rsidRPr="00C36C8F">
        <w:rPr>
          <w:lang w:eastAsia="en-AU"/>
        </w:rPr>
        <w:t>C&amp;I and C&amp;D.</w:t>
      </w:r>
    </w:p>
    <w:p w:rsidR="006301A4" w:rsidRPr="00C36C8F" w:rsidRDefault="00472499" w:rsidP="000413DC">
      <w:pPr>
        <w:pStyle w:val="ParaIndent"/>
        <w:jc w:val="both"/>
        <w:rPr>
          <w:lang w:eastAsia="en-AU"/>
        </w:rPr>
      </w:pPr>
      <w:r w:rsidRPr="00C36C8F">
        <w:rPr>
          <w:lang w:eastAsia="en-AU"/>
        </w:rPr>
        <w:t>T</w:t>
      </w:r>
      <w:r w:rsidR="006301A4" w:rsidRPr="00C36C8F">
        <w:rPr>
          <w:lang w:eastAsia="en-AU"/>
        </w:rPr>
        <w:t xml:space="preserve">aking account of </w:t>
      </w:r>
      <w:r w:rsidR="001C1C28" w:rsidRPr="00C36C8F">
        <w:rPr>
          <w:lang w:eastAsia="en-AU"/>
        </w:rPr>
        <w:t xml:space="preserve">waste by </w:t>
      </w:r>
      <w:r w:rsidR="006301A4" w:rsidRPr="00C36C8F">
        <w:rPr>
          <w:lang w:eastAsia="en-AU"/>
        </w:rPr>
        <w:t>stream</w:t>
      </w:r>
      <w:r w:rsidR="001C1C28" w:rsidRPr="00C36C8F">
        <w:rPr>
          <w:lang w:eastAsia="en-AU"/>
        </w:rPr>
        <w:t>s</w:t>
      </w:r>
      <w:r w:rsidR="006301A4" w:rsidRPr="00C36C8F">
        <w:rPr>
          <w:lang w:eastAsia="en-AU"/>
        </w:rPr>
        <w:t xml:space="preserve"> is</w:t>
      </w:r>
      <w:r w:rsidRPr="00C36C8F">
        <w:rPr>
          <w:lang w:eastAsia="en-AU"/>
        </w:rPr>
        <w:t xml:space="preserve"> an important first step in</w:t>
      </w:r>
      <w:r w:rsidR="006301A4" w:rsidRPr="00C36C8F">
        <w:rPr>
          <w:lang w:eastAsia="en-AU"/>
        </w:rPr>
        <w:t xml:space="preserve"> establishing the composition of waste</w:t>
      </w:r>
      <w:r w:rsidRPr="00C36C8F">
        <w:rPr>
          <w:lang w:eastAsia="en-AU"/>
        </w:rPr>
        <w:t xml:space="preserve">. </w:t>
      </w:r>
      <w:r w:rsidR="006301A4" w:rsidRPr="00C36C8F">
        <w:rPr>
          <w:lang w:eastAsia="en-AU"/>
        </w:rPr>
        <w:t>Information on wast</w:t>
      </w:r>
      <w:r w:rsidRPr="00C36C8F">
        <w:rPr>
          <w:lang w:eastAsia="en-AU"/>
        </w:rPr>
        <w:t>e and recycling by waste stream</w:t>
      </w:r>
      <w:r w:rsidR="006301A4" w:rsidRPr="00C36C8F">
        <w:rPr>
          <w:lang w:eastAsia="en-AU"/>
        </w:rPr>
        <w:t xml:space="preserve"> also helps inform investment and infrastructure decisions made by industry and state, territory and local governments regarding collection and treatment facilities.</w:t>
      </w:r>
    </w:p>
    <w:p w:rsidR="0034700A" w:rsidRPr="00C36C8F" w:rsidRDefault="0034700A" w:rsidP="000413DC">
      <w:pPr>
        <w:pStyle w:val="ParaIndent"/>
        <w:jc w:val="both"/>
        <w:rPr>
          <w:lang w:eastAsia="en-AU"/>
        </w:rPr>
      </w:pPr>
      <w:r w:rsidRPr="00C36C8F">
        <w:rPr>
          <w:lang w:eastAsia="en-AU"/>
        </w:rPr>
        <w:t>However, from the perspective of trying to understand the environmental and resource consumption impact of waste and recycling, making a distinction between the points of generation of waste is less important than understanding the composition of waste.</w:t>
      </w:r>
    </w:p>
    <w:p w:rsidR="006301A4" w:rsidRPr="00C36C8F" w:rsidRDefault="006301A4" w:rsidP="000413DC">
      <w:pPr>
        <w:pStyle w:val="ParaIndent"/>
        <w:keepNext/>
        <w:jc w:val="both"/>
        <w:rPr>
          <w:lang w:eastAsia="en-AU"/>
        </w:rPr>
      </w:pPr>
      <w:r w:rsidRPr="00C36C8F">
        <w:rPr>
          <w:lang w:eastAsia="en-AU"/>
        </w:rPr>
        <w:t xml:space="preserve">The </w:t>
      </w:r>
      <w:r w:rsidRPr="00C36C8F">
        <w:rPr>
          <w:i/>
          <w:lang w:eastAsia="en-AU"/>
        </w:rPr>
        <w:t>National Waste Report 2010</w:t>
      </w:r>
      <w:r w:rsidRPr="00C36C8F">
        <w:rPr>
          <w:lang w:eastAsia="en-AU"/>
        </w:rPr>
        <w:t xml:space="preserve"> provides the following definitions as a guide for the three major solid waste streams:</w:t>
      </w:r>
    </w:p>
    <w:p w:rsidR="006301A4" w:rsidRPr="00C36C8F" w:rsidRDefault="002D28D1" w:rsidP="004B50A2">
      <w:pPr>
        <w:pStyle w:val="ParaIndent"/>
        <w:keepLines/>
        <w:numPr>
          <w:ilvl w:val="0"/>
          <w:numId w:val="26"/>
        </w:numPr>
        <w:ind w:left="1701" w:hanging="567"/>
        <w:jc w:val="both"/>
        <w:rPr>
          <w:lang w:eastAsia="en-AU"/>
        </w:rPr>
      </w:pPr>
      <w:r w:rsidRPr="00C36C8F">
        <w:rPr>
          <w:lang w:eastAsia="en-AU"/>
        </w:rPr>
        <w:t xml:space="preserve">Municipal solid waste (MSW) - </w:t>
      </w:r>
      <w:r w:rsidR="006301A4" w:rsidRPr="00C36C8F">
        <w:rPr>
          <w:lang w:eastAsia="en-AU"/>
        </w:rPr>
        <w:t>waste produced primarily by households and council facilities, including biodegradable material, recyclable materials such as bottles, paper, cardboard and aluminium cans, and a wide range of non-degradable material including paint, appliances, old furniture and household lighting.</w:t>
      </w:r>
    </w:p>
    <w:p w:rsidR="006301A4" w:rsidRPr="00C36C8F" w:rsidRDefault="006301A4" w:rsidP="004B50A2">
      <w:pPr>
        <w:pStyle w:val="ParaIndent"/>
        <w:keepLines/>
        <w:numPr>
          <w:ilvl w:val="0"/>
          <w:numId w:val="26"/>
        </w:numPr>
        <w:ind w:left="1701" w:hanging="567"/>
        <w:jc w:val="both"/>
        <w:rPr>
          <w:lang w:eastAsia="en-AU"/>
        </w:rPr>
      </w:pPr>
      <w:r w:rsidRPr="00C36C8F">
        <w:rPr>
          <w:lang w:eastAsia="en-AU"/>
        </w:rPr>
        <w:t>Commer</w:t>
      </w:r>
      <w:r w:rsidR="002D28D1" w:rsidRPr="00C36C8F">
        <w:rPr>
          <w:lang w:eastAsia="en-AU"/>
        </w:rPr>
        <w:t xml:space="preserve">cial and industrial (C&amp;I) waste - </w:t>
      </w:r>
      <w:r w:rsidRPr="00C36C8F">
        <w:rPr>
          <w:lang w:eastAsia="en-AU"/>
        </w:rPr>
        <w:t>waste that is produced by institutions and businesses; includes waste from schools, restaurants, offices, retail and wholesale businesses, and industries including manufacturing.</w:t>
      </w:r>
    </w:p>
    <w:p w:rsidR="006301A4" w:rsidRPr="00C36C8F" w:rsidRDefault="006301A4" w:rsidP="004B50A2">
      <w:pPr>
        <w:pStyle w:val="ParaIndent"/>
        <w:keepLines/>
        <w:numPr>
          <w:ilvl w:val="0"/>
          <w:numId w:val="26"/>
        </w:numPr>
        <w:ind w:left="1701" w:hanging="567"/>
        <w:jc w:val="both"/>
        <w:rPr>
          <w:lang w:eastAsia="en-AU"/>
        </w:rPr>
      </w:pPr>
      <w:r w:rsidRPr="00C36C8F">
        <w:rPr>
          <w:lang w:eastAsia="en-AU"/>
        </w:rPr>
        <w:t>Construc</w:t>
      </w:r>
      <w:r w:rsidR="002D28D1" w:rsidRPr="00C36C8F">
        <w:rPr>
          <w:lang w:eastAsia="en-AU"/>
        </w:rPr>
        <w:t>tion and demolition (C&amp;D) waste -</w:t>
      </w:r>
      <w:r w:rsidRPr="00C36C8F">
        <w:rPr>
          <w:lang w:eastAsia="en-AU"/>
        </w:rPr>
        <w:t xml:space="preserve"> refers to waste produced by demolition and building activities, including road and rail construction and maintenance and excavation of land associated with construction activities. The C&amp;D waste stream usually covers only some of the generation, disposal and recycling of C&amp;D wastes, as these materials can also be found in the MSW and C&amp;I streams, or as hazardous wastes.</w:t>
      </w:r>
    </w:p>
    <w:p w:rsidR="00416F0B" w:rsidRPr="00C36C8F" w:rsidRDefault="00ED3D18" w:rsidP="000413DC">
      <w:pPr>
        <w:pStyle w:val="ParaIndent"/>
        <w:keepNext/>
        <w:jc w:val="both"/>
      </w:pPr>
      <w:r w:rsidRPr="00C36C8F">
        <w:t>The term</w:t>
      </w:r>
      <w:r w:rsidR="00472499" w:rsidRPr="00C36C8F">
        <w:t>s waste stream and source sector are</w:t>
      </w:r>
      <w:r w:rsidRPr="00C36C8F">
        <w:t xml:space="preserve"> used throughout this report to refer to the three solid waste streams</w:t>
      </w:r>
      <w:r w:rsidR="004748FB" w:rsidRPr="00C36C8F">
        <w:t>, being</w:t>
      </w:r>
      <w:r w:rsidRPr="00C36C8F">
        <w:t xml:space="preserve"> </w:t>
      </w:r>
      <w:r w:rsidR="004748FB" w:rsidRPr="00C36C8F">
        <w:t xml:space="preserve">MSW, </w:t>
      </w:r>
      <w:r w:rsidRPr="00C36C8F">
        <w:t>C&amp;I and C&amp;D.</w:t>
      </w:r>
    </w:p>
    <w:p w:rsidR="00416F0B" w:rsidRPr="00C36C8F" w:rsidRDefault="00B44827" w:rsidP="000413DC">
      <w:pPr>
        <w:pStyle w:val="ParaIndent"/>
        <w:jc w:val="both"/>
      </w:pPr>
      <w:r w:rsidRPr="00C36C8F">
        <w:t xml:space="preserve">For states and territories where little or incomplete </w:t>
      </w:r>
      <w:r w:rsidR="00472499" w:rsidRPr="00C36C8F">
        <w:t>waste stream</w:t>
      </w:r>
      <w:r w:rsidR="00D64A05" w:rsidRPr="00C36C8F">
        <w:t xml:space="preserve"> data </w:t>
      </w:r>
      <w:r w:rsidRPr="00C36C8F">
        <w:t xml:space="preserve">was </w:t>
      </w:r>
      <w:r w:rsidR="00D64A05" w:rsidRPr="00C36C8F">
        <w:t>available for waste sent to landfill</w:t>
      </w:r>
      <w:r w:rsidR="00D2182C" w:rsidRPr="00C36C8F">
        <w:t>, typically linked with a lack of compositional data,</w:t>
      </w:r>
      <w:r w:rsidR="00D64A05" w:rsidRPr="00C36C8F">
        <w:t xml:space="preserve"> it was necessary to estimate the types of waste, and therefore the likely source sector generat</w:t>
      </w:r>
      <w:r w:rsidRPr="00C36C8F">
        <w:t xml:space="preserve">ing the waste. </w:t>
      </w:r>
    </w:p>
    <w:p w:rsidR="00416F0B" w:rsidRPr="00C36C8F" w:rsidRDefault="00B44827" w:rsidP="000413DC">
      <w:pPr>
        <w:pStyle w:val="ParaIndent"/>
        <w:jc w:val="both"/>
      </w:pPr>
      <w:r w:rsidRPr="00C36C8F">
        <w:t xml:space="preserve">This was done using </w:t>
      </w:r>
      <w:r w:rsidR="00D2182C" w:rsidRPr="00C36C8F">
        <w:t xml:space="preserve">either </w:t>
      </w:r>
      <w:r w:rsidRPr="00C36C8F">
        <w:t>reference landfill audits</w:t>
      </w:r>
      <w:r w:rsidR="00D64A05" w:rsidRPr="00C36C8F">
        <w:t xml:space="preserve"> tha</w:t>
      </w:r>
      <w:r w:rsidRPr="00C36C8F">
        <w:t>t have been conducted in various states</w:t>
      </w:r>
      <w:r w:rsidR="00680111" w:rsidRPr="00C36C8F">
        <w:t>, or subsequent jur</w:t>
      </w:r>
      <w:r w:rsidR="009D1B3D" w:rsidRPr="00C36C8F">
        <w:t>isdiction wide extrapolations</w:t>
      </w:r>
      <w:r w:rsidR="00680111" w:rsidRPr="00C36C8F">
        <w:t xml:space="preserve"> (based on actual audits) on waste compositions.</w:t>
      </w:r>
      <w:r w:rsidR="00D64A05" w:rsidRPr="00C36C8F">
        <w:t xml:space="preserve"> </w:t>
      </w:r>
      <w:r w:rsidRPr="00C36C8F">
        <w:t>These reference audits</w:t>
      </w:r>
      <w:r w:rsidR="007F3C0C" w:rsidRPr="00C36C8F">
        <w:t xml:space="preserve"> and analyse</w:t>
      </w:r>
      <w:r w:rsidR="00680111" w:rsidRPr="00C36C8F">
        <w:t>s</w:t>
      </w:r>
      <w:r w:rsidR="00D64A05" w:rsidRPr="00C36C8F">
        <w:t xml:space="preserve"> are listed in </w:t>
      </w:r>
      <w:fldSimple w:instr=" REF _Ref287336948 \h  \* MERGEFORMAT ">
        <w:r w:rsidR="00AE7E3B" w:rsidRPr="00C36C8F">
          <w:t xml:space="preserve">Table </w:t>
        </w:r>
        <w:r w:rsidR="00AE7E3B">
          <w:rPr>
            <w:noProof/>
          </w:rPr>
          <w:t>3</w:t>
        </w:r>
        <w:r w:rsidR="00AE7E3B" w:rsidRPr="00C36C8F">
          <w:rPr>
            <w:noProof/>
          </w:rPr>
          <w:t>-</w:t>
        </w:r>
        <w:r w:rsidR="00AE7E3B">
          <w:rPr>
            <w:noProof/>
          </w:rPr>
          <w:t>4</w:t>
        </w:r>
      </w:fldSimple>
      <w:r w:rsidR="00D64A05" w:rsidRPr="00C36C8F">
        <w:t>.</w:t>
      </w:r>
    </w:p>
    <w:p w:rsidR="00416F0B" w:rsidRPr="00C36C8F" w:rsidRDefault="00CE0BEC" w:rsidP="000413DC">
      <w:pPr>
        <w:pStyle w:val="ParaIndent"/>
        <w:jc w:val="both"/>
      </w:pPr>
      <w:r w:rsidRPr="00C36C8F">
        <w:t>For states and territories where only overall disposal to landfill was known, estimated national average source sector splits</w:t>
      </w:r>
      <w:r w:rsidR="00AA3E91" w:rsidRPr="00C36C8F">
        <w:t xml:space="preserve"> (and waste stream compositions)</w:t>
      </w:r>
      <w:r w:rsidRPr="00C36C8F">
        <w:t xml:space="preserve"> were calculated using the available audit data, and applied to the overall disposal figure to estimate the resp</w:t>
      </w:r>
      <w:r w:rsidR="00AA3E91" w:rsidRPr="00C36C8F">
        <w:t>ective waste stream quantities, and compositions.</w:t>
      </w:r>
      <w:r w:rsidR="005275D5" w:rsidRPr="00C36C8F">
        <w:t xml:space="preserve"> These average waste stream and compositional estimates</w:t>
      </w:r>
      <w:r w:rsidR="00EA2432" w:rsidRPr="00C36C8F">
        <w:t xml:space="preserve"> </w:t>
      </w:r>
      <w:r w:rsidR="009D1B3D" w:rsidRPr="00C36C8F">
        <w:t>(</w:t>
      </w:r>
      <w:r w:rsidR="00EA2432" w:rsidRPr="00C36C8F">
        <w:t xml:space="preserve">or national default values) </w:t>
      </w:r>
      <w:r w:rsidR="005275D5" w:rsidRPr="00C36C8F">
        <w:t>for Australia were calculated by aggregating the available audit results, with the state audit data firstly weighted against the population of the state/territory within which the audit occurred.</w:t>
      </w:r>
    </w:p>
    <w:p w:rsidR="00416F0B" w:rsidRPr="00C36C8F" w:rsidRDefault="005275D5" w:rsidP="000413DC">
      <w:pPr>
        <w:pStyle w:val="ParaIndent"/>
        <w:jc w:val="both"/>
      </w:pPr>
      <w:r w:rsidRPr="00C36C8F">
        <w:t>For states and territories for which waste stream data was unavailable but audit (compositional) data was available, the audit data was used to derive a waste to landfill compos</w:t>
      </w:r>
      <w:r w:rsidR="00EA2432" w:rsidRPr="00C36C8F">
        <w:t>ition for those jurisdictions. However, t</w:t>
      </w:r>
      <w:r w:rsidRPr="00C36C8F">
        <w:t>he estimated national average source sector splits were used to</w:t>
      </w:r>
      <w:r w:rsidR="00EA2432" w:rsidRPr="00C36C8F">
        <w:t xml:space="preserve"> estimate the respective waste stream quantities</w:t>
      </w:r>
      <w:r w:rsidRPr="00C36C8F">
        <w:t>.</w:t>
      </w:r>
    </w:p>
    <w:p w:rsidR="00416F0B" w:rsidRPr="00C36C8F" w:rsidRDefault="00D64A05" w:rsidP="000413DC">
      <w:pPr>
        <w:pStyle w:val="ParaIndent"/>
        <w:jc w:val="both"/>
      </w:pPr>
      <w:r w:rsidRPr="00C36C8F">
        <w:t xml:space="preserve">In calculating the </w:t>
      </w:r>
      <w:r w:rsidR="00EA2432" w:rsidRPr="00C36C8F">
        <w:t xml:space="preserve">average waste stream splits and </w:t>
      </w:r>
      <w:r w:rsidRPr="00C36C8F">
        <w:t xml:space="preserve">composition of waste to landfill, waste recorded as ‘other’ </w:t>
      </w:r>
      <w:r w:rsidR="00EA2432" w:rsidRPr="00C36C8F">
        <w:t xml:space="preserve">in audits </w:t>
      </w:r>
      <w:r w:rsidRPr="00C36C8F">
        <w:t>was excluded from calculations.</w:t>
      </w:r>
    </w:p>
    <w:p w:rsidR="00416F0B" w:rsidRPr="00C36C8F" w:rsidRDefault="00D64A05" w:rsidP="000413DC">
      <w:pPr>
        <w:pStyle w:val="ParaIndent"/>
        <w:jc w:val="both"/>
      </w:pPr>
      <w:r w:rsidRPr="00C36C8F">
        <w:t xml:space="preserve">It was necessary to decide the </w:t>
      </w:r>
      <w:r w:rsidR="00A41F3E" w:rsidRPr="00C36C8F">
        <w:t>degree of representativeness</w:t>
      </w:r>
      <w:r w:rsidRPr="00C36C8F">
        <w:t xml:space="preserve"> of each</w:t>
      </w:r>
      <w:r w:rsidR="00AA3E91" w:rsidRPr="00C36C8F">
        <w:t xml:space="preserve"> of the reference</w:t>
      </w:r>
      <w:r w:rsidRPr="00C36C8F">
        <w:t xml:space="preserve"> audit</w:t>
      </w:r>
      <w:r w:rsidR="007F3C0C" w:rsidRPr="00C36C8F">
        <w:t>s</w:t>
      </w:r>
      <w:r w:rsidRPr="00C36C8F">
        <w:t>. The following factors were considered:</w:t>
      </w:r>
      <w:r w:rsidR="00B44827" w:rsidRPr="00C36C8F">
        <w:t xml:space="preserve"> </w:t>
      </w:r>
    </w:p>
    <w:p w:rsidR="00416F0B" w:rsidRPr="00C36C8F" w:rsidRDefault="00D64A05" w:rsidP="000413DC">
      <w:pPr>
        <w:pStyle w:val="PointsBullets"/>
        <w:spacing w:after="180"/>
        <w:jc w:val="both"/>
      </w:pPr>
      <w:r w:rsidRPr="00C36C8F">
        <w:rPr>
          <w:i/>
        </w:rPr>
        <w:t>Scale</w:t>
      </w:r>
      <w:r w:rsidRPr="00C36C8F">
        <w:t xml:space="preserve"> - All</w:t>
      </w:r>
      <w:r w:rsidR="00AA3E91" w:rsidRPr="00C36C8F">
        <w:t xml:space="preserve"> audits were considered to be of</w:t>
      </w:r>
      <w:r w:rsidRPr="00C36C8F">
        <w:t xml:space="preserve"> a similar order of </w:t>
      </w:r>
      <w:r w:rsidR="00AA3E91" w:rsidRPr="00C36C8F">
        <w:t>magnitude</w:t>
      </w:r>
      <w:r w:rsidRPr="00C36C8F">
        <w:t>. Therefore, no audits were discounted on the basis of the quantity of waste audited</w:t>
      </w:r>
      <w:r w:rsidR="00D33DF9">
        <w:t>.</w:t>
      </w:r>
    </w:p>
    <w:p w:rsidR="00416F0B" w:rsidRPr="00C36C8F" w:rsidRDefault="00D64A05" w:rsidP="000413DC">
      <w:pPr>
        <w:pStyle w:val="PointsBullets"/>
        <w:spacing w:after="180"/>
        <w:jc w:val="both"/>
      </w:pPr>
      <w:r w:rsidRPr="00C36C8F">
        <w:rPr>
          <w:i/>
        </w:rPr>
        <w:t>Seasonality</w:t>
      </w:r>
      <w:r w:rsidRPr="00C36C8F">
        <w:t xml:space="preserve"> - The results were assessed for seasonal variation, espec</w:t>
      </w:r>
      <w:r w:rsidR="00AA3E91" w:rsidRPr="00C36C8F">
        <w:t>ially with respect to the quantity of garden and park waste</w:t>
      </w:r>
      <w:r w:rsidR="007F3C0C" w:rsidRPr="00C36C8F">
        <w:t>.</w:t>
      </w:r>
      <w:r w:rsidR="00AA3E91" w:rsidRPr="00C36C8F">
        <w:t xml:space="preserve"> </w:t>
      </w:r>
      <w:r w:rsidR="007F3C0C" w:rsidRPr="00C36C8F">
        <w:t>H</w:t>
      </w:r>
      <w:r w:rsidR="00AA3E91" w:rsidRPr="00C36C8F">
        <w:t>owever</w:t>
      </w:r>
      <w:r w:rsidR="007F3C0C" w:rsidRPr="00C36C8F">
        <w:t>,</w:t>
      </w:r>
      <w:r w:rsidR="00AA3E91" w:rsidRPr="00C36C8F">
        <w:t xml:space="preserve"> n</w:t>
      </w:r>
      <w:r w:rsidRPr="00C36C8F">
        <w:t>o obvious correlation</w:t>
      </w:r>
      <w:r w:rsidR="00AA3E91" w:rsidRPr="00C36C8F">
        <w:t xml:space="preserve"> wa</w:t>
      </w:r>
      <w:r w:rsidRPr="00C36C8F">
        <w:t>s apparent. The results are therefore considered to be representative of ann</w:t>
      </w:r>
      <w:r w:rsidR="009D259C">
        <w:t>ual waste received at landfills</w:t>
      </w:r>
      <w:r w:rsidR="00D33DF9">
        <w:t>.</w:t>
      </w:r>
    </w:p>
    <w:p w:rsidR="00416F0B" w:rsidRPr="00C36C8F" w:rsidRDefault="00D64A05" w:rsidP="000413DC">
      <w:pPr>
        <w:pStyle w:val="PointsBullets"/>
        <w:keepNext/>
        <w:keepLines/>
        <w:spacing w:after="180"/>
        <w:jc w:val="both"/>
      </w:pPr>
      <w:r w:rsidRPr="00C36C8F">
        <w:rPr>
          <w:i/>
        </w:rPr>
        <w:t>Location</w:t>
      </w:r>
      <w:r w:rsidR="00AA3E91" w:rsidRPr="00C36C8F">
        <w:t xml:space="preserve"> – The reference a</w:t>
      </w:r>
      <w:r w:rsidRPr="00C36C8F">
        <w:t>udits w</w:t>
      </w:r>
      <w:r w:rsidR="00AA3E91" w:rsidRPr="00C36C8F">
        <w:t>ere conducted across five jurisdictions</w:t>
      </w:r>
      <w:r w:rsidRPr="00C36C8F">
        <w:t>. Results from the two regional and metropolitan sites were compared, and no obvious correlation between location and waste composition was found. The results for metropolitan sites are therefore considered representative of both metropolitan and regional sites</w:t>
      </w:r>
      <w:r w:rsidR="00EE1638">
        <w:t>.</w:t>
      </w:r>
    </w:p>
    <w:p w:rsidR="00BC6271" w:rsidRPr="00C36C8F" w:rsidRDefault="00BC6271" w:rsidP="003018B4">
      <w:pPr>
        <w:pStyle w:val="ParaIndent"/>
        <w:keepLines/>
        <w:jc w:val="both"/>
      </w:pPr>
      <w:r w:rsidRPr="00C36C8F">
        <w:t>Estimated national averages (default values) were also calculated for recycling, both in terms of source sector splits and composition. This was done in part by calculating municipal waste generation from the average generation recorded for other jurisdictions. Municipal waste to landfill was then subtracted from this figure to provide an estimate of municipal recycling.</w:t>
      </w:r>
    </w:p>
    <w:p w:rsidR="00BC6271" w:rsidRPr="00C36C8F" w:rsidRDefault="00BC6271" w:rsidP="003018B4">
      <w:pPr>
        <w:pStyle w:val="ParaIndent"/>
        <w:keepLines/>
        <w:jc w:val="both"/>
      </w:pPr>
      <w:r w:rsidRPr="00C36C8F">
        <w:t>A reporting impact of this estimation approach, where used, is that the difference between the estimated municipal recycling and total recycling is reported as an aggregated C&amp;I and C&amp;D recycling figure, as it was not feasible to assume an average split for these two variable sectors.</w:t>
      </w:r>
    </w:p>
    <w:p w:rsidR="00416F0B" w:rsidRPr="00C36C8F" w:rsidRDefault="00BC6271" w:rsidP="003018B4">
      <w:pPr>
        <w:pStyle w:val="ParaIndent"/>
        <w:keepLines/>
        <w:jc w:val="both"/>
      </w:pPr>
      <w:r w:rsidRPr="00C36C8F">
        <w:t>Extensive detail on the sources of data, data collation assumptions and calculation methods for each state, is provided in tables in Section 4 of this report.</w:t>
      </w:r>
    </w:p>
    <w:p w:rsidR="00D64A05" w:rsidRPr="00C36C8F" w:rsidRDefault="00D64A05" w:rsidP="00D64A05">
      <w:pPr>
        <w:pStyle w:val="Caption"/>
      </w:pPr>
      <w:bookmarkStart w:id="75" w:name="_Ref287336948"/>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3</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4</w:t>
      </w:r>
      <w:r w:rsidR="00B9555F" w:rsidRPr="00C36C8F">
        <w:rPr>
          <w:noProof/>
        </w:rPr>
        <w:fldChar w:fldCharType="end"/>
      </w:r>
      <w:bookmarkEnd w:id="75"/>
      <w:r w:rsidRPr="00C36C8F">
        <w:tab/>
        <w:t>Audit data sources</w:t>
      </w:r>
    </w:p>
    <w:tbl>
      <w:tblPr>
        <w:tblW w:w="0" w:type="auto"/>
        <w:tblInd w:w="1134" w:type="dxa"/>
        <w:tblBorders>
          <w:bottom w:val="single" w:sz="18" w:space="0" w:color="808080"/>
          <w:insideH w:val="single" w:sz="4" w:space="0" w:color="808080"/>
        </w:tblBorders>
        <w:tblLayout w:type="fixed"/>
        <w:tblCellMar>
          <w:left w:w="0" w:type="dxa"/>
          <w:right w:w="0" w:type="dxa"/>
        </w:tblCellMar>
        <w:tblLook w:val="01E0"/>
      </w:tblPr>
      <w:tblGrid>
        <w:gridCol w:w="1985"/>
        <w:gridCol w:w="6520"/>
      </w:tblGrid>
      <w:tr w:rsidR="00D64A05" w:rsidRPr="00C36C8F" w:rsidTr="007F585E">
        <w:tc>
          <w:tcPr>
            <w:tcW w:w="1985" w:type="dxa"/>
            <w:tcBorders>
              <w:bottom w:val="single" w:sz="4" w:space="0" w:color="808080"/>
            </w:tcBorders>
            <w:shd w:val="clear" w:color="auto" w:fill="auto"/>
          </w:tcPr>
          <w:p w:rsidR="00D64A05" w:rsidRPr="00C36C8F" w:rsidRDefault="00D64A05" w:rsidP="007F585E">
            <w:pPr>
              <w:pStyle w:val="TableHeading"/>
              <w:rPr>
                <w:kern w:val="28"/>
              </w:rPr>
            </w:pPr>
            <w:r w:rsidRPr="00C36C8F">
              <w:rPr>
                <w:kern w:val="28"/>
              </w:rPr>
              <w:t>Source sector</w:t>
            </w:r>
          </w:p>
        </w:tc>
        <w:tc>
          <w:tcPr>
            <w:tcW w:w="6520" w:type="dxa"/>
            <w:tcBorders>
              <w:bottom w:val="single" w:sz="4" w:space="0" w:color="808080"/>
            </w:tcBorders>
            <w:shd w:val="clear" w:color="auto" w:fill="auto"/>
          </w:tcPr>
          <w:p w:rsidR="00D64A05" w:rsidRPr="00C36C8F" w:rsidRDefault="00D64A05" w:rsidP="007F585E">
            <w:pPr>
              <w:pStyle w:val="TableHeading"/>
              <w:rPr>
                <w:kern w:val="28"/>
              </w:rPr>
            </w:pPr>
            <w:r w:rsidRPr="00C36C8F">
              <w:rPr>
                <w:kern w:val="28"/>
              </w:rPr>
              <w:t>Report</w:t>
            </w:r>
          </w:p>
        </w:tc>
      </w:tr>
      <w:tr w:rsidR="00D64A05" w:rsidRPr="00C36C8F" w:rsidTr="007F585E">
        <w:tc>
          <w:tcPr>
            <w:tcW w:w="1985" w:type="dxa"/>
            <w:shd w:val="clear" w:color="auto" w:fill="auto"/>
            <w:vAlign w:val="center"/>
          </w:tcPr>
          <w:p w:rsidR="00D64A05" w:rsidRPr="00C36C8F" w:rsidRDefault="00D64A05" w:rsidP="007F585E">
            <w:pPr>
              <w:pStyle w:val="TablePointsAlpha"/>
              <w:keepNext/>
              <w:numPr>
                <w:ilvl w:val="0"/>
                <w:numId w:val="0"/>
              </w:numPr>
            </w:pPr>
            <w:r w:rsidRPr="00C36C8F">
              <w:t>Municipal, C&amp;I, C&amp;D</w:t>
            </w:r>
          </w:p>
        </w:tc>
        <w:tc>
          <w:tcPr>
            <w:tcW w:w="6520" w:type="dxa"/>
            <w:shd w:val="clear" w:color="auto" w:fill="auto"/>
            <w:vAlign w:val="center"/>
          </w:tcPr>
          <w:p w:rsidR="00D64A05" w:rsidRPr="00C36C8F" w:rsidRDefault="00D64A05" w:rsidP="007F585E">
            <w:pPr>
              <w:pStyle w:val="TablePointsAlpha"/>
              <w:keepNext/>
              <w:numPr>
                <w:ilvl w:val="0"/>
                <w:numId w:val="0"/>
              </w:numPr>
            </w:pPr>
            <w:r w:rsidRPr="00C36C8F">
              <w:t xml:space="preserve">Waste Audit and Consultancy Services and Golder Associates (2005) </w:t>
            </w:r>
            <w:r w:rsidRPr="00C36C8F">
              <w:rPr>
                <w:i/>
              </w:rPr>
              <w:t>Disposal based waste survey</w:t>
            </w:r>
            <w:r w:rsidRPr="00C36C8F">
              <w:t>, prepared for Sustainability Victoria</w:t>
            </w:r>
          </w:p>
        </w:tc>
      </w:tr>
      <w:tr w:rsidR="00D64A05" w:rsidRPr="00C36C8F" w:rsidTr="007F585E">
        <w:tc>
          <w:tcPr>
            <w:tcW w:w="1985" w:type="dxa"/>
            <w:shd w:val="clear" w:color="auto" w:fill="auto"/>
            <w:vAlign w:val="center"/>
          </w:tcPr>
          <w:p w:rsidR="00D64A05" w:rsidRPr="00C36C8F" w:rsidRDefault="00D64A05" w:rsidP="007F585E">
            <w:pPr>
              <w:pStyle w:val="TablePointsAlpha"/>
              <w:keepNext/>
              <w:numPr>
                <w:ilvl w:val="0"/>
                <w:numId w:val="0"/>
              </w:numPr>
            </w:pPr>
            <w:r w:rsidRPr="00C36C8F">
              <w:t>Municipal &amp; C&amp;I</w:t>
            </w:r>
          </w:p>
        </w:tc>
        <w:tc>
          <w:tcPr>
            <w:tcW w:w="6520" w:type="dxa"/>
            <w:shd w:val="clear" w:color="auto" w:fill="auto"/>
            <w:vAlign w:val="center"/>
          </w:tcPr>
          <w:p w:rsidR="00D64A05" w:rsidRPr="00C36C8F" w:rsidRDefault="00D64A05" w:rsidP="007F585E">
            <w:pPr>
              <w:pStyle w:val="TablePointsAlpha"/>
              <w:keepNext/>
              <w:numPr>
                <w:ilvl w:val="0"/>
                <w:numId w:val="0"/>
              </w:numPr>
            </w:pPr>
            <w:r w:rsidRPr="00C36C8F">
              <w:t xml:space="preserve">Department of Environment and Conservation NSW (2005) </w:t>
            </w:r>
            <w:r w:rsidRPr="00C36C8F">
              <w:rPr>
                <w:i/>
              </w:rPr>
              <w:t>Garbage bag compositional analysis</w:t>
            </w:r>
            <w:r w:rsidRPr="00C36C8F">
              <w:t>.</w:t>
            </w:r>
          </w:p>
        </w:tc>
      </w:tr>
      <w:tr w:rsidR="00D64A05" w:rsidRPr="00C36C8F" w:rsidTr="007F585E">
        <w:tc>
          <w:tcPr>
            <w:tcW w:w="1985" w:type="dxa"/>
            <w:tcBorders>
              <w:top w:val="single" w:sz="4" w:space="0" w:color="808080"/>
              <w:bottom w:val="single" w:sz="4" w:space="0" w:color="808080" w:themeColor="background1" w:themeShade="80"/>
            </w:tcBorders>
            <w:shd w:val="clear" w:color="auto" w:fill="auto"/>
            <w:vAlign w:val="center"/>
          </w:tcPr>
          <w:p w:rsidR="00D64A05" w:rsidRPr="00C36C8F" w:rsidRDefault="00D64A05" w:rsidP="007F585E">
            <w:pPr>
              <w:pStyle w:val="TablePointsAlpha"/>
              <w:keepNext/>
              <w:numPr>
                <w:ilvl w:val="0"/>
                <w:numId w:val="0"/>
              </w:numPr>
            </w:pPr>
            <w:r w:rsidRPr="00C36C8F">
              <w:t>Municipal</w:t>
            </w:r>
          </w:p>
        </w:tc>
        <w:tc>
          <w:tcPr>
            <w:tcW w:w="6520" w:type="dxa"/>
            <w:tcBorders>
              <w:top w:val="single" w:sz="4" w:space="0" w:color="808080"/>
              <w:bottom w:val="single" w:sz="4" w:space="0" w:color="808080" w:themeColor="background1" w:themeShade="80"/>
            </w:tcBorders>
            <w:shd w:val="clear" w:color="auto" w:fill="auto"/>
            <w:vAlign w:val="center"/>
          </w:tcPr>
          <w:p w:rsidR="00D64A05" w:rsidRPr="00C36C8F" w:rsidRDefault="00D64A05" w:rsidP="007F585E">
            <w:pPr>
              <w:pStyle w:val="TablePointsAlpha"/>
              <w:keepNext/>
              <w:numPr>
                <w:ilvl w:val="0"/>
                <w:numId w:val="0"/>
              </w:numPr>
            </w:pPr>
            <w:r w:rsidRPr="00C36C8F">
              <w:t xml:space="preserve">APC Environmental Management (2007) </w:t>
            </w:r>
            <w:r w:rsidRPr="00C36C8F">
              <w:rPr>
                <w:i/>
              </w:rPr>
              <w:t>Domestic waste audit</w:t>
            </w:r>
            <w:r w:rsidRPr="00C36C8F">
              <w:t>, prepared for Thiess Services and ACT NoWaste</w:t>
            </w:r>
          </w:p>
        </w:tc>
      </w:tr>
      <w:tr w:rsidR="00D64A05" w:rsidRPr="00C36C8F" w:rsidTr="007F585E">
        <w:tc>
          <w:tcPr>
            <w:tcW w:w="1985" w:type="dxa"/>
            <w:shd w:val="clear" w:color="auto" w:fill="auto"/>
            <w:vAlign w:val="center"/>
          </w:tcPr>
          <w:p w:rsidR="00D64A05" w:rsidRPr="00C36C8F" w:rsidRDefault="00D64A05" w:rsidP="007F585E">
            <w:pPr>
              <w:pStyle w:val="TablePointsAlpha"/>
              <w:keepNext/>
              <w:numPr>
                <w:ilvl w:val="0"/>
                <w:numId w:val="0"/>
              </w:numPr>
            </w:pPr>
            <w:r w:rsidRPr="00C36C8F">
              <w:t>Municipal</w:t>
            </w:r>
          </w:p>
        </w:tc>
        <w:tc>
          <w:tcPr>
            <w:tcW w:w="6520" w:type="dxa"/>
            <w:shd w:val="clear" w:color="auto" w:fill="auto"/>
            <w:vAlign w:val="center"/>
          </w:tcPr>
          <w:p w:rsidR="00D64A05" w:rsidRPr="00C36C8F" w:rsidRDefault="00D64A05" w:rsidP="007F585E">
            <w:pPr>
              <w:pStyle w:val="TablePointsAlpha"/>
              <w:keepNext/>
              <w:numPr>
                <w:ilvl w:val="0"/>
                <w:numId w:val="0"/>
              </w:numPr>
            </w:pPr>
            <w:r w:rsidRPr="00C36C8F">
              <w:t xml:space="preserve">Department of Environment and Climate Change NSW (2004) </w:t>
            </w:r>
            <w:r w:rsidRPr="00C36C8F">
              <w:rPr>
                <w:i/>
              </w:rPr>
              <w:t>Getting more from our recycling systems: assessment of domestic waste and recycling systems</w:t>
            </w:r>
            <w:r w:rsidRPr="00C36C8F">
              <w:t xml:space="preserve">, prepared by Nolan ITU </w:t>
            </w:r>
          </w:p>
        </w:tc>
      </w:tr>
      <w:tr w:rsidR="00D64A05" w:rsidRPr="00C36C8F" w:rsidTr="007F585E">
        <w:tc>
          <w:tcPr>
            <w:tcW w:w="1985" w:type="dxa"/>
            <w:shd w:val="clear" w:color="auto" w:fill="auto"/>
            <w:vAlign w:val="center"/>
          </w:tcPr>
          <w:p w:rsidR="00D64A05" w:rsidRPr="00C36C8F" w:rsidRDefault="00D64A05" w:rsidP="007F585E">
            <w:pPr>
              <w:pStyle w:val="TablePointsAlpha"/>
              <w:keepNext/>
              <w:numPr>
                <w:ilvl w:val="0"/>
                <w:numId w:val="0"/>
              </w:numPr>
            </w:pPr>
            <w:r w:rsidRPr="00C36C8F">
              <w:t>Municipal</w:t>
            </w:r>
          </w:p>
        </w:tc>
        <w:tc>
          <w:tcPr>
            <w:tcW w:w="6520" w:type="dxa"/>
            <w:shd w:val="clear" w:color="auto" w:fill="auto"/>
            <w:vAlign w:val="center"/>
          </w:tcPr>
          <w:p w:rsidR="00D64A05" w:rsidRPr="00C36C8F" w:rsidRDefault="00D64A05" w:rsidP="007F585E">
            <w:pPr>
              <w:pStyle w:val="TablePointsAlpha"/>
              <w:keepNext/>
              <w:numPr>
                <w:ilvl w:val="0"/>
                <w:numId w:val="0"/>
              </w:numPr>
            </w:pPr>
            <w:r w:rsidRPr="00C36C8F">
              <w:t xml:space="preserve">Hyder Consulting (2008) </w:t>
            </w:r>
            <w:r w:rsidRPr="00C36C8F">
              <w:rPr>
                <w:i/>
              </w:rPr>
              <w:t>Kerbside waste audit data analysis and audit template</w:t>
            </w:r>
            <w:r w:rsidRPr="00C36C8F">
              <w:t>, prepared for Sustainability Victoria</w:t>
            </w:r>
          </w:p>
        </w:tc>
      </w:tr>
      <w:tr w:rsidR="00D64A05" w:rsidRPr="00C36C8F" w:rsidTr="007F585E">
        <w:tc>
          <w:tcPr>
            <w:tcW w:w="1985" w:type="dxa"/>
            <w:shd w:val="clear" w:color="auto" w:fill="auto"/>
            <w:vAlign w:val="center"/>
          </w:tcPr>
          <w:p w:rsidR="00D64A05" w:rsidRPr="00C36C8F" w:rsidRDefault="00D64A05" w:rsidP="007F585E">
            <w:pPr>
              <w:pStyle w:val="TablePointsAlpha"/>
              <w:keepNext/>
              <w:numPr>
                <w:ilvl w:val="0"/>
                <w:numId w:val="0"/>
              </w:numPr>
            </w:pPr>
            <w:r w:rsidRPr="00C36C8F">
              <w:t>Municipal</w:t>
            </w:r>
          </w:p>
        </w:tc>
        <w:tc>
          <w:tcPr>
            <w:tcW w:w="6520" w:type="dxa"/>
            <w:shd w:val="clear" w:color="auto" w:fill="auto"/>
            <w:vAlign w:val="center"/>
          </w:tcPr>
          <w:p w:rsidR="00D64A05" w:rsidRPr="00C36C8F" w:rsidRDefault="00D64A05" w:rsidP="007F585E">
            <w:pPr>
              <w:pStyle w:val="TablePointsAlpha"/>
              <w:keepNext/>
              <w:numPr>
                <w:ilvl w:val="0"/>
                <w:numId w:val="0"/>
              </w:numPr>
            </w:pPr>
            <w:r w:rsidRPr="00C36C8F">
              <w:t xml:space="preserve">Murdoch University (1999) </w:t>
            </w:r>
            <w:r w:rsidRPr="00C36C8F">
              <w:rPr>
                <w:i/>
              </w:rPr>
              <w:t>Domestic waste analysis</w:t>
            </w:r>
            <w:r w:rsidRPr="00C36C8F">
              <w:t>, prepared for the City of Stirling</w:t>
            </w:r>
          </w:p>
        </w:tc>
      </w:tr>
      <w:tr w:rsidR="00D64A05" w:rsidRPr="00C36C8F" w:rsidTr="007F585E">
        <w:tc>
          <w:tcPr>
            <w:tcW w:w="1985" w:type="dxa"/>
            <w:tcBorders>
              <w:bottom w:val="single" w:sz="4" w:space="0" w:color="808080"/>
            </w:tcBorders>
            <w:shd w:val="clear" w:color="auto" w:fill="auto"/>
            <w:vAlign w:val="center"/>
          </w:tcPr>
          <w:p w:rsidR="00D64A05" w:rsidRPr="00C36C8F" w:rsidRDefault="00D64A05" w:rsidP="007F585E">
            <w:pPr>
              <w:pStyle w:val="TablePointsAlpha"/>
              <w:keepNext/>
              <w:numPr>
                <w:ilvl w:val="0"/>
                <w:numId w:val="0"/>
              </w:numPr>
            </w:pPr>
            <w:r w:rsidRPr="00C36C8F">
              <w:t>Municipal</w:t>
            </w:r>
          </w:p>
        </w:tc>
        <w:tc>
          <w:tcPr>
            <w:tcW w:w="6520" w:type="dxa"/>
            <w:tcBorders>
              <w:bottom w:val="single" w:sz="4" w:space="0" w:color="808080"/>
            </w:tcBorders>
            <w:shd w:val="clear" w:color="auto" w:fill="auto"/>
            <w:vAlign w:val="center"/>
          </w:tcPr>
          <w:p w:rsidR="00D64A05" w:rsidRPr="00C36C8F" w:rsidRDefault="00D64A05" w:rsidP="007F585E">
            <w:pPr>
              <w:pStyle w:val="TablePointsAlpha"/>
              <w:keepNext/>
              <w:numPr>
                <w:ilvl w:val="0"/>
                <w:numId w:val="0"/>
              </w:numPr>
            </w:pPr>
            <w:r w:rsidRPr="00C36C8F">
              <w:t xml:space="preserve">Waste Audit and Consultancy Services and Nolan ITU (2002) </w:t>
            </w:r>
            <w:r w:rsidRPr="00C36C8F">
              <w:rPr>
                <w:i/>
              </w:rPr>
              <w:t>Survey and Audit of Kerbside Waste and Recycling Practices and Recommended Kerbside Service Standards</w:t>
            </w:r>
            <w:r w:rsidRPr="00C36C8F">
              <w:t>, prepared for the Environment Protection Authority (South Australia)</w:t>
            </w:r>
          </w:p>
        </w:tc>
      </w:tr>
      <w:tr w:rsidR="00D64A05" w:rsidRPr="00C36C8F" w:rsidTr="007F585E">
        <w:tc>
          <w:tcPr>
            <w:tcW w:w="1985" w:type="dxa"/>
            <w:shd w:val="clear" w:color="auto" w:fill="auto"/>
            <w:vAlign w:val="center"/>
          </w:tcPr>
          <w:p w:rsidR="00D64A05" w:rsidRPr="00C36C8F" w:rsidRDefault="00D64A05" w:rsidP="007F585E">
            <w:pPr>
              <w:pStyle w:val="TablePointsAlpha"/>
              <w:keepNext/>
              <w:numPr>
                <w:ilvl w:val="0"/>
                <w:numId w:val="0"/>
              </w:numPr>
            </w:pPr>
            <w:r w:rsidRPr="00C36C8F">
              <w:t>C&amp;I, C&amp;D</w:t>
            </w:r>
          </w:p>
        </w:tc>
        <w:tc>
          <w:tcPr>
            <w:tcW w:w="6520" w:type="dxa"/>
            <w:shd w:val="clear" w:color="auto" w:fill="auto"/>
            <w:vAlign w:val="center"/>
          </w:tcPr>
          <w:p w:rsidR="00D64A05" w:rsidRPr="00C36C8F" w:rsidRDefault="00D64A05" w:rsidP="007F585E">
            <w:pPr>
              <w:pStyle w:val="TablePointsAlpha"/>
              <w:keepNext/>
              <w:numPr>
                <w:ilvl w:val="0"/>
                <w:numId w:val="0"/>
              </w:numPr>
            </w:pPr>
            <w:r w:rsidRPr="00C36C8F">
              <w:t xml:space="preserve">Golder Associates Pty Ltd &amp; Waste Audit &amp; Consultancy Services (Aust) Pty Ltd (2007) </w:t>
            </w:r>
            <w:r w:rsidRPr="00C36C8F">
              <w:rPr>
                <w:i/>
              </w:rPr>
              <w:t>Disposal based audits of the C&amp;I and C&amp;D waste streams</w:t>
            </w:r>
            <w:r w:rsidRPr="00C36C8F">
              <w:t>, prepared for the Department of Environment and Conservation (WA)</w:t>
            </w:r>
          </w:p>
        </w:tc>
      </w:tr>
      <w:tr w:rsidR="00D64A05" w:rsidRPr="00C36C8F" w:rsidTr="007F585E">
        <w:tc>
          <w:tcPr>
            <w:tcW w:w="1985" w:type="dxa"/>
            <w:tcBorders>
              <w:top w:val="single" w:sz="4" w:space="0" w:color="808080"/>
              <w:bottom w:val="single" w:sz="4" w:space="0" w:color="808080" w:themeColor="background1" w:themeShade="80"/>
            </w:tcBorders>
            <w:shd w:val="clear" w:color="auto" w:fill="auto"/>
            <w:vAlign w:val="center"/>
          </w:tcPr>
          <w:p w:rsidR="00D64A05" w:rsidRPr="00C36C8F" w:rsidRDefault="00D64A05" w:rsidP="007F585E">
            <w:pPr>
              <w:pStyle w:val="TablePointsAlpha"/>
              <w:numPr>
                <w:ilvl w:val="0"/>
                <w:numId w:val="0"/>
              </w:numPr>
            </w:pPr>
            <w:r w:rsidRPr="00C36C8F">
              <w:t>C&amp;I, C&amp;D</w:t>
            </w:r>
          </w:p>
        </w:tc>
        <w:tc>
          <w:tcPr>
            <w:tcW w:w="6520" w:type="dxa"/>
            <w:tcBorders>
              <w:top w:val="single" w:sz="4" w:space="0" w:color="808080"/>
              <w:bottom w:val="single" w:sz="4" w:space="0" w:color="808080" w:themeColor="background1" w:themeShade="80"/>
            </w:tcBorders>
            <w:shd w:val="clear" w:color="auto" w:fill="auto"/>
            <w:vAlign w:val="center"/>
          </w:tcPr>
          <w:p w:rsidR="00D64A05" w:rsidRPr="00C36C8F" w:rsidRDefault="00D64A05" w:rsidP="007F585E">
            <w:pPr>
              <w:pStyle w:val="TablePointsAlpha"/>
              <w:numPr>
                <w:ilvl w:val="0"/>
                <w:numId w:val="0"/>
              </w:numPr>
            </w:pPr>
            <w:r w:rsidRPr="00C36C8F">
              <w:t xml:space="preserve">Zero Waste SA (2007) </w:t>
            </w:r>
            <w:r w:rsidRPr="00C36C8F">
              <w:rPr>
                <w:i/>
              </w:rPr>
              <w:t>Disposal based survey</w:t>
            </w:r>
            <w:r w:rsidRPr="00C36C8F">
              <w:t>, prepared by Waste Audit and Consultancy Services (Aust) Pty Ltd</w:t>
            </w:r>
          </w:p>
        </w:tc>
      </w:tr>
      <w:tr w:rsidR="00D64A05" w:rsidRPr="00C36C8F" w:rsidTr="007F585E">
        <w:tc>
          <w:tcPr>
            <w:tcW w:w="1985" w:type="dxa"/>
            <w:tcBorders>
              <w:bottom w:val="single" w:sz="4" w:space="0" w:color="808080"/>
            </w:tcBorders>
            <w:shd w:val="clear" w:color="auto" w:fill="auto"/>
            <w:vAlign w:val="center"/>
          </w:tcPr>
          <w:p w:rsidR="00D64A05" w:rsidRPr="00C36C8F" w:rsidRDefault="00D64A05" w:rsidP="007F585E">
            <w:pPr>
              <w:pStyle w:val="TablePointsAlpha"/>
              <w:keepNext/>
              <w:numPr>
                <w:ilvl w:val="0"/>
                <w:numId w:val="0"/>
              </w:numPr>
            </w:pPr>
            <w:r w:rsidRPr="00C36C8F">
              <w:t>C&amp;I</w:t>
            </w:r>
          </w:p>
        </w:tc>
        <w:tc>
          <w:tcPr>
            <w:tcW w:w="6520" w:type="dxa"/>
            <w:tcBorders>
              <w:bottom w:val="single" w:sz="4" w:space="0" w:color="808080"/>
            </w:tcBorders>
            <w:shd w:val="clear" w:color="auto" w:fill="auto"/>
            <w:vAlign w:val="center"/>
          </w:tcPr>
          <w:p w:rsidR="00D64A05" w:rsidRPr="00C36C8F" w:rsidRDefault="00D64A05" w:rsidP="007F585E">
            <w:pPr>
              <w:pStyle w:val="TablePointsAlpha"/>
              <w:keepNext/>
              <w:numPr>
                <w:ilvl w:val="0"/>
                <w:numId w:val="0"/>
              </w:numPr>
            </w:pPr>
            <w:r w:rsidRPr="00C36C8F">
              <w:t xml:space="preserve">Department of Environment, Climate Change and Water NSW (2008) </w:t>
            </w:r>
            <w:r w:rsidRPr="00C36C8F">
              <w:rPr>
                <w:i/>
              </w:rPr>
              <w:t>Disposal based survey of the commercial and industrial waste stream in Sydney</w:t>
            </w:r>
          </w:p>
        </w:tc>
      </w:tr>
      <w:tr w:rsidR="00D64A05" w:rsidRPr="00C36C8F" w:rsidTr="007F585E">
        <w:tc>
          <w:tcPr>
            <w:tcW w:w="1985" w:type="dxa"/>
            <w:tcBorders>
              <w:top w:val="single" w:sz="4" w:space="0" w:color="808080"/>
              <w:bottom w:val="single" w:sz="4" w:space="0" w:color="808080" w:themeColor="background1" w:themeShade="80"/>
            </w:tcBorders>
            <w:shd w:val="clear" w:color="auto" w:fill="auto"/>
            <w:vAlign w:val="center"/>
          </w:tcPr>
          <w:p w:rsidR="00D64A05" w:rsidRPr="00C36C8F" w:rsidRDefault="00D64A05" w:rsidP="007F585E">
            <w:pPr>
              <w:pStyle w:val="TablePointsAlpha"/>
              <w:keepNext/>
              <w:numPr>
                <w:ilvl w:val="0"/>
                <w:numId w:val="0"/>
              </w:numPr>
            </w:pPr>
            <w:r w:rsidRPr="00C36C8F">
              <w:t>C&amp;D</w:t>
            </w:r>
          </w:p>
        </w:tc>
        <w:tc>
          <w:tcPr>
            <w:tcW w:w="6520" w:type="dxa"/>
            <w:tcBorders>
              <w:top w:val="single" w:sz="4" w:space="0" w:color="808080"/>
              <w:bottom w:val="single" w:sz="4" w:space="0" w:color="808080" w:themeColor="background1" w:themeShade="80"/>
            </w:tcBorders>
            <w:shd w:val="clear" w:color="auto" w:fill="auto"/>
            <w:vAlign w:val="center"/>
          </w:tcPr>
          <w:p w:rsidR="00D64A05" w:rsidRPr="00C36C8F" w:rsidRDefault="00D64A05" w:rsidP="007F585E">
            <w:pPr>
              <w:pStyle w:val="TablePointsAlpha"/>
              <w:keepNext/>
              <w:numPr>
                <w:ilvl w:val="0"/>
                <w:numId w:val="0"/>
              </w:numPr>
            </w:pPr>
            <w:r w:rsidRPr="00C36C8F">
              <w:t xml:space="preserve">Department of Environment and Climate Change NSW (2007) </w:t>
            </w:r>
            <w:r w:rsidRPr="00C36C8F">
              <w:rPr>
                <w:i/>
              </w:rPr>
              <w:t>Report into the construction and demolition waste stream audit 2000-2005</w:t>
            </w:r>
          </w:p>
        </w:tc>
      </w:tr>
    </w:tbl>
    <w:p w:rsidR="00D64A05" w:rsidRPr="00C36C8F" w:rsidRDefault="00D64A05" w:rsidP="00D64A05">
      <w:pPr>
        <w:pStyle w:val="ParaIndent"/>
        <w:keepNext/>
      </w:pPr>
    </w:p>
    <w:p w:rsidR="00416F0B" w:rsidRPr="00C36C8F" w:rsidRDefault="00E246B8" w:rsidP="000413DC">
      <w:pPr>
        <w:pStyle w:val="Heading40"/>
        <w:spacing w:before="0"/>
        <w:jc w:val="both"/>
        <w:rPr>
          <w:lang w:eastAsia="en-AU"/>
        </w:rPr>
      </w:pPr>
      <w:bookmarkStart w:id="76" w:name="_Toc279510564"/>
      <w:r w:rsidRPr="00C36C8F">
        <w:rPr>
          <w:lang w:eastAsia="en-AU"/>
        </w:rPr>
        <w:t>Recommendation 8: Wastes generated by the core processes of primary production should be excluded from the scope.</w:t>
      </w:r>
      <w:bookmarkEnd w:id="76"/>
    </w:p>
    <w:p w:rsidR="006301A4" w:rsidRPr="00C36C8F" w:rsidRDefault="006301A4" w:rsidP="000413DC">
      <w:pPr>
        <w:pStyle w:val="ParaIndent"/>
        <w:jc w:val="both"/>
        <w:rPr>
          <w:lang w:eastAsia="en-AU"/>
        </w:rPr>
      </w:pPr>
      <w:r w:rsidRPr="00C36C8F">
        <w:rPr>
          <w:lang w:eastAsia="en-AU"/>
        </w:rPr>
        <w:t>Primary production is defined here as the conversion of natural resources into primary products, usually for use as raw materials by other industries. Although primary production is considered an industrial activity, the C&amp;I waste stream includes only wastes from the secondary, tertiary and quaternary industrial sectors; wastes from the primary sector do</w:t>
      </w:r>
      <w:r w:rsidR="00F11D80" w:rsidRPr="00C36C8F">
        <w:rPr>
          <w:lang w:eastAsia="en-AU"/>
        </w:rPr>
        <w:t xml:space="preserve"> </w:t>
      </w:r>
      <w:r w:rsidRPr="00C36C8F">
        <w:rPr>
          <w:lang w:eastAsia="en-AU"/>
        </w:rPr>
        <w:t>n</w:t>
      </w:r>
      <w:r w:rsidR="00F11D80" w:rsidRPr="00C36C8F">
        <w:rPr>
          <w:lang w:eastAsia="en-AU"/>
        </w:rPr>
        <w:t>o</w:t>
      </w:r>
      <w:r w:rsidRPr="00C36C8F">
        <w:rPr>
          <w:lang w:eastAsia="en-AU"/>
        </w:rPr>
        <w:t xml:space="preserve">t </w:t>
      </w:r>
      <w:r w:rsidR="00556F0A" w:rsidRPr="00C36C8F">
        <w:rPr>
          <w:lang w:eastAsia="en-AU"/>
        </w:rPr>
        <w:t xml:space="preserve">usually </w:t>
      </w:r>
      <w:r w:rsidRPr="00C36C8F">
        <w:rPr>
          <w:lang w:eastAsia="en-AU"/>
        </w:rPr>
        <w:t>fall within the definition of C&amp;I waste.</w:t>
      </w:r>
    </w:p>
    <w:p w:rsidR="006301A4" w:rsidRPr="00C36C8F" w:rsidRDefault="006301A4" w:rsidP="000413DC">
      <w:pPr>
        <w:pStyle w:val="ParaIndent"/>
        <w:jc w:val="both"/>
        <w:rPr>
          <w:lang w:eastAsia="en-AU"/>
        </w:rPr>
      </w:pPr>
      <w:r w:rsidRPr="00C36C8F">
        <w:rPr>
          <w:lang w:eastAsia="en-AU"/>
        </w:rPr>
        <w:t>Furthermore, the ‘disposal’ pathway of primary production waste is often analogous to, or chemically indistinguishable from</w:t>
      </w:r>
      <w:r w:rsidR="00F11D80" w:rsidRPr="00C36C8F">
        <w:rPr>
          <w:lang w:eastAsia="en-AU"/>
        </w:rPr>
        <w:t>,</w:t>
      </w:r>
      <w:r w:rsidRPr="00C36C8F">
        <w:rPr>
          <w:lang w:eastAsia="en-AU"/>
        </w:rPr>
        <w:t xml:space="preserve"> natural processes. For example, sawdust created during the felling of trees is difficult to distinguish from the natural decomposition of trees and tree limbs in a forest. As a r</w:t>
      </w:r>
      <w:r w:rsidR="0017479B" w:rsidRPr="00C36C8F">
        <w:rPr>
          <w:lang w:eastAsia="en-AU"/>
        </w:rPr>
        <w:t>esult, primary production waste</w:t>
      </w:r>
      <w:r w:rsidRPr="00C36C8F">
        <w:rPr>
          <w:lang w:eastAsia="en-AU"/>
        </w:rPr>
        <w:t xml:space="preserve"> </w:t>
      </w:r>
      <w:r w:rsidR="0017479B" w:rsidRPr="00C36C8F">
        <w:rPr>
          <w:lang w:eastAsia="en-AU"/>
        </w:rPr>
        <w:t>is</w:t>
      </w:r>
      <w:r w:rsidRPr="00C36C8F">
        <w:rPr>
          <w:lang w:eastAsia="en-AU"/>
        </w:rPr>
        <w:t xml:space="preserve"> often disposed of on-site, and often do</w:t>
      </w:r>
      <w:r w:rsidR="00F11D80" w:rsidRPr="00C36C8F">
        <w:rPr>
          <w:lang w:eastAsia="en-AU"/>
        </w:rPr>
        <w:t xml:space="preserve">es </w:t>
      </w:r>
      <w:r w:rsidRPr="00C36C8F">
        <w:rPr>
          <w:lang w:eastAsia="en-AU"/>
        </w:rPr>
        <w:t>n</w:t>
      </w:r>
      <w:r w:rsidR="00F11D80" w:rsidRPr="00C36C8F">
        <w:rPr>
          <w:lang w:eastAsia="en-AU"/>
        </w:rPr>
        <w:t>o</w:t>
      </w:r>
      <w:r w:rsidRPr="00C36C8F">
        <w:rPr>
          <w:lang w:eastAsia="en-AU"/>
        </w:rPr>
        <w:t>t follow the same disposal routes for the three major solid waste streams.</w:t>
      </w:r>
    </w:p>
    <w:p w:rsidR="006301A4" w:rsidRPr="00C36C8F" w:rsidRDefault="006301A4" w:rsidP="000413DC">
      <w:pPr>
        <w:pStyle w:val="ParaIndent"/>
        <w:jc w:val="both"/>
        <w:rPr>
          <w:lang w:eastAsia="en-AU"/>
        </w:rPr>
      </w:pPr>
      <w:r w:rsidRPr="00C36C8F">
        <w:rPr>
          <w:lang w:eastAsia="en-AU"/>
        </w:rPr>
        <w:t xml:space="preserve">The </w:t>
      </w:r>
      <w:r w:rsidR="00F11D80" w:rsidRPr="00C36C8F">
        <w:rPr>
          <w:lang w:eastAsia="en-AU"/>
        </w:rPr>
        <w:t>approach to</w:t>
      </w:r>
      <w:r w:rsidRPr="00C36C8F">
        <w:rPr>
          <w:lang w:eastAsia="en-AU"/>
        </w:rPr>
        <w:t xml:space="preserve"> wastes from primary production is also important from the perspective of </w:t>
      </w:r>
      <w:r w:rsidR="009329C0" w:rsidRPr="00C36C8F">
        <w:rPr>
          <w:lang w:eastAsia="en-AU"/>
        </w:rPr>
        <w:t>trying to achieve a more consistent set of data for</w:t>
      </w:r>
      <w:r w:rsidRPr="00C36C8F">
        <w:rPr>
          <w:lang w:eastAsia="en-AU"/>
        </w:rPr>
        <w:t xml:space="preserve"> states and territories. The amount of primary production and primary production waste varies markedly between different jurisdictions, principally because of the different natural resource conditions in states and territories.</w:t>
      </w:r>
    </w:p>
    <w:p w:rsidR="00416F0B" w:rsidRPr="00C36C8F" w:rsidRDefault="00B46068" w:rsidP="000413DC">
      <w:pPr>
        <w:pStyle w:val="ParaIndent"/>
        <w:jc w:val="both"/>
        <w:rPr>
          <w:lang w:eastAsia="en-AU"/>
        </w:rPr>
      </w:pPr>
      <w:r w:rsidRPr="00C36C8F">
        <w:rPr>
          <w:lang w:eastAsia="en-AU"/>
        </w:rPr>
        <w:t>Primary production wastes generated by c</w:t>
      </w:r>
      <w:r w:rsidR="006301A4" w:rsidRPr="00C36C8F">
        <w:rPr>
          <w:lang w:eastAsia="en-AU"/>
        </w:rPr>
        <w:t>ore processes refers to waste</w:t>
      </w:r>
      <w:r w:rsidR="00C0593D">
        <w:rPr>
          <w:lang w:eastAsia="en-AU"/>
        </w:rPr>
        <w:t>s</w:t>
      </w:r>
      <w:r w:rsidR="006301A4" w:rsidRPr="00C36C8F">
        <w:rPr>
          <w:lang w:eastAsia="en-AU"/>
        </w:rPr>
        <w:t xml:space="preserve"> from the primary production process itself, rather than wastes ancillary to primary production. For example, end-of-life mining equipment should be considered to be C&amp;I waste and not be considered primary production waste.</w:t>
      </w:r>
    </w:p>
    <w:p w:rsidR="00416F0B" w:rsidRPr="00C36C8F" w:rsidRDefault="00ED3D18" w:rsidP="000413DC">
      <w:pPr>
        <w:pStyle w:val="ParaIndent"/>
        <w:jc w:val="both"/>
      </w:pPr>
      <w:r w:rsidRPr="00C36C8F">
        <w:t xml:space="preserve">Primary production wastes reported </w:t>
      </w:r>
      <w:r w:rsidR="002D3F97" w:rsidRPr="00C36C8F">
        <w:t xml:space="preserve">as being recycled </w:t>
      </w:r>
      <w:r w:rsidRPr="00C36C8F">
        <w:t>by Compost Australia</w:t>
      </w:r>
      <w:bookmarkStart w:id="77" w:name="_Ref284500498"/>
      <w:r w:rsidRPr="00C36C8F">
        <w:rPr>
          <w:rStyle w:val="FootnoteReference"/>
        </w:rPr>
        <w:footnoteReference w:id="9"/>
      </w:r>
      <w:bookmarkEnd w:id="77"/>
      <w:r w:rsidRPr="00C36C8F">
        <w:t xml:space="preserve"> were excluded from organics reprocessing calculation. See </w:t>
      </w:r>
      <w:fldSimple w:instr=" REF _Ref295203671 \h  \* MERGEFORMAT ">
        <w:r w:rsidR="00AE7E3B" w:rsidRPr="00C36C8F">
          <w:t xml:space="preserve">Table </w:t>
        </w:r>
        <w:r w:rsidR="00AE7E3B">
          <w:rPr>
            <w:noProof/>
          </w:rPr>
          <w:t>3</w:t>
        </w:r>
        <w:r w:rsidR="00AE7E3B" w:rsidRPr="00C36C8F">
          <w:rPr>
            <w:noProof/>
          </w:rPr>
          <w:t>-</w:t>
        </w:r>
        <w:r w:rsidR="00AE7E3B">
          <w:rPr>
            <w:noProof/>
          </w:rPr>
          <w:t>6</w:t>
        </w:r>
      </w:fldSimple>
      <w:r w:rsidR="007B01E3" w:rsidRPr="00C36C8F">
        <w:t xml:space="preserve"> </w:t>
      </w:r>
      <w:r w:rsidRPr="00C36C8F">
        <w:t>for specific inclusions and exclusions of organic materials.</w:t>
      </w:r>
    </w:p>
    <w:p w:rsidR="00416F0B" w:rsidRPr="00C36C8F" w:rsidRDefault="002D3F97" w:rsidP="000413DC">
      <w:pPr>
        <w:pStyle w:val="ParaIndent"/>
        <w:jc w:val="both"/>
      </w:pPr>
      <w:r w:rsidRPr="00C36C8F">
        <w:rPr>
          <w:lang w:eastAsia="en-AU"/>
        </w:rPr>
        <w:t>However, primary production waste</w:t>
      </w:r>
      <w:r w:rsidR="00A76EEB" w:rsidRPr="00C36C8F">
        <w:rPr>
          <w:lang w:eastAsia="en-AU"/>
        </w:rPr>
        <w:t>s</w:t>
      </w:r>
      <w:r w:rsidR="00C10277" w:rsidRPr="00C36C8F">
        <w:rPr>
          <w:lang w:eastAsia="en-AU"/>
        </w:rPr>
        <w:t xml:space="preserve"> (</w:t>
      </w:r>
      <w:r w:rsidRPr="00C36C8F">
        <w:rPr>
          <w:lang w:eastAsia="en-AU"/>
        </w:rPr>
        <w:t>particularly organic materials</w:t>
      </w:r>
      <w:r w:rsidR="00C10277" w:rsidRPr="00C36C8F">
        <w:rPr>
          <w:lang w:eastAsia="en-AU"/>
        </w:rPr>
        <w:t xml:space="preserve">) </w:t>
      </w:r>
      <w:r w:rsidRPr="00C36C8F">
        <w:rPr>
          <w:lang w:eastAsia="en-AU"/>
        </w:rPr>
        <w:t>that are disposed of to landfill are not usually disaggregated from landfill figures.</w:t>
      </w:r>
      <w:r w:rsidR="00164C3C" w:rsidRPr="00C36C8F">
        <w:rPr>
          <w:lang w:eastAsia="en-AU"/>
        </w:rPr>
        <w:t xml:space="preserve"> As such there </w:t>
      </w:r>
      <w:r w:rsidR="00C0593D">
        <w:rPr>
          <w:lang w:eastAsia="en-AU"/>
        </w:rPr>
        <w:t>are</w:t>
      </w:r>
      <w:r w:rsidR="00C0593D" w:rsidRPr="00C36C8F">
        <w:rPr>
          <w:lang w:eastAsia="en-AU"/>
        </w:rPr>
        <w:t xml:space="preserve"> </w:t>
      </w:r>
      <w:r w:rsidR="00164C3C" w:rsidRPr="00C36C8F">
        <w:rPr>
          <w:lang w:eastAsia="en-AU"/>
        </w:rPr>
        <w:t>likely to be primary production wastes included in many jurisdictions’ disposal to landfill figures.</w:t>
      </w:r>
      <w:r w:rsidR="00C10277" w:rsidRPr="00C36C8F">
        <w:rPr>
          <w:lang w:eastAsia="en-AU"/>
        </w:rPr>
        <w:t xml:space="preserve"> For example large quantities of broiler </w:t>
      </w:r>
      <w:r w:rsidR="003F4BCB" w:rsidRPr="00C36C8F">
        <w:rPr>
          <w:lang w:eastAsia="en-AU"/>
        </w:rPr>
        <w:t>chickens</w:t>
      </w:r>
      <w:r w:rsidR="00C10277" w:rsidRPr="00C36C8F">
        <w:rPr>
          <w:lang w:eastAsia="en-AU"/>
        </w:rPr>
        <w:t xml:space="preserve"> are sometime</w:t>
      </w:r>
      <w:r w:rsidR="00A76EEB" w:rsidRPr="00C36C8F">
        <w:rPr>
          <w:lang w:eastAsia="en-AU"/>
        </w:rPr>
        <w:t>s</w:t>
      </w:r>
      <w:r w:rsidR="00C10277" w:rsidRPr="00C36C8F">
        <w:rPr>
          <w:lang w:eastAsia="en-AU"/>
        </w:rPr>
        <w:t xml:space="preserve"> disposed to landfill when an incident causes a large number of </w:t>
      </w:r>
      <w:r w:rsidR="003F4BCB" w:rsidRPr="00C36C8F">
        <w:rPr>
          <w:lang w:eastAsia="en-AU"/>
        </w:rPr>
        <w:t>chicken</w:t>
      </w:r>
      <w:r w:rsidR="00C10277" w:rsidRPr="00C36C8F">
        <w:rPr>
          <w:lang w:eastAsia="en-AU"/>
        </w:rPr>
        <w:t xml:space="preserve"> deaths. </w:t>
      </w:r>
      <w:r w:rsidR="00C10277" w:rsidRPr="00C36C8F">
        <w:t>The significance of this waste tonnage from primary production is not known.</w:t>
      </w:r>
    </w:p>
    <w:p w:rsidR="00416F0B" w:rsidRPr="00C36C8F" w:rsidRDefault="00D105A2" w:rsidP="000413DC">
      <w:pPr>
        <w:pStyle w:val="Heading40"/>
        <w:spacing w:before="0"/>
        <w:jc w:val="both"/>
        <w:rPr>
          <w:lang w:eastAsia="en-AU"/>
        </w:rPr>
      </w:pPr>
      <w:bookmarkStart w:id="78" w:name="_Toc279510565"/>
      <w:r w:rsidRPr="00C36C8F">
        <w:rPr>
          <w:lang w:eastAsia="en-AU"/>
        </w:rPr>
        <w:t>Recommendation 9: Pre-consumer wastes that are recycled on-site as part of the manufacturing process should be excluded from the scope.</w:t>
      </w:r>
      <w:bookmarkEnd w:id="78"/>
    </w:p>
    <w:p w:rsidR="006301A4" w:rsidRPr="00C36C8F" w:rsidRDefault="006301A4" w:rsidP="000413DC">
      <w:pPr>
        <w:pStyle w:val="ParaIndent"/>
        <w:jc w:val="both"/>
        <w:rPr>
          <w:lang w:eastAsia="en-AU"/>
        </w:rPr>
      </w:pPr>
      <w:r w:rsidRPr="00C36C8F">
        <w:rPr>
          <w:lang w:eastAsia="en-AU"/>
        </w:rPr>
        <w:t xml:space="preserve">Pre-consumer waste typically refers to the scrap from manufacturing inefficiencies or malfunctions. Pre-consumer wastes are part of the industrial process and could be considered within the definition of C&amp;I waste. However, pre-consumer wastes are usually only considered in waste and recycling reporting when they are disposed of offsite. </w:t>
      </w:r>
    </w:p>
    <w:p w:rsidR="006301A4" w:rsidRPr="00C36C8F" w:rsidRDefault="006301A4" w:rsidP="000413DC">
      <w:pPr>
        <w:pStyle w:val="ParaIndent"/>
        <w:jc w:val="both"/>
        <w:rPr>
          <w:lang w:eastAsia="en-AU"/>
        </w:rPr>
      </w:pPr>
      <w:r w:rsidRPr="00C36C8F">
        <w:rPr>
          <w:lang w:eastAsia="en-AU"/>
        </w:rPr>
        <w:t>Where pre-consumer wastes are fed back into the manufacturing process this is what is referred to in the Australian Standard (AS/NZS 3831:1998) as “closed loop recycling”. Mill broke generated during the production of paper that is fed back into the manufacturing process is an example of closed loop recycling.</w:t>
      </w:r>
    </w:p>
    <w:p w:rsidR="006301A4" w:rsidRPr="00C36C8F" w:rsidRDefault="006301A4" w:rsidP="000413DC">
      <w:pPr>
        <w:pStyle w:val="ParaIndent"/>
        <w:jc w:val="both"/>
        <w:rPr>
          <w:lang w:eastAsia="en-AU"/>
        </w:rPr>
      </w:pPr>
      <w:r w:rsidRPr="00C36C8F">
        <w:rPr>
          <w:lang w:eastAsia="en-AU"/>
        </w:rPr>
        <w:t xml:space="preserve">Closed loop recycling is usually excluded from waste and recycling reporting, and is sometimes excluded from </w:t>
      </w:r>
      <w:r w:rsidR="00DA7FE8" w:rsidRPr="00C36C8F">
        <w:rPr>
          <w:lang w:eastAsia="en-AU"/>
        </w:rPr>
        <w:t>the definition of recycling</w:t>
      </w:r>
      <w:r w:rsidRPr="00C36C8F">
        <w:rPr>
          <w:lang w:eastAsia="en-AU"/>
        </w:rPr>
        <w:t>. Closed loop recycling can be considere</w:t>
      </w:r>
      <w:r w:rsidR="00DA7FE8" w:rsidRPr="00C36C8F">
        <w:rPr>
          <w:lang w:eastAsia="en-AU"/>
        </w:rPr>
        <w:t xml:space="preserve">d to be something that is done </w:t>
      </w:r>
      <w:r w:rsidRPr="00C36C8F">
        <w:rPr>
          <w:lang w:eastAsia="en-AU"/>
        </w:rPr>
        <w:t xml:space="preserve">as a matter of course </w:t>
      </w:r>
      <w:r w:rsidR="00EC5FF3">
        <w:rPr>
          <w:lang w:eastAsia="en-AU"/>
        </w:rPr>
        <w:t>in</w:t>
      </w:r>
      <w:r w:rsidR="00EC5FF3" w:rsidRPr="00C36C8F">
        <w:rPr>
          <w:lang w:eastAsia="en-AU"/>
        </w:rPr>
        <w:t xml:space="preserve"> </w:t>
      </w:r>
      <w:r w:rsidRPr="00C36C8F">
        <w:rPr>
          <w:lang w:eastAsia="en-AU"/>
        </w:rPr>
        <w:t>the efficient operation of the site.</w:t>
      </w:r>
    </w:p>
    <w:p w:rsidR="006301A4" w:rsidRPr="00C36C8F" w:rsidRDefault="006301A4" w:rsidP="000413DC">
      <w:pPr>
        <w:pStyle w:val="ParaIndent"/>
        <w:jc w:val="both"/>
        <w:rPr>
          <w:lang w:eastAsia="en-AU"/>
        </w:rPr>
      </w:pPr>
      <w:r w:rsidRPr="00C36C8F">
        <w:rPr>
          <w:lang w:eastAsia="en-AU"/>
        </w:rPr>
        <w:t>Conversely, the generation of waste during an industrial process can be considered to be the result of inefficient operation of the site, either by design or by malfunction. If closed loop recycling was to be included in waste and recycling reporting, then an increase in the inefficiencies of the industrial processes would be represented as an increase in recycling.</w:t>
      </w:r>
    </w:p>
    <w:p w:rsidR="002F2447" w:rsidRPr="00C36C8F" w:rsidRDefault="002F2447" w:rsidP="000413DC">
      <w:pPr>
        <w:pStyle w:val="ParaIndent"/>
        <w:jc w:val="both"/>
        <w:rPr>
          <w:lang w:eastAsia="en-AU"/>
        </w:rPr>
      </w:pPr>
      <w:r w:rsidRPr="00C36C8F">
        <w:rPr>
          <w:lang w:eastAsia="en-AU"/>
        </w:rPr>
        <w:t>By contrast, post-consumer wastes are clearly within the scope of waste and recycling reporting. Most products and materials that enter the municipal waste stream are clearly post-consumer wastes and are relatively easy to define within this stream.</w:t>
      </w:r>
    </w:p>
    <w:p w:rsidR="00C719F6" w:rsidRPr="00C36C8F" w:rsidRDefault="002F2447" w:rsidP="000413DC">
      <w:pPr>
        <w:pStyle w:val="ParaIndent"/>
        <w:jc w:val="both"/>
        <w:rPr>
          <w:lang w:eastAsia="en-AU"/>
        </w:rPr>
      </w:pPr>
      <w:r w:rsidRPr="00C36C8F">
        <w:rPr>
          <w:lang w:eastAsia="en-AU"/>
        </w:rPr>
        <w:t>Most products and materials in the C&amp;D waste stream are also clearly post-consumer wastes, although there are a number of raw materials in the C&amp;D stream, most notably earthen materials</w:t>
      </w:r>
      <w:r w:rsidR="002F450B" w:rsidRPr="00C36C8F">
        <w:rPr>
          <w:lang w:eastAsia="en-AU"/>
        </w:rPr>
        <w:t xml:space="preserve"> clean fill (see </w:t>
      </w:r>
      <w:r w:rsidR="00F4404D" w:rsidRPr="00C36C8F">
        <w:rPr>
          <w:lang w:eastAsia="en-AU"/>
        </w:rPr>
        <w:t>Recommendation 12</w:t>
      </w:r>
      <w:r w:rsidR="00C719F6" w:rsidRPr="00C36C8F">
        <w:rPr>
          <w:lang w:eastAsia="en-AU"/>
        </w:rPr>
        <w:t>).</w:t>
      </w:r>
    </w:p>
    <w:p w:rsidR="002F2447" w:rsidRPr="00C36C8F" w:rsidRDefault="002F2447" w:rsidP="000413DC">
      <w:pPr>
        <w:pStyle w:val="ParaIndent"/>
        <w:jc w:val="both"/>
        <w:rPr>
          <w:lang w:eastAsia="en-AU"/>
        </w:rPr>
      </w:pPr>
      <w:r w:rsidRPr="00C36C8F">
        <w:rPr>
          <w:lang w:eastAsia="en-AU"/>
        </w:rPr>
        <w:t>The scope of waste and recycling reporting can also be approximately defined by the point of waste</w:t>
      </w:r>
      <w:r w:rsidR="00A76EEB" w:rsidRPr="00C36C8F">
        <w:rPr>
          <w:lang w:eastAsia="en-AU"/>
        </w:rPr>
        <w:t xml:space="preserve"> disposal</w:t>
      </w:r>
      <w:r w:rsidRPr="00C36C8F">
        <w:rPr>
          <w:lang w:eastAsia="en-AU"/>
        </w:rPr>
        <w:t>. Products and materials included within the scope of waste and recycling</w:t>
      </w:r>
      <w:r w:rsidR="00706317">
        <w:rPr>
          <w:lang w:eastAsia="en-AU"/>
        </w:rPr>
        <w:t xml:space="preserve"> reporting</w:t>
      </w:r>
      <w:r w:rsidRPr="00C36C8F">
        <w:rPr>
          <w:lang w:eastAsia="en-AU"/>
        </w:rPr>
        <w:t xml:space="preserve"> are usually those disposed of offsite, from non-primary production sources. Conversely, materials excluded from the scope are usually primary production or pre-consumer wastes that are close to their raw form and that are disposed of on-site.</w:t>
      </w:r>
    </w:p>
    <w:p w:rsidR="00416F0B" w:rsidRPr="00C36C8F" w:rsidRDefault="00ED3D18" w:rsidP="000413DC">
      <w:pPr>
        <w:pStyle w:val="ParaIndent"/>
        <w:jc w:val="both"/>
      </w:pPr>
      <w:r w:rsidRPr="00C36C8F">
        <w:t>No state or t</w:t>
      </w:r>
      <w:r w:rsidR="000F37E2" w:rsidRPr="00C36C8F">
        <w:t xml:space="preserve">erritory data-sets </w:t>
      </w:r>
      <w:r w:rsidRPr="00C36C8F">
        <w:t xml:space="preserve">include </w:t>
      </w:r>
      <w:r w:rsidR="000F37E2" w:rsidRPr="00C36C8F">
        <w:t xml:space="preserve">any significant quantities of </w:t>
      </w:r>
      <w:r w:rsidRPr="00C36C8F">
        <w:t>pre-consumer wastes.</w:t>
      </w:r>
      <w:r w:rsidR="000F37E2" w:rsidRPr="00C36C8F">
        <w:t xml:space="preserve"> </w:t>
      </w:r>
      <w:r w:rsidR="00706317">
        <w:t>These are</w:t>
      </w:r>
      <w:r w:rsidR="000F37E2" w:rsidRPr="00C36C8F">
        <w:t xml:space="preserve"> routinely either excluded from the scope of national waste and recycling primary (direct) data collection </w:t>
      </w:r>
      <w:r w:rsidR="00F4404D" w:rsidRPr="00C36C8F">
        <w:t>exercises</w:t>
      </w:r>
      <w:r w:rsidR="000F37E2" w:rsidRPr="00C36C8F">
        <w:t xml:space="preserve"> or the data is collected, but reported separately.</w:t>
      </w:r>
    </w:p>
    <w:p w:rsidR="006301A4" w:rsidRPr="00C36C8F" w:rsidRDefault="006301A4" w:rsidP="009D6EF8">
      <w:pPr>
        <w:pStyle w:val="ParaIndent"/>
        <w:keepNext/>
        <w:rPr>
          <w:lang w:eastAsia="en-AU"/>
        </w:rPr>
      </w:pPr>
      <w:r w:rsidRPr="00C36C8F">
        <w:rPr>
          <w:noProof/>
          <w:lang w:eastAsia="en-AU"/>
        </w:rPr>
        <w:drawing>
          <wp:inline distT="0" distB="0" distL="0" distR="0">
            <wp:extent cx="5359179" cy="3240304"/>
            <wp:effectExtent l="0" t="0" r="0" b="0"/>
            <wp:docPr id="29" name="Picture 12" descr="Sco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emf"/>
                    <pic:cNvPicPr/>
                  </pic:nvPicPr>
                  <pic:blipFill>
                    <a:blip r:embed="rId22" cstate="print"/>
                    <a:stretch>
                      <a:fillRect/>
                    </a:stretch>
                  </pic:blipFill>
                  <pic:spPr>
                    <a:xfrm>
                      <a:off x="0" y="0"/>
                      <a:ext cx="5364141" cy="3243304"/>
                    </a:xfrm>
                    <a:prstGeom prst="rect">
                      <a:avLst/>
                    </a:prstGeom>
                  </pic:spPr>
                </pic:pic>
              </a:graphicData>
            </a:graphic>
          </wp:inline>
        </w:drawing>
      </w:r>
    </w:p>
    <w:p w:rsidR="002F2447" w:rsidRPr="00C36C8F" w:rsidRDefault="002F2447" w:rsidP="009D6EF8">
      <w:pPr>
        <w:pStyle w:val="TableHeading"/>
        <w:tabs>
          <w:tab w:val="right" w:pos="7263"/>
        </w:tabs>
        <w:spacing w:before="0" w:after="0"/>
        <w:ind w:left="1134"/>
        <w:rPr>
          <w:sz w:val="20"/>
        </w:rPr>
      </w:pPr>
      <w:r w:rsidRPr="00C36C8F">
        <w:rPr>
          <w:sz w:val="20"/>
        </w:rPr>
        <w:t xml:space="preserve">Figure </w:t>
      </w:r>
      <w:r w:rsidR="00B9555F" w:rsidRPr="00C36C8F">
        <w:rPr>
          <w:sz w:val="20"/>
        </w:rPr>
        <w:fldChar w:fldCharType="begin"/>
      </w:r>
      <w:r w:rsidRPr="00C36C8F">
        <w:rPr>
          <w:sz w:val="20"/>
        </w:rPr>
        <w:instrText xml:space="preserve"> STYLEREF "_Heading1" \n </w:instrText>
      </w:r>
      <w:r w:rsidR="00B9555F" w:rsidRPr="00C36C8F">
        <w:rPr>
          <w:sz w:val="20"/>
        </w:rPr>
        <w:fldChar w:fldCharType="separate"/>
      </w:r>
      <w:r w:rsidR="00AE7E3B">
        <w:rPr>
          <w:noProof/>
          <w:sz w:val="20"/>
        </w:rPr>
        <w:t>3</w:t>
      </w:r>
      <w:r w:rsidR="00B9555F" w:rsidRPr="00C36C8F">
        <w:rPr>
          <w:sz w:val="20"/>
        </w:rPr>
        <w:fldChar w:fldCharType="end"/>
      </w:r>
      <w:r w:rsidRPr="00C36C8F">
        <w:rPr>
          <w:sz w:val="20"/>
        </w:rPr>
        <w:t>-</w:t>
      </w:r>
      <w:r w:rsidR="00B9555F" w:rsidRPr="00C36C8F">
        <w:rPr>
          <w:sz w:val="20"/>
        </w:rPr>
        <w:fldChar w:fldCharType="begin"/>
      </w:r>
      <w:r w:rsidRPr="00C36C8F">
        <w:rPr>
          <w:sz w:val="20"/>
        </w:rPr>
        <w:instrText xml:space="preserve"> SEQ Figure \* Arabic </w:instrText>
      </w:r>
      <w:r w:rsidR="00B9555F" w:rsidRPr="00C36C8F">
        <w:rPr>
          <w:sz w:val="20"/>
        </w:rPr>
        <w:fldChar w:fldCharType="separate"/>
      </w:r>
      <w:r w:rsidR="00AE7E3B">
        <w:rPr>
          <w:noProof/>
          <w:sz w:val="20"/>
        </w:rPr>
        <w:t>5</w:t>
      </w:r>
      <w:r w:rsidR="00B9555F" w:rsidRPr="00C36C8F">
        <w:rPr>
          <w:sz w:val="20"/>
        </w:rPr>
        <w:fldChar w:fldCharType="end"/>
      </w:r>
      <w:r w:rsidRPr="00C36C8F">
        <w:rPr>
          <w:sz w:val="20"/>
        </w:rPr>
        <w:t>: Scope of waste and recycling reporting by production stage</w:t>
      </w:r>
    </w:p>
    <w:p w:rsidR="008916AC" w:rsidRPr="00C36C8F" w:rsidRDefault="00770DE3" w:rsidP="008916AC">
      <w:pPr>
        <w:pStyle w:val="Heading2"/>
      </w:pPr>
      <w:bookmarkStart w:id="79" w:name="_Toc325020101"/>
      <w:bookmarkStart w:id="80" w:name="_Toc305049749"/>
      <w:bookmarkStart w:id="81" w:name="_Toc279510566"/>
      <w:r w:rsidRPr="00C36C8F">
        <w:t>Specific</w:t>
      </w:r>
      <w:r w:rsidR="008916AC" w:rsidRPr="00C36C8F">
        <w:t xml:space="preserve"> wastes</w:t>
      </w:r>
      <w:bookmarkEnd w:id="79"/>
      <w:bookmarkEnd w:id="80"/>
    </w:p>
    <w:p w:rsidR="00416F0B" w:rsidRPr="00C36C8F" w:rsidRDefault="00C02A6E" w:rsidP="000413DC">
      <w:pPr>
        <w:pStyle w:val="Heading40"/>
        <w:spacing w:before="0"/>
        <w:jc w:val="both"/>
      </w:pPr>
      <w:r w:rsidRPr="00C36C8F">
        <w:t>Recommendation 10: Bark and sawdust from forestry operations, and mining and mineral processing wastes should be excluded from the scope.</w:t>
      </w:r>
      <w:bookmarkEnd w:id="81"/>
    </w:p>
    <w:p w:rsidR="006301A4" w:rsidRPr="00C36C8F" w:rsidRDefault="006301A4" w:rsidP="000413DC">
      <w:pPr>
        <w:pStyle w:val="ParaIndent"/>
        <w:jc w:val="both"/>
        <w:rPr>
          <w:lang w:eastAsia="en-AU"/>
        </w:rPr>
      </w:pPr>
      <w:r w:rsidRPr="00C36C8F">
        <w:rPr>
          <w:lang w:eastAsia="en-AU"/>
        </w:rPr>
        <w:t>Bark and sawdust from forestry operations, and mining wastes</w:t>
      </w:r>
      <w:r w:rsidR="00B3640D" w:rsidRPr="00C36C8F">
        <w:rPr>
          <w:lang w:eastAsia="en-AU"/>
        </w:rPr>
        <w:t>,</w:t>
      </w:r>
      <w:r w:rsidRPr="00C36C8F">
        <w:rPr>
          <w:lang w:eastAsia="en-AU"/>
        </w:rPr>
        <w:t xml:space="preserve"> are all primary production wastes. Bark and sawdust generated from forestry operations is distinct from those generated in secondary industrial processes, such as timber mills.</w:t>
      </w:r>
    </w:p>
    <w:p w:rsidR="00416F0B" w:rsidRPr="00C36C8F" w:rsidRDefault="00ED3D18" w:rsidP="000413DC">
      <w:pPr>
        <w:pStyle w:val="ParaIndent"/>
        <w:jc w:val="both"/>
      </w:pPr>
      <w:r w:rsidRPr="00C36C8F">
        <w:t>Bark and sawdust from forestry operations reported by Compost Australia</w:t>
      </w:r>
      <w:r w:rsidRPr="00C36C8F">
        <w:rPr>
          <w:rStyle w:val="FootnoteReference"/>
        </w:rPr>
        <w:footnoteReference w:id="10"/>
      </w:r>
      <w:r w:rsidRPr="00C36C8F">
        <w:t xml:space="preserve"> </w:t>
      </w:r>
      <w:r w:rsidR="0027021F" w:rsidRPr="00C36C8F">
        <w:t>were</w:t>
      </w:r>
      <w:r w:rsidRPr="00C36C8F">
        <w:t xml:space="preserve"> excluded from organics reprocessing calculations. See </w:t>
      </w:r>
      <w:fldSimple w:instr=" REF _Ref295203671 \h  \* MERGEFORMAT ">
        <w:r w:rsidR="00AE7E3B" w:rsidRPr="00C36C8F">
          <w:t xml:space="preserve">Table </w:t>
        </w:r>
        <w:r w:rsidR="00AE7E3B">
          <w:rPr>
            <w:noProof/>
          </w:rPr>
          <w:t>3</w:t>
        </w:r>
        <w:r w:rsidR="00AE7E3B" w:rsidRPr="00C36C8F">
          <w:rPr>
            <w:noProof/>
          </w:rPr>
          <w:t>-</w:t>
        </w:r>
        <w:r w:rsidR="00AE7E3B">
          <w:rPr>
            <w:noProof/>
          </w:rPr>
          <w:t>6</w:t>
        </w:r>
      </w:fldSimple>
      <w:r w:rsidRPr="00C36C8F">
        <w:t xml:space="preserve"> for specific inclusions and exclusions of organic materials.</w:t>
      </w:r>
    </w:p>
    <w:p w:rsidR="00416F0B" w:rsidRPr="00C36C8F" w:rsidRDefault="00DE7723" w:rsidP="000413DC">
      <w:pPr>
        <w:pStyle w:val="ParaIndent"/>
        <w:jc w:val="both"/>
        <w:rPr>
          <w:lang w:eastAsia="en-AU"/>
        </w:rPr>
      </w:pPr>
      <w:r w:rsidRPr="00C36C8F">
        <w:rPr>
          <w:lang w:eastAsia="en-AU"/>
        </w:rPr>
        <w:t xml:space="preserve">No states or territories treat the disposal of bark and sawdust to landfill any differently to other landfilled material. However, many do account for the recycling of bark and sawdust from forestry separately. A number of these jurisdictions use </w:t>
      </w:r>
      <w:r w:rsidR="005338E9" w:rsidRPr="00C36C8F">
        <w:rPr>
          <w:i/>
          <w:lang w:eastAsia="en-AU"/>
        </w:rPr>
        <w:t>Organics Recycling in Australia – Industry Statistics</w:t>
      </w:r>
      <w:r w:rsidR="00B3640D" w:rsidRPr="00C36C8F">
        <w:rPr>
          <w:lang w:eastAsia="en-AU"/>
        </w:rPr>
        <w:t>,</w:t>
      </w:r>
      <w:r w:rsidRPr="00C36C8F">
        <w:rPr>
          <w:lang w:eastAsia="en-AU"/>
        </w:rPr>
        <w:t xml:space="preserve"> compiled by Compost Australia</w:t>
      </w:r>
      <w:r w:rsidR="00B3640D" w:rsidRPr="00C36C8F">
        <w:rPr>
          <w:lang w:eastAsia="en-AU"/>
        </w:rPr>
        <w:t>,</w:t>
      </w:r>
      <w:r w:rsidRPr="00C36C8F">
        <w:rPr>
          <w:lang w:eastAsia="en-AU"/>
        </w:rPr>
        <w:t xml:space="preserve"> to generate the breakdown of organic material. This report lists sawdust and barks from forestry residuals as a separate item.</w:t>
      </w:r>
    </w:p>
    <w:p w:rsidR="00416F0B" w:rsidRPr="00C36C8F" w:rsidRDefault="00DE7723" w:rsidP="000413DC">
      <w:pPr>
        <w:pStyle w:val="ParaIndent"/>
        <w:jc w:val="both"/>
        <w:rPr>
          <w:lang w:eastAsia="en-AU"/>
        </w:rPr>
      </w:pPr>
      <w:r w:rsidRPr="00C36C8F">
        <w:rPr>
          <w:lang w:eastAsia="en-AU"/>
        </w:rPr>
        <w:t>N</w:t>
      </w:r>
      <w:r w:rsidR="00A76EEB" w:rsidRPr="00C36C8F">
        <w:rPr>
          <w:lang w:eastAsia="en-AU"/>
        </w:rPr>
        <w:t xml:space="preserve">ew </w:t>
      </w:r>
      <w:r w:rsidRPr="00C36C8F">
        <w:rPr>
          <w:lang w:eastAsia="en-AU"/>
        </w:rPr>
        <w:t>S</w:t>
      </w:r>
      <w:r w:rsidR="00A76EEB" w:rsidRPr="00C36C8F">
        <w:rPr>
          <w:lang w:eastAsia="en-AU"/>
        </w:rPr>
        <w:t xml:space="preserve">outh </w:t>
      </w:r>
      <w:r w:rsidRPr="00C36C8F">
        <w:rPr>
          <w:lang w:eastAsia="en-AU"/>
        </w:rPr>
        <w:t>W</w:t>
      </w:r>
      <w:r w:rsidR="00A76EEB" w:rsidRPr="00C36C8F">
        <w:rPr>
          <w:lang w:eastAsia="en-AU"/>
        </w:rPr>
        <w:t>ales</w:t>
      </w:r>
      <w:r w:rsidRPr="00C36C8F">
        <w:rPr>
          <w:lang w:eastAsia="en-AU"/>
        </w:rPr>
        <w:t xml:space="preserve"> reports bark and sawdust from forestry residuals as distinct items in reporting on recycled organic material.</w:t>
      </w:r>
    </w:p>
    <w:p w:rsidR="00416F0B" w:rsidRPr="00C36C8F" w:rsidRDefault="00DE7723" w:rsidP="000413DC">
      <w:pPr>
        <w:pStyle w:val="ParaIndent"/>
        <w:jc w:val="both"/>
        <w:rPr>
          <w:lang w:eastAsia="en-AU"/>
        </w:rPr>
      </w:pPr>
      <w:r w:rsidRPr="00C36C8F">
        <w:rPr>
          <w:lang w:eastAsia="en-AU"/>
        </w:rPr>
        <w:t>Victoria reports saw</w:t>
      </w:r>
      <w:r w:rsidR="00A76EEB" w:rsidRPr="00C36C8F">
        <w:rPr>
          <w:lang w:eastAsia="en-AU"/>
        </w:rPr>
        <w:t>dust and</w:t>
      </w:r>
      <w:r w:rsidRPr="00C36C8F">
        <w:rPr>
          <w:lang w:eastAsia="en-AU"/>
        </w:rPr>
        <w:t xml:space="preserve"> other forestry residuals, but does not distinguish the origin of the material. Bark and sawdust is reported separately from other materials regardless of where it </w:t>
      </w:r>
      <w:r w:rsidR="00A76EEB" w:rsidRPr="00C36C8F">
        <w:rPr>
          <w:lang w:eastAsia="en-AU"/>
        </w:rPr>
        <w:t>originates</w:t>
      </w:r>
      <w:r w:rsidRPr="00C36C8F">
        <w:rPr>
          <w:lang w:eastAsia="en-AU"/>
        </w:rPr>
        <w:t>.</w:t>
      </w:r>
    </w:p>
    <w:p w:rsidR="00416F0B" w:rsidRPr="00C36C8F" w:rsidRDefault="00DE7723" w:rsidP="000413DC">
      <w:pPr>
        <w:pStyle w:val="ParaIndent"/>
        <w:jc w:val="both"/>
        <w:rPr>
          <w:lang w:eastAsia="en-AU"/>
        </w:rPr>
      </w:pPr>
      <w:r w:rsidRPr="00C36C8F">
        <w:rPr>
          <w:lang w:eastAsia="en-AU"/>
        </w:rPr>
        <w:t xml:space="preserve">Western Australia records and reports on forestry waste collected for reprocessing but does not include it in its reported organic materials collected for reprocessing. </w:t>
      </w:r>
    </w:p>
    <w:p w:rsidR="00416F0B" w:rsidRPr="00C36C8F" w:rsidRDefault="00112BFE" w:rsidP="000413DC">
      <w:pPr>
        <w:pStyle w:val="ParaIndent"/>
        <w:jc w:val="both"/>
        <w:rPr>
          <w:lang w:eastAsia="en-AU"/>
        </w:rPr>
      </w:pPr>
      <w:r w:rsidRPr="00C36C8F">
        <w:rPr>
          <w:lang w:eastAsia="en-AU"/>
        </w:rPr>
        <w:t>South Australia reporting excludes</w:t>
      </w:r>
      <w:r w:rsidR="00DE7723" w:rsidRPr="00C36C8F">
        <w:rPr>
          <w:lang w:eastAsia="en-AU"/>
        </w:rPr>
        <w:t xml:space="preserve"> barks and</w:t>
      </w:r>
      <w:r w:rsidRPr="00C36C8F">
        <w:rPr>
          <w:lang w:eastAsia="en-AU"/>
        </w:rPr>
        <w:t xml:space="preserve"> sawdust from forestry residuals</w:t>
      </w:r>
      <w:r w:rsidR="00DE7723" w:rsidRPr="00C36C8F">
        <w:rPr>
          <w:lang w:eastAsia="en-AU"/>
        </w:rPr>
        <w:t>.</w:t>
      </w:r>
    </w:p>
    <w:p w:rsidR="00416F0B" w:rsidRPr="00C36C8F" w:rsidRDefault="00112BFE" w:rsidP="000413DC">
      <w:pPr>
        <w:pStyle w:val="ParaIndent"/>
        <w:jc w:val="both"/>
        <w:rPr>
          <w:lang w:eastAsia="en-AU"/>
        </w:rPr>
      </w:pPr>
      <w:r w:rsidRPr="00C36C8F">
        <w:rPr>
          <w:lang w:eastAsia="en-AU"/>
        </w:rPr>
        <w:t>Mining and mineral processing wastes, such as tailings and r</w:t>
      </w:r>
      <w:r w:rsidR="00AC6370" w:rsidRPr="00C36C8F">
        <w:rPr>
          <w:lang w:eastAsia="en-AU"/>
        </w:rPr>
        <w:t>ed mud (generate</w:t>
      </w:r>
      <w:r w:rsidRPr="00C36C8F">
        <w:rPr>
          <w:lang w:eastAsia="en-AU"/>
        </w:rPr>
        <w:t xml:space="preserve">d through alumina production), are defined as </w:t>
      </w:r>
      <w:r w:rsidR="00AC6370" w:rsidRPr="00C36C8F">
        <w:rPr>
          <w:lang w:eastAsia="en-AU"/>
        </w:rPr>
        <w:t>primary production related waste</w:t>
      </w:r>
      <w:r w:rsidRPr="00C36C8F">
        <w:rPr>
          <w:lang w:eastAsia="en-AU"/>
        </w:rPr>
        <w:t>s and are</w:t>
      </w:r>
      <w:r w:rsidR="00AC6370" w:rsidRPr="00C36C8F">
        <w:rPr>
          <w:lang w:eastAsia="en-AU"/>
        </w:rPr>
        <w:t xml:space="preserve"> excluded from the data scope.</w:t>
      </w:r>
    </w:p>
    <w:p w:rsidR="00416F0B" w:rsidRPr="00C36C8F" w:rsidRDefault="00390A0D" w:rsidP="000413DC">
      <w:pPr>
        <w:pStyle w:val="Heading40"/>
        <w:spacing w:before="0"/>
        <w:jc w:val="both"/>
      </w:pPr>
      <w:bookmarkStart w:id="82" w:name="_Toc279510567"/>
      <w:r w:rsidRPr="00C36C8F">
        <w:t>Recommendation 11: Organic agricultural wastes are excluded from the scope.</w:t>
      </w:r>
      <w:bookmarkEnd w:id="82"/>
    </w:p>
    <w:p w:rsidR="0027021F" w:rsidRPr="00C36C8F" w:rsidRDefault="006301A4" w:rsidP="000413DC">
      <w:pPr>
        <w:pStyle w:val="ParaIndent"/>
        <w:jc w:val="both"/>
        <w:rPr>
          <w:lang w:eastAsia="en-AU"/>
        </w:rPr>
      </w:pPr>
      <w:r w:rsidRPr="00C36C8F">
        <w:rPr>
          <w:lang w:eastAsia="en-AU"/>
        </w:rPr>
        <w:t>Agricultural wastes are generated through primary production activities</w:t>
      </w:r>
      <w:r w:rsidR="00112BFE" w:rsidRPr="00C36C8F">
        <w:rPr>
          <w:lang w:eastAsia="en-AU"/>
        </w:rPr>
        <w:t xml:space="preserve">. However, </w:t>
      </w:r>
      <w:r w:rsidR="0027021F" w:rsidRPr="00C36C8F">
        <w:rPr>
          <w:lang w:eastAsia="en-AU"/>
        </w:rPr>
        <w:t>defining the point at which agricultural waste</w:t>
      </w:r>
      <w:r w:rsidR="00112BFE" w:rsidRPr="00C36C8F">
        <w:rPr>
          <w:lang w:eastAsia="en-AU"/>
        </w:rPr>
        <w:t>s</w:t>
      </w:r>
      <w:r w:rsidR="0027021F" w:rsidRPr="00C36C8F">
        <w:rPr>
          <w:lang w:eastAsia="en-AU"/>
        </w:rPr>
        <w:t xml:space="preserve"> shift from being primary production waste</w:t>
      </w:r>
      <w:r w:rsidR="00112BFE" w:rsidRPr="00C36C8F">
        <w:rPr>
          <w:lang w:eastAsia="en-AU"/>
        </w:rPr>
        <w:t>s</w:t>
      </w:r>
      <w:r w:rsidR="0027021F" w:rsidRPr="00C36C8F">
        <w:rPr>
          <w:lang w:eastAsia="en-AU"/>
        </w:rPr>
        <w:t xml:space="preserve"> to secondary industry waste</w:t>
      </w:r>
      <w:r w:rsidR="00112BFE" w:rsidRPr="00C36C8F">
        <w:rPr>
          <w:lang w:eastAsia="en-AU"/>
        </w:rPr>
        <w:t>s</w:t>
      </w:r>
      <w:r w:rsidR="0027021F" w:rsidRPr="00C36C8F">
        <w:rPr>
          <w:lang w:eastAsia="en-AU"/>
        </w:rPr>
        <w:t xml:space="preserve"> is particularly difficult, and especially so for food. For example, the distinction</w:t>
      </w:r>
      <w:r w:rsidR="00112BFE" w:rsidRPr="00C36C8F">
        <w:rPr>
          <w:lang w:eastAsia="en-AU"/>
        </w:rPr>
        <w:t xml:space="preserve"> between fruit that falls on the ground in an orchard</w:t>
      </w:r>
      <w:r w:rsidR="0027021F" w:rsidRPr="00C36C8F">
        <w:rPr>
          <w:lang w:eastAsia="en-AU"/>
        </w:rPr>
        <w:t xml:space="preserve">, fruit that </w:t>
      </w:r>
      <w:r w:rsidR="00AB0F90" w:rsidRPr="00C36C8F">
        <w:rPr>
          <w:lang w:eastAsia="en-AU"/>
        </w:rPr>
        <w:t>is d</w:t>
      </w:r>
      <w:r w:rsidR="00112BFE" w:rsidRPr="00C36C8F">
        <w:rPr>
          <w:lang w:eastAsia="en-AU"/>
        </w:rPr>
        <w:t>ropped o</w:t>
      </w:r>
      <w:r w:rsidR="00AB0F90" w:rsidRPr="00C36C8F">
        <w:rPr>
          <w:lang w:eastAsia="en-AU"/>
        </w:rPr>
        <w:t>n the</w:t>
      </w:r>
      <w:r w:rsidR="0027021F" w:rsidRPr="00C36C8F">
        <w:rPr>
          <w:lang w:eastAsia="en-AU"/>
        </w:rPr>
        <w:t xml:space="preserve"> packing room floor and fruit that </w:t>
      </w:r>
      <w:r w:rsidR="00AB0F90" w:rsidRPr="00C36C8F">
        <w:rPr>
          <w:lang w:eastAsia="en-AU"/>
        </w:rPr>
        <w:t>becomes a waste at a cannery is not easily made within the framework of primary and secondary industry.</w:t>
      </w:r>
    </w:p>
    <w:p w:rsidR="00C31914" w:rsidRPr="00C36C8F" w:rsidRDefault="00AB0F90" w:rsidP="000413DC">
      <w:pPr>
        <w:pStyle w:val="ParaIndent"/>
        <w:jc w:val="both"/>
        <w:rPr>
          <w:lang w:eastAsia="en-AU"/>
        </w:rPr>
      </w:pPr>
      <w:r w:rsidRPr="00C36C8F">
        <w:rPr>
          <w:lang w:eastAsia="en-AU"/>
        </w:rPr>
        <w:t>Agricultural</w:t>
      </w:r>
      <w:r w:rsidR="00C31914" w:rsidRPr="00C36C8F">
        <w:rPr>
          <w:lang w:eastAsia="en-AU"/>
        </w:rPr>
        <w:t xml:space="preserve"> wastes are </w:t>
      </w:r>
      <w:r w:rsidRPr="00C36C8F">
        <w:rPr>
          <w:lang w:eastAsia="en-AU"/>
        </w:rPr>
        <w:t xml:space="preserve">also </w:t>
      </w:r>
      <w:r w:rsidR="00C31914" w:rsidRPr="00C36C8F">
        <w:rPr>
          <w:lang w:eastAsia="en-AU"/>
        </w:rPr>
        <w:t xml:space="preserve">likely to be </w:t>
      </w:r>
      <w:r w:rsidRPr="00C36C8F">
        <w:rPr>
          <w:lang w:eastAsia="en-AU"/>
        </w:rPr>
        <w:t>sent to different destinations</w:t>
      </w:r>
      <w:r w:rsidR="00C31914" w:rsidRPr="00C36C8F">
        <w:rPr>
          <w:lang w:eastAsia="en-AU"/>
        </w:rPr>
        <w:t xml:space="preserve"> depending on where the industry is located. Agricultural wastes generated in more remote areas are likely to be disposed of on-site and are unlikely to be recorded. Conversely, agricultural waste generated adjacent to more highly populated areas are more likely to be disposed of at specific organic waste treatment facilities and are more likely to be recorded in recycling activity.</w:t>
      </w:r>
    </w:p>
    <w:p w:rsidR="0027021F" w:rsidRPr="00C36C8F" w:rsidRDefault="0027021F" w:rsidP="000413DC">
      <w:pPr>
        <w:pStyle w:val="ParaIndent"/>
        <w:jc w:val="both"/>
        <w:rPr>
          <w:lang w:eastAsia="en-AU"/>
        </w:rPr>
      </w:pPr>
      <w:r w:rsidRPr="00C36C8F">
        <w:rPr>
          <w:lang w:eastAsia="en-AU"/>
        </w:rPr>
        <w:t xml:space="preserve">For the purposes of </w:t>
      </w:r>
      <w:r w:rsidR="000D1ABE" w:rsidRPr="00C36C8F">
        <w:rPr>
          <w:lang w:eastAsia="en-AU"/>
        </w:rPr>
        <w:t>this report</w:t>
      </w:r>
      <w:r w:rsidRPr="00C36C8F">
        <w:rPr>
          <w:lang w:eastAsia="en-AU"/>
        </w:rPr>
        <w:t>, agricultural waste</w:t>
      </w:r>
      <w:r w:rsidR="003F4BCB" w:rsidRPr="00C36C8F">
        <w:rPr>
          <w:lang w:eastAsia="en-AU"/>
        </w:rPr>
        <w:t>s</w:t>
      </w:r>
      <w:r w:rsidRPr="00C36C8F">
        <w:rPr>
          <w:lang w:eastAsia="en-AU"/>
        </w:rPr>
        <w:t xml:space="preserve"> </w:t>
      </w:r>
      <w:r w:rsidR="000D1ABE" w:rsidRPr="00C36C8F">
        <w:rPr>
          <w:lang w:eastAsia="en-AU"/>
        </w:rPr>
        <w:t>do</w:t>
      </w:r>
      <w:r w:rsidRPr="00C36C8F">
        <w:rPr>
          <w:lang w:eastAsia="en-AU"/>
        </w:rPr>
        <w:t xml:space="preserve"> not include waste material ancillary to the core primary production. For example, fencing wire should be considered C&amp;I waste, and not agricultural waste.</w:t>
      </w:r>
    </w:p>
    <w:p w:rsidR="00416F0B" w:rsidRPr="00C36C8F" w:rsidRDefault="00FB4970" w:rsidP="000413DC">
      <w:pPr>
        <w:pStyle w:val="ParaIndent"/>
        <w:jc w:val="both"/>
      </w:pPr>
      <w:r w:rsidRPr="00C36C8F">
        <w:t>Organic a</w:t>
      </w:r>
      <w:r w:rsidR="00ED3D18" w:rsidRPr="00C36C8F">
        <w:t>gricultural wastes reported by Compost Australia</w:t>
      </w:r>
      <w:r w:rsidR="00ED3D18" w:rsidRPr="00C36C8F">
        <w:rPr>
          <w:vertAlign w:val="superscript"/>
        </w:rPr>
        <w:footnoteReference w:id="11"/>
      </w:r>
      <w:r w:rsidR="00ED3D18" w:rsidRPr="00C36C8F">
        <w:t xml:space="preserve"> were excluded from organics reprocessing calculation</w:t>
      </w:r>
      <w:r w:rsidR="00F11D80" w:rsidRPr="00C36C8F">
        <w:t>s</w:t>
      </w:r>
      <w:r w:rsidR="00ED3D18" w:rsidRPr="00C36C8F">
        <w:t xml:space="preserve">. See </w:t>
      </w:r>
      <w:fldSimple w:instr=" REF _Ref295203671 \h  \* MERGEFORMAT ">
        <w:r w:rsidR="00AE7E3B" w:rsidRPr="00C36C8F">
          <w:t xml:space="preserve">Table </w:t>
        </w:r>
        <w:r w:rsidR="00AE7E3B">
          <w:rPr>
            <w:noProof/>
          </w:rPr>
          <w:t>3</w:t>
        </w:r>
        <w:r w:rsidR="00AE7E3B" w:rsidRPr="00C36C8F">
          <w:rPr>
            <w:noProof/>
          </w:rPr>
          <w:t>-</w:t>
        </w:r>
        <w:r w:rsidR="00AE7E3B">
          <w:rPr>
            <w:noProof/>
          </w:rPr>
          <w:t>6</w:t>
        </w:r>
      </w:fldSimple>
      <w:r w:rsidR="00ED3D18" w:rsidRPr="00C36C8F">
        <w:t xml:space="preserve"> </w:t>
      </w:r>
      <w:r w:rsidR="00390A0D" w:rsidRPr="00C36C8F">
        <w:t>for</w:t>
      </w:r>
      <w:r w:rsidR="00ED3D18" w:rsidRPr="00C36C8F">
        <w:t xml:space="preserve"> specific inclusions and exclusions of organic materials.</w:t>
      </w:r>
      <w:r w:rsidRPr="00C36C8F">
        <w:t xml:space="preserve"> However, post-consumer wastes generated by the s</w:t>
      </w:r>
      <w:r w:rsidR="00F11D80" w:rsidRPr="00C36C8F">
        <w:t>ector are included in the scope. This includes products such as</w:t>
      </w:r>
      <w:r w:rsidRPr="00C36C8F">
        <w:t xml:space="preserve"> drums and other packaging, general farm consumables, and end-of-life </w:t>
      </w:r>
      <w:r w:rsidR="009F69E8" w:rsidRPr="00C36C8F">
        <w:t xml:space="preserve">farm </w:t>
      </w:r>
      <w:r w:rsidRPr="00C36C8F">
        <w:t>equipment.</w:t>
      </w:r>
    </w:p>
    <w:p w:rsidR="00416F0B" w:rsidRPr="00C36C8F" w:rsidRDefault="0027021F" w:rsidP="000413DC">
      <w:pPr>
        <w:pStyle w:val="ParaIndent"/>
        <w:jc w:val="both"/>
      </w:pPr>
      <w:r w:rsidRPr="00C36C8F">
        <w:t>There are a number of jurisdictions that include reprocessed agricultural wastes in recycling data. NSW reports agricultural waste received for reprocessing as a component of its organic stream. Queensland reports manure and other agricultural wastes recovered. Western Australia reports agricultural waste, excluding manures, collected for reprocessing. South Australia includes waste from agricultural processes collected for reprocessing in the ‘other organics’ category.</w:t>
      </w:r>
    </w:p>
    <w:p w:rsidR="00416F0B" w:rsidRPr="00C36C8F" w:rsidRDefault="0027021F" w:rsidP="000413DC">
      <w:pPr>
        <w:pStyle w:val="ParaIndent"/>
        <w:jc w:val="both"/>
      </w:pPr>
      <w:r w:rsidRPr="00C36C8F">
        <w:t xml:space="preserve">However, in all states and territories, agricultural waste that is disposed of to landfill is not usually distinguished from other organic material or other solid waste. As such, there is likely to be </w:t>
      </w:r>
      <w:r w:rsidR="00A55591" w:rsidRPr="00C36C8F">
        <w:t xml:space="preserve">some </w:t>
      </w:r>
      <w:r w:rsidRPr="00C36C8F">
        <w:rPr>
          <w:lang w:eastAsia="en-AU"/>
        </w:rPr>
        <w:t>agricultural waste included in many jurisdictions’ disposal to</w:t>
      </w:r>
      <w:r w:rsidR="00A55591" w:rsidRPr="00C36C8F">
        <w:rPr>
          <w:lang w:eastAsia="en-AU"/>
        </w:rPr>
        <w:t xml:space="preserve"> landfill figures.</w:t>
      </w:r>
    </w:p>
    <w:p w:rsidR="00416F0B" w:rsidRPr="00C36C8F" w:rsidRDefault="00390A0D" w:rsidP="000413DC">
      <w:pPr>
        <w:pStyle w:val="Heading40"/>
        <w:spacing w:before="0"/>
        <w:jc w:val="both"/>
      </w:pPr>
      <w:r w:rsidRPr="00C36C8F">
        <w:t>Recommendation 12: Clean fill should be excluded from the scope.</w:t>
      </w:r>
    </w:p>
    <w:p w:rsidR="006301A4" w:rsidRPr="00C36C8F" w:rsidRDefault="00FE36D3" w:rsidP="000413DC">
      <w:pPr>
        <w:pStyle w:val="ParaIndent"/>
        <w:keepNext/>
        <w:keepLines/>
        <w:jc w:val="both"/>
        <w:rPr>
          <w:lang w:eastAsia="en-AU"/>
        </w:rPr>
      </w:pPr>
      <w:r w:rsidRPr="00C36C8F">
        <w:rPr>
          <w:lang w:eastAsia="en-AU"/>
        </w:rPr>
        <w:t xml:space="preserve">Clean fill – earthen material in </w:t>
      </w:r>
      <w:r w:rsidR="00EA53B0" w:rsidRPr="00C36C8F">
        <w:rPr>
          <w:lang w:eastAsia="en-AU"/>
        </w:rPr>
        <w:t xml:space="preserve">a raw or unrefined state </w:t>
      </w:r>
      <w:r w:rsidRPr="00C36C8F">
        <w:rPr>
          <w:lang w:eastAsia="en-AU"/>
        </w:rPr>
        <w:t>–</w:t>
      </w:r>
      <w:r w:rsidR="006301A4" w:rsidRPr="00C36C8F">
        <w:rPr>
          <w:lang w:eastAsia="en-AU"/>
        </w:rPr>
        <w:t xml:space="preserve"> can be considered a primary product. By this account, </w:t>
      </w:r>
      <w:r w:rsidRPr="00C36C8F">
        <w:rPr>
          <w:lang w:eastAsia="en-AU"/>
        </w:rPr>
        <w:t>it</w:t>
      </w:r>
      <w:r w:rsidR="006301A4" w:rsidRPr="00C36C8F">
        <w:rPr>
          <w:lang w:eastAsia="en-AU"/>
        </w:rPr>
        <w:t xml:space="preserve"> should be considered for exclusion from the scope of waste and recycling reporting.</w:t>
      </w:r>
      <w:r w:rsidR="006F40D1" w:rsidRPr="00C36C8F">
        <w:rPr>
          <w:lang w:eastAsia="en-AU"/>
        </w:rPr>
        <w:t xml:space="preserve"> </w:t>
      </w:r>
    </w:p>
    <w:p w:rsidR="006301A4" w:rsidRPr="00C36C8F" w:rsidRDefault="006301A4" w:rsidP="000413DC">
      <w:pPr>
        <w:pStyle w:val="ParaIndent"/>
        <w:jc w:val="both"/>
        <w:rPr>
          <w:lang w:eastAsia="en-AU"/>
        </w:rPr>
      </w:pPr>
      <w:r w:rsidRPr="00C36C8F">
        <w:rPr>
          <w:lang w:eastAsia="en-AU"/>
        </w:rPr>
        <w:t xml:space="preserve">However, </w:t>
      </w:r>
      <w:r w:rsidR="00FE36D3" w:rsidRPr="00C36C8F">
        <w:rPr>
          <w:lang w:eastAsia="en-AU"/>
        </w:rPr>
        <w:t>clean fill is</w:t>
      </w:r>
      <w:r w:rsidRPr="00C36C8F">
        <w:rPr>
          <w:lang w:eastAsia="en-AU"/>
        </w:rPr>
        <w:t xml:space="preserve"> an anomaly in </w:t>
      </w:r>
      <w:r w:rsidR="00FE36D3" w:rsidRPr="00C36C8F">
        <w:rPr>
          <w:lang w:eastAsia="en-AU"/>
        </w:rPr>
        <w:t>an interesting</w:t>
      </w:r>
      <w:r w:rsidRPr="00C36C8F">
        <w:rPr>
          <w:lang w:eastAsia="en-AU"/>
        </w:rPr>
        <w:t xml:space="preserve"> respect. </w:t>
      </w:r>
      <w:r w:rsidR="00FE36D3" w:rsidRPr="00C36C8F">
        <w:rPr>
          <w:lang w:eastAsia="en-AU"/>
        </w:rPr>
        <w:t>Putting clean fill in</w:t>
      </w:r>
      <w:r w:rsidRPr="00C36C8F">
        <w:rPr>
          <w:lang w:eastAsia="en-AU"/>
        </w:rPr>
        <w:t xml:space="preserve"> landfill can</w:t>
      </w:r>
      <w:r w:rsidR="00FE36D3" w:rsidRPr="00C36C8F">
        <w:rPr>
          <w:lang w:eastAsia="en-AU"/>
        </w:rPr>
        <w:t xml:space="preserve"> be (and sometimes is)</w:t>
      </w:r>
      <w:r w:rsidRPr="00C36C8F">
        <w:rPr>
          <w:lang w:eastAsia="en-AU"/>
        </w:rPr>
        <w:t xml:space="preserve"> considered a re-use of materials. As such, </w:t>
      </w:r>
      <w:r w:rsidR="00FE36D3" w:rsidRPr="00C36C8F">
        <w:rPr>
          <w:lang w:eastAsia="en-AU"/>
        </w:rPr>
        <w:t>clean fill</w:t>
      </w:r>
      <w:r w:rsidRPr="00C36C8F">
        <w:rPr>
          <w:lang w:eastAsia="en-AU"/>
        </w:rPr>
        <w:t xml:space="preserve"> can either be included or excluded from the landfill ledger, but cannot be included in the recycling ledger; when </w:t>
      </w:r>
      <w:r w:rsidR="00FE36D3" w:rsidRPr="00C36C8F">
        <w:rPr>
          <w:lang w:eastAsia="en-AU"/>
        </w:rPr>
        <w:t>earthen materials are</w:t>
      </w:r>
      <w:r w:rsidRPr="00C36C8F">
        <w:rPr>
          <w:lang w:eastAsia="en-AU"/>
        </w:rPr>
        <w:t xml:space="preserve"> used as fill it is a re-use of material, not recycling.</w:t>
      </w:r>
    </w:p>
    <w:p w:rsidR="00416F0B" w:rsidRPr="00C36C8F" w:rsidRDefault="00FE36D3" w:rsidP="000413DC">
      <w:pPr>
        <w:pStyle w:val="ParaIndent"/>
        <w:jc w:val="both"/>
      </w:pPr>
      <w:r w:rsidRPr="00C36C8F">
        <w:t xml:space="preserve">This recommendation has been changed significantly from preliminary versions of the method that recommended clean fill be included in the scope, but </w:t>
      </w:r>
      <w:r w:rsidR="00EA53B0" w:rsidRPr="00C36C8F">
        <w:t xml:space="preserve">“reported separately to the total of all other materials included </w:t>
      </w:r>
      <w:r w:rsidR="0077752D" w:rsidRPr="00C36C8F">
        <w:t>within the scope</w:t>
      </w:r>
      <w:r w:rsidR="00EA53B0" w:rsidRPr="00C36C8F">
        <w:t>”</w:t>
      </w:r>
      <w:r w:rsidR="0077752D" w:rsidRPr="00C36C8F">
        <w:t>.</w:t>
      </w:r>
    </w:p>
    <w:p w:rsidR="00416F0B" w:rsidRPr="00C36C8F" w:rsidRDefault="002F450B" w:rsidP="000413DC">
      <w:pPr>
        <w:pStyle w:val="ParaIndent"/>
        <w:jc w:val="both"/>
      </w:pPr>
      <w:r w:rsidRPr="00C36C8F">
        <w:t xml:space="preserve">This recommendation </w:t>
      </w:r>
      <w:r w:rsidR="00DE7723" w:rsidRPr="00C36C8F">
        <w:t xml:space="preserve">also </w:t>
      </w:r>
      <w:r w:rsidRPr="00C36C8F">
        <w:t>differs from preliminary versions in that</w:t>
      </w:r>
      <w:r w:rsidR="00ED3D18" w:rsidRPr="00C36C8F">
        <w:t xml:space="preserve"> ‘soil, sand and rock’ </w:t>
      </w:r>
      <w:r w:rsidRPr="00C36C8F">
        <w:t>has been</w:t>
      </w:r>
      <w:r w:rsidR="00ED3D18" w:rsidRPr="00C36C8F">
        <w:t xml:space="preserve"> renamed as ‘clean fi</w:t>
      </w:r>
      <w:r w:rsidR="005D3B6B" w:rsidRPr="00C36C8F">
        <w:t xml:space="preserve">ll’. This enables a </w:t>
      </w:r>
      <w:r w:rsidR="00ED3D18" w:rsidRPr="00C36C8F">
        <w:t xml:space="preserve">better </w:t>
      </w:r>
      <w:r w:rsidR="005D3B6B" w:rsidRPr="00C36C8F">
        <w:t xml:space="preserve">distinction between earthen </w:t>
      </w:r>
      <w:r w:rsidR="00ED3D18" w:rsidRPr="00C36C8F">
        <w:t>material</w:t>
      </w:r>
      <w:r w:rsidR="005D3B6B" w:rsidRPr="00C36C8F">
        <w:t xml:space="preserve">s in </w:t>
      </w:r>
      <w:r w:rsidR="00EA53B0" w:rsidRPr="00C36C8F">
        <w:t xml:space="preserve">a raw or unrefined state </w:t>
      </w:r>
      <w:r w:rsidR="005D3B6B" w:rsidRPr="00C36C8F">
        <w:t>and</w:t>
      </w:r>
      <w:r w:rsidR="00ED3D18" w:rsidRPr="00C36C8F">
        <w:t xml:space="preserve"> loads of mixed rubble (which are counted under masonry materials and </w:t>
      </w:r>
      <w:r w:rsidR="00AB0F90" w:rsidRPr="00C36C8F">
        <w:t>rubble and unclean fill</w:t>
      </w:r>
      <w:r w:rsidR="00ED3D18" w:rsidRPr="00C36C8F">
        <w:rPr>
          <w:lang w:eastAsia="en-AU"/>
        </w:rPr>
        <w:t>)</w:t>
      </w:r>
      <w:r w:rsidR="00ED3D18" w:rsidRPr="00C36C8F">
        <w:t>.</w:t>
      </w:r>
    </w:p>
    <w:p w:rsidR="00416F0B" w:rsidRPr="00C36C8F" w:rsidRDefault="004D3B89" w:rsidP="000413DC">
      <w:pPr>
        <w:pStyle w:val="ParaIndent"/>
        <w:jc w:val="both"/>
      </w:pPr>
      <w:r w:rsidRPr="00C36C8F">
        <w:t>In most cases, clean fill is not disposed to landfill</w:t>
      </w:r>
      <w:r w:rsidR="006F40D1" w:rsidRPr="00C36C8F">
        <w:t>, and</w:t>
      </w:r>
      <w:r w:rsidR="00EC690B" w:rsidRPr="00C36C8F">
        <w:t xml:space="preserve"> only a small portion </w:t>
      </w:r>
      <w:r w:rsidR="006F40D1" w:rsidRPr="00C36C8F">
        <w:t xml:space="preserve">of total clean fill handled </w:t>
      </w:r>
      <w:r w:rsidR="00EC690B" w:rsidRPr="00C36C8F">
        <w:t>would ever be disposed to landfill.</w:t>
      </w:r>
    </w:p>
    <w:p w:rsidR="00416F0B" w:rsidRPr="00C36C8F" w:rsidRDefault="006F40D1" w:rsidP="000413DC">
      <w:pPr>
        <w:pStyle w:val="ParaIndent"/>
        <w:jc w:val="both"/>
      </w:pPr>
      <w:r w:rsidRPr="00C36C8F">
        <w:t>In addition, any clean fill that is used for cell construction, capping or rehabilitation should also be excluded from the data scope.</w:t>
      </w:r>
    </w:p>
    <w:p w:rsidR="00416F0B" w:rsidRPr="00C36C8F" w:rsidRDefault="006211B2" w:rsidP="000413DC">
      <w:pPr>
        <w:pStyle w:val="Heading40"/>
        <w:spacing w:before="0"/>
        <w:jc w:val="both"/>
        <w:rPr>
          <w:lang w:eastAsia="en-AU"/>
        </w:rPr>
      </w:pPr>
      <w:bookmarkStart w:id="83" w:name="_Toc279510569"/>
      <w:r w:rsidRPr="00C36C8F">
        <w:t>Recommendation 13: Daily cover (that is clean fill) should be excluded from the scope.</w:t>
      </w:r>
      <w:bookmarkEnd w:id="83"/>
    </w:p>
    <w:p w:rsidR="006301A4" w:rsidRPr="00C36C8F" w:rsidRDefault="006301A4" w:rsidP="000413DC">
      <w:pPr>
        <w:pStyle w:val="ParaIndent"/>
        <w:jc w:val="both"/>
        <w:rPr>
          <w:lang w:eastAsia="en-AU"/>
        </w:rPr>
      </w:pPr>
      <w:r w:rsidRPr="00C36C8F">
        <w:rPr>
          <w:lang w:eastAsia="en-AU"/>
        </w:rPr>
        <w:t xml:space="preserve">Daily and intermediate landfill cover refers to soil or other inert material used to temporarily cover </w:t>
      </w:r>
      <w:r w:rsidR="006211B2" w:rsidRPr="00C36C8F">
        <w:rPr>
          <w:lang w:eastAsia="en-AU"/>
        </w:rPr>
        <w:t>waste in</w:t>
      </w:r>
      <w:r w:rsidRPr="00C36C8F">
        <w:rPr>
          <w:lang w:eastAsia="en-AU"/>
        </w:rPr>
        <w:t xml:space="preserve"> landfills. Where landfills use daily cover, </w:t>
      </w:r>
      <w:r w:rsidR="003E7D82" w:rsidRPr="00C36C8F">
        <w:rPr>
          <w:lang w:eastAsia="en-AU"/>
        </w:rPr>
        <w:t>clean fill</w:t>
      </w:r>
      <w:r w:rsidRPr="00C36C8F">
        <w:rPr>
          <w:lang w:eastAsia="en-AU"/>
        </w:rPr>
        <w:t xml:space="preserve"> that is disposed of at the landfill is likely to be used for this purpose.</w:t>
      </w:r>
    </w:p>
    <w:p w:rsidR="006301A4" w:rsidRPr="00C36C8F" w:rsidRDefault="006301A4" w:rsidP="000413DC">
      <w:pPr>
        <w:pStyle w:val="ParaIndent"/>
        <w:jc w:val="both"/>
        <w:rPr>
          <w:lang w:eastAsia="en-AU"/>
        </w:rPr>
      </w:pPr>
      <w:r w:rsidRPr="00C36C8F">
        <w:rPr>
          <w:lang w:eastAsia="en-AU"/>
        </w:rPr>
        <w:t xml:space="preserve">The inclusion of daily cover in landfill figures is an anomaly for the same reasons that the inclusion of </w:t>
      </w:r>
      <w:r w:rsidR="003E7D82" w:rsidRPr="00C36C8F">
        <w:rPr>
          <w:lang w:eastAsia="en-AU"/>
        </w:rPr>
        <w:t>clean fill</w:t>
      </w:r>
      <w:r w:rsidRPr="00C36C8F">
        <w:rPr>
          <w:lang w:eastAsia="en-AU"/>
        </w:rPr>
        <w:t xml:space="preserve"> is an anomaly. The consistent approach would be to treat daily cover as a component of </w:t>
      </w:r>
      <w:r w:rsidR="003E7D82" w:rsidRPr="00C36C8F">
        <w:rPr>
          <w:lang w:eastAsia="en-AU"/>
        </w:rPr>
        <w:t>clean</w:t>
      </w:r>
      <w:r w:rsidR="006F40D1" w:rsidRPr="00C36C8F">
        <w:rPr>
          <w:lang w:eastAsia="en-AU"/>
        </w:rPr>
        <w:t xml:space="preserve"> fill</w:t>
      </w:r>
      <w:r w:rsidRPr="00C36C8F">
        <w:rPr>
          <w:lang w:eastAsia="en-AU"/>
        </w:rPr>
        <w:t>.</w:t>
      </w:r>
    </w:p>
    <w:p w:rsidR="003E7D82" w:rsidRPr="00C36C8F" w:rsidRDefault="003E7D82" w:rsidP="000413DC">
      <w:pPr>
        <w:pStyle w:val="ParaIndent"/>
        <w:jc w:val="both"/>
        <w:rPr>
          <w:lang w:eastAsia="en-AU"/>
        </w:rPr>
      </w:pPr>
      <w:r w:rsidRPr="00C36C8F">
        <w:rPr>
          <w:lang w:eastAsia="en-AU"/>
        </w:rPr>
        <w:t>Most states and territories list soil or daily cover as a separate material, though the way it is accounted for varies greatly between jurisdictions. Daily cover practices also differ between jurisdictions, at different landfill types and under different conditions.</w:t>
      </w:r>
    </w:p>
    <w:p w:rsidR="00416F0B" w:rsidRPr="00C36C8F" w:rsidRDefault="003E7D82" w:rsidP="000413DC">
      <w:pPr>
        <w:pStyle w:val="ParaIndent"/>
        <w:jc w:val="both"/>
      </w:pPr>
      <w:r w:rsidRPr="00C36C8F">
        <w:t>This recommendation has been changed from preliminary versions of the method by specifically referring to daily cover that is clean fill. Any othe</w:t>
      </w:r>
      <w:r w:rsidR="0077752D" w:rsidRPr="00C36C8F">
        <w:t xml:space="preserve">r material (e.g. mixed rubble or </w:t>
      </w:r>
      <w:r w:rsidRPr="00C36C8F">
        <w:t>chipped organics) that is used for daily cover and that is included in the scope should be included.</w:t>
      </w:r>
    </w:p>
    <w:p w:rsidR="006F40D1" w:rsidRPr="00C36C8F" w:rsidRDefault="006F40D1" w:rsidP="000413DC">
      <w:pPr>
        <w:pStyle w:val="ParaIndent"/>
        <w:jc w:val="both"/>
        <w:rPr>
          <w:lang w:eastAsia="en-AU"/>
        </w:rPr>
      </w:pPr>
      <w:r w:rsidRPr="00C36C8F">
        <w:rPr>
          <w:lang w:eastAsia="en-AU"/>
        </w:rPr>
        <w:t>In some jurisdictions, the amount of material disposed to landfill is adjusted downward to account for daily cover, irrespective of whether that daily cover is generated on-site. Accounting for daily cover in the recommended way would better account for the disposal of daily cover generated on-site.</w:t>
      </w:r>
    </w:p>
    <w:p w:rsidR="006301A4" w:rsidRPr="00C36C8F" w:rsidRDefault="006301A4" w:rsidP="000413DC">
      <w:pPr>
        <w:pStyle w:val="ParaIndent"/>
        <w:jc w:val="both"/>
        <w:rPr>
          <w:lang w:eastAsia="en-AU"/>
        </w:rPr>
      </w:pPr>
      <w:r w:rsidRPr="00C36C8F">
        <w:rPr>
          <w:lang w:eastAsia="en-AU"/>
        </w:rPr>
        <w:t>NSW counts soil, including daily cover, as waste disposed to landfill. Earth based material is reported as a particular material in the domestic waste stream. Soil is not reported separately from other C&amp;D waste.</w:t>
      </w:r>
    </w:p>
    <w:p w:rsidR="006211B2" w:rsidRPr="00C36C8F" w:rsidRDefault="006301A4" w:rsidP="000413DC">
      <w:pPr>
        <w:pStyle w:val="ParaIndent"/>
        <w:jc w:val="both"/>
        <w:rPr>
          <w:lang w:eastAsia="en-AU"/>
        </w:rPr>
      </w:pPr>
      <w:r w:rsidRPr="00C36C8F">
        <w:rPr>
          <w:lang w:eastAsia="en-AU"/>
        </w:rPr>
        <w:t xml:space="preserve">In Victoria, landfill operators are granted a fixed rebate equal to 15% of all “waste deposited onto land at the premises” to allow for daily cover. As a result, </w:t>
      </w:r>
      <w:r w:rsidR="006211B2" w:rsidRPr="00C36C8F">
        <w:rPr>
          <w:lang w:eastAsia="en-AU"/>
        </w:rPr>
        <w:t>some d</w:t>
      </w:r>
      <w:r w:rsidRPr="00C36C8F">
        <w:rPr>
          <w:lang w:eastAsia="en-AU"/>
        </w:rPr>
        <w:t>ata reporte</w:t>
      </w:r>
      <w:r w:rsidR="006F40D1" w:rsidRPr="00C36C8F">
        <w:rPr>
          <w:lang w:eastAsia="en-AU"/>
        </w:rPr>
        <w:t xml:space="preserve">d </w:t>
      </w:r>
      <w:r w:rsidR="006211B2" w:rsidRPr="00C36C8F">
        <w:rPr>
          <w:lang w:eastAsia="en-AU"/>
        </w:rPr>
        <w:t>for Victoria regarding</w:t>
      </w:r>
      <w:r w:rsidR="006F40D1" w:rsidRPr="00C36C8F">
        <w:rPr>
          <w:lang w:eastAsia="en-AU"/>
        </w:rPr>
        <w:t xml:space="preserve"> waste disposed</w:t>
      </w:r>
      <w:r w:rsidRPr="00C36C8F">
        <w:rPr>
          <w:lang w:eastAsia="en-AU"/>
        </w:rPr>
        <w:t xml:space="preserve"> to landfill is </w:t>
      </w:r>
      <w:r w:rsidR="006211B2" w:rsidRPr="00C36C8F">
        <w:rPr>
          <w:lang w:eastAsia="en-AU"/>
        </w:rPr>
        <w:t xml:space="preserve">15% </w:t>
      </w:r>
      <w:r w:rsidRPr="00C36C8F">
        <w:rPr>
          <w:lang w:eastAsia="en-AU"/>
        </w:rPr>
        <w:t xml:space="preserve">less than the actual amount disposed to landfill. </w:t>
      </w:r>
      <w:r w:rsidR="006211B2" w:rsidRPr="00C36C8F">
        <w:rPr>
          <w:lang w:eastAsia="en-AU"/>
        </w:rPr>
        <w:t xml:space="preserve">This report has reported the total wastes to landfill (i.e. the 15% cover allowance has not been subtracted). </w:t>
      </w:r>
    </w:p>
    <w:p w:rsidR="006301A4" w:rsidRPr="00C36C8F" w:rsidRDefault="006301A4" w:rsidP="000413DC">
      <w:pPr>
        <w:pStyle w:val="ParaIndent"/>
        <w:jc w:val="both"/>
        <w:rPr>
          <w:lang w:eastAsia="en-AU"/>
        </w:rPr>
      </w:pPr>
      <w:r w:rsidRPr="00C36C8F">
        <w:rPr>
          <w:lang w:eastAsia="en-AU"/>
        </w:rPr>
        <w:t>Queensland reports clean fill disposed to landfill as a discrete item. Queensland previously made allowances for daily cover, but no longer does so.</w:t>
      </w:r>
    </w:p>
    <w:p w:rsidR="006301A4" w:rsidRPr="00C36C8F" w:rsidRDefault="006301A4" w:rsidP="000413DC">
      <w:pPr>
        <w:pStyle w:val="ParaIndent"/>
        <w:jc w:val="both"/>
        <w:rPr>
          <w:lang w:eastAsia="en-AU"/>
        </w:rPr>
      </w:pPr>
      <w:r w:rsidRPr="00C36C8F">
        <w:rPr>
          <w:lang w:eastAsia="en-AU"/>
        </w:rPr>
        <w:t>Western Australia provides separate data on “sand, soil, clean fill and rubble” in its materials recovery reporting. In calculating the landfill levy, some landfill sites are able to make an allowance for daily cover</w:t>
      </w:r>
      <w:r w:rsidR="00143C41" w:rsidRPr="00C36C8F">
        <w:rPr>
          <w:lang w:eastAsia="en-AU"/>
        </w:rPr>
        <w:t xml:space="preserve"> of</w:t>
      </w:r>
      <w:r w:rsidRPr="00C36C8F">
        <w:rPr>
          <w:lang w:eastAsia="en-AU"/>
        </w:rPr>
        <w:t xml:space="preserve"> up to 8% of the waste received.</w:t>
      </w:r>
    </w:p>
    <w:p w:rsidR="006301A4" w:rsidRPr="00C36C8F" w:rsidRDefault="006301A4" w:rsidP="000413DC">
      <w:pPr>
        <w:pStyle w:val="ParaIndent"/>
        <w:jc w:val="both"/>
        <w:rPr>
          <w:lang w:eastAsia="en-AU"/>
        </w:rPr>
      </w:pPr>
      <w:r w:rsidRPr="00C36C8F">
        <w:rPr>
          <w:lang w:eastAsia="en-AU"/>
        </w:rPr>
        <w:t>South Australia reports soil in combination with brick, tile and rubble. Clean fill is exempt from the landfill levy and is reported separately in the landfill levy accounts. No special accounting is made for daily cover.</w:t>
      </w:r>
    </w:p>
    <w:p w:rsidR="006301A4" w:rsidRPr="00C36C8F" w:rsidRDefault="006301A4" w:rsidP="000413DC">
      <w:pPr>
        <w:pStyle w:val="ParaIndent"/>
        <w:jc w:val="both"/>
        <w:rPr>
          <w:lang w:eastAsia="en-AU"/>
        </w:rPr>
      </w:pPr>
      <w:r w:rsidRPr="00C36C8F">
        <w:rPr>
          <w:lang w:eastAsia="en-AU"/>
        </w:rPr>
        <w:t>Tasmania excludes clean fill from landfill reporting and does not make any allowance for daily cover.</w:t>
      </w:r>
    </w:p>
    <w:p w:rsidR="00416F0B" w:rsidRPr="00C36C8F" w:rsidRDefault="00112AEA" w:rsidP="000413DC">
      <w:pPr>
        <w:pStyle w:val="Heading40"/>
        <w:spacing w:before="0"/>
        <w:jc w:val="both"/>
      </w:pPr>
      <w:bookmarkStart w:id="84" w:name="_Toc279510570"/>
      <w:r w:rsidRPr="00C36C8F">
        <w:t>Recommendation 14: Fly ash should be included in the scope, but is reported separately to the total of all other materials included in the scope.</w:t>
      </w:r>
      <w:bookmarkEnd w:id="84"/>
    </w:p>
    <w:p w:rsidR="006301A4" w:rsidRPr="00C36C8F" w:rsidRDefault="006301A4" w:rsidP="000413DC">
      <w:pPr>
        <w:pStyle w:val="ParaIndent"/>
        <w:keepNext/>
        <w:jc w:val="both"/>
        <w:rPr>
          <w:lang w:eastAsia="en-AU"/>
        </w:rPr>
      </w:pPr>
      <w:r w:rsidRPr="00C36C8F">
        <w:rPr>
          <w:lang w:eastAsia="en-AU"/>
        </w:rPr>
        <w:t>Fly ash is a pre-consumer waste generated during the combustion of material, most usually coal for electricity generation</w:t>
      </w:r>
      <w:r w:rsidR="00C0443B" w:rsidRPr="00C36C8F">
        <w:rPr>
          <w:lang w:eastAsia="en-AU"/>
        </w:rPr>
        <w:t xml:space="preserve"> (a secondary industry). It is also </w:t>
      </w:r>
      <w:r w:rsidRPr="00C36C8F">
        <w:rPr>
          <w:lang w:eastAsia="en-AU"/>
        </w:rPr>
        <w:t>sometimes classified as a hazardous or regulated waste.</w:t>
      </w:r>
    </w:p>
    <w:p w:rsidR="006301A4" w:rsidRPr="00C36C8F" w:rsidRDefault="00FF2678" w:rsidP="000413DC">
      <w:pPr>
        <w:pStyle w:val="ParaIndent"/>
        <w:keepNext/>
        <w:jc w:val="both"/>
        <w:rPr>
          <w:lang w:eastAsia="en-AU"/>
        </w:rPr>
      </w:pPr>
      <w:r w:rsidRPr="00C36C8F">
        <w:rPr>
          <w:lang w:eastAsia="en-AU"/>
        </w:rPr>
        <w:t xml:space="preserve">Fly ash is unusual in that </w:t>
      </w:r>
      <w:r w:rsidR="006301A4" w:rsidRPr="00C36C8F">
        <w:rPr>
          <w:lang w:eastAsia="en-AU"/>
        </w:rPr>
        <w:t>where it is not recycled, it is usually disposed of into ‘ash dams’ located adjacent to mines and power stations. In this respect, fly ash can be considered to be disposed of on-site.</w:t>
      </w:r>
      <w:r w:rsidR="0077752D" w:rsidRPr="00C36C8F">
        <w:rPr>
          <w:lang w:eastAsia="en-AU"/>
        </w:rPr>
        <w:t xml:space="preserve"> Where fly ash is recycled, it is commonly used in the cement manufacturing process, or as a soil conditioner.</w:t>
      </w:r>
    </w:p>
    <w:p w:rsidR="006301A4" w:rsidRPr="00C36C8F" w:rsidRDefault="006301A4" w:rsidP="000413DC">
      <w:pPr>
        <w:pStyle w:val="ParaIndent"/>
        <w:keepNext/>
        <w:jc w:val="both"/>
        <w:rPr>
          <w:lang w:eastAsia="en-AU"/>
        </w:rPr>
      </w:pPr>
      <w:r w:rsidRPr="00C36C8F">
        <w:rPr>
          <w:lang w:eastAsia="en-AU"/>
        </w:rPr>
        <w:t>However, unlike primary production and pre-consumer wastes disposed of on-site, fly ash is clearly a solid industrial waste</w:t>
      </w:r>
      <w:r w:rsidR="00C72382" w:rsidRPr="00C36C8F">
        <w:rPr>
          <w:lang w:eastAsia="en-AU"/>
        </w:rPr>
        <w:t xml:space="preserve"> (when it is disposed)</w:t>
      </w:r>
      <w:r w:rsidRPr="00C36C8F">
        <w:rPr>
          <w:lang w:eastAsia="en-AU"/>
        </w:rPr>
        <w:t xml:space="preserve"> that should be disposed of in a controlled way. The on-site disposal of fly ash is more by virtue of the fact that it is generated adjacent to a site which is available for disposal. But for this, it is likely that fly ash would be subject to stringent requirements for disposal through routes for co</w:t>
      </w:r>
      <w:r w:rsidR="00C0443B" w:rsidRPr="00C36C8F">
        <w:rPr>
          <w:lang w:eastAsia="en-AU"/>
        </w:rPr>
        <w:t>nventional or hazardous wastes.</w:t>
      </w:r>
    </w:p>
    <w:p w:rsidR="00C0443B" w:rsidRPr="00C36C8F" w:rsidRDefault="00C0443B" w:rsidP="000413DC">
      <w:pPr>
        <w:pStyle w:val="ParaIndent"/>
        <w:keepNext/>
        <w:jc w:val="both"/>
        <w:rPr>
          <w:lang w:eastAsia="en-AU"/>
        </w:rPr>
      </w:pPr>
      <w:r w:rsidRPr="00C36C8F">
        <w:t>Most states and territories do not record fly ash separately as part of solid waste data.</w:t>
      </w:r>
    </w:p>
    <w:p w:rsidR="00C0443B" w:rsidRPr="00C36C8F" w:rsidRDefault="00C0443B" w:rsidP="000413DC">
      <w:pPr>
        <w:pStyle w:val="ParaIndent"/>
        <w:jc w:val="both"/>
      </w:pPr>
      <w:r w:rsidRPr="00C36C8F">
        <w:t xml:space="preserve">Queensland lists fly ash as a separate item in the reporting of waste from industrial facilities. </w:t>
      </w:r>
    </w:p>
    <w:p w:rsidR="00C0443B" w:rsidRPr="00C36C8F" w:rsidRDefault="00C0443B" w:rsidP="000413DC">
      <w:pPr>
        <w:pStyle w:val="ParaIndent"/>
        <w:jc w:val="both"/>
      </w:pPr>
      <w:r w:rsidRPr="00C36C8F">
        <w:t>South Australia also reports on fly ash separately to other materials, and records it as a specific waste type in the composition of recycled materials.</w:t>
      </w:r>
    </w:p>
    <w:p w:rsidR="00416F0B" w:rsidRPr="00C36C8F" w:rsidRDefault="00FF2678" w:rsidP="000413DC">
      <w:pPr>
        <w:pStyle w:val="ParaIndent"/>
        <w:jc w:val="both"/>
      </w:pPr>
      <w:r w:rsidRPr="00C36C8F">
        <w:t xml:space="preserve">Data on aggregated </w:t>
      </w:r>
      <w:r w:rsidR="00882F01" w:rsidRPr="00C36C8F">
        <w:t xml:space="preserve">national generation, </w:t>
      </w:r>
      <w:r w:rsidR="00ED3D18" w:rsidRPr="00C36C8F">
        <w:t>re-use and storage of fly ash was obtained from the Ash Development Association of Australia. For the purposes of this report, re-use of fly ash was considered to be recycling, and that which was put into storage (annually) was considered to be disposed.</w:t>
      </w:r>
    </w:p>
    <w:p w:rsidR="00416F0B" w:rsidRPr="00C36C8F" w:rsidRDefault="00ED3D18" w:rsidP="000413DC">
      <w:pPr>
        <w:pStyle w:val="ParaIndent"/>
        <w:jc w:val="both"/>
      </w:pPr>
      <w:r w:rsidRPr="00C36C8F">
        <w:t>Data on the size and location of coal fired power stations</w:t>
      </w:r>
      <w:r w:rsidR="00FF2678" w:rsidRPr="00C36C8F">
        <w:t xml:space="preserve"> was then used to estimate</w:t>
      </w:r>
      <w:r w:rsidRPr="00C36C8F">
        <w:t xml:space="preserve"> data on the amount of fly ash produced in each state and territory. Data on the amount of fly ash recycled was obtained from government reports for South Australia and Queensland. For all other s</w:t>
      </w:r>
      <w:r w:rsidR="00882F01" w:rsidRPr="00C36C8F">
        <w:t xml:space="preserve">tates and territories, </w:t>
      </w:r>
      <w:r w:rsidRPr="00C36C8F">
        <w:t>generation, recycling and</w:t>
      </w:r>
      <w:r w:rsidR="00882F01" w:rsidRPr="00C36C8F">
        <w:t xml:space="preserve"> disposal figures were then estimated</w:t>
      </w:r>
      <w:r w:rsidRPr="00C36C8F">
        <w:t xml:space="preserve"> according to the distribution of coal</w:t>
      </w:r>
      <w:r w:rsidR="00882F01" w:rsidRPr="00C36C8F">
        <w:t xml:space="preserve"> fired power stations. This did</w:t>
      </w:r>
      <w:r w:rsidRPr="00C36C8F">
        <w:t xml:space="preserve"> not take into account variations in the generation of fly ash as a result of difference in the feed stock and the type of coal fired power stations.</w:t>
      </w:r>
    </w:p>
    <w:p w:rsidR="00416F0B" w:rsidRPr="00C36C8F" w:rsidRDefault="00ED3D18" w:rsidP="000413DC">
      <w:pPr>
        <w:pStyle w:val="ParaIndent"/>
        <w:tabs>
          <w:tab w:val="right" w:pos="9638"/>
        </w:tabs>
        <w:jc w:val="both"/>
      </w:pPr>
      <w:r w:rsidRPr="00C36C8F">
        <w:t>Fly ash was recorded as having been sourced from the C&amp;I sector.</w:t>
      </w:r>
    </w:p>
    <w:p w:rsidR="00416F0B" w:rsidRPr="00C36C8F" w:rsidRDefault="00ED3D18" w:rsidP="000413DC">
      <w:pPr>
        <w:pStyle w:val="ParaIndent"/>
        <w:jc w:val="both"/>
      </w:pPr>
      <w:r w:rsidRPr="00C36C8F">
        <w:t xml:space="preserve">Although fly ash is recorded separately to other materials in this report, its inclusion has a significant effect of the total volumes of solid waste recorded. This can be observed in the difference in volumes between the subtotal and totals for most states in </w:t>
      </w:r>
      <w:r w:rsidR="00882F01" w:rsidRPr="00C36C8F">
        <w:t xml:space="preserve">Section </w:t>
      </w:r>
      <w:fldSimple w:instr=" REF _Ref299369680 \r \h  \* MERGEFORMAT ">
        <w:r w:rsidR="00AE7E3B">
          <w:t>4.1</w:t>
        </w:r>
      </w:fldSimple>
      <w:r w:rsidRPr="00C36C8F">
        <w:t>.</w:t>
      </w:r>
    </w:p>
    <w:p w:rsidR="00416F0B" w:rsidRPr="00C36C8F" w:rsidRDefault="009A5212" w:rsidP="000413DC">
      <w:pPr>
        <w:pStyle w:val="Heading40"/>
        <w:spacing w:before="0"/>
        <w:jc w:val="both"/>
      </w:pPr>
      <w:bookmarkStart w:id="85" w:name="_Toc279510571"/>
      <w:r w:rsidRPr="00C36C8F">
        <w:t>Recommendation 15: Biosolids should be included in the scope.</w:t>
      </w:r>
      <w:bookmarkEnd w:id="85"/>
    </w:p>
    <w:p w:rsidR="006301A4" w:rsidRPr="00C36C8F" w:rsidRDefault="006301A4" w:rsidP="000413DC">
      <w:pPr>
        <w:pStyle w:val="ParaIndent"/>
        <w:jc w:val="both"/>
      </w:pPr>
      <w:r w:rsidRPr="00C36C8F">
        <w:t xml:space="preserve">Biosolids are the residual material from sewage treatment plants and industrial wastewater treatment. Biosolids are a </w:t>
      </w:r>
      <w:r w:rsidR="00E96F8C" w:rsidRPr="00C36C8F">
        <w:t xml:space="preserve">residual waste from the treatment of a </w:t>
      </w:r>
      <w:r w:rsidRPr="00C36C8F">
        <w:t>post-consumer waste.</w:t>
      </w:r>
    </w:p>
    <w:p w:rsidR="00CF7A10" w:rsidRPr="00C36C8F" w:rsidRDefault="00597976" w:rsidP="000413DC">
      <w:pPr>
        <w:pStyle w:val="ParaIndent"/>
        <w:jc w:val="both"/>
      </w:pPr>
      <w:r w:rsidRPr="00C36C8F">
        <w:t xml:space="preserve">Biosolids are usually dewatered and recycled or sent to landfill. </w:t>
      </w:r>
      <w:r w:rsidR="00CF7A10" w:rsidRPr="00C36C8F">
        <w:t xml:space="preserve">The </w:t>
      </w:r>
      <w:r w:rsidR="00596FE4" w:rsidRPr="00C36C8F">
        <w:t>water content</w:t>
      </w:r>
      <w:r w:rsidR="00CF7A10" w:rsidRPr="00C36C8F">
        <w:t xml:space="preserve"> of fresh bio</w:t>
      </w:r>
      <w:r w:rsidR="00596FE4" w:rsidRPr="00C36C8F">
        <w:t>solids is variable and often very high</w:t>
      </w:r>
      <w:r w:rsidR="00CF7A10" w:rsidRPr="00C36C8F">
        <w:t xml:space="preserve">. </w:t>
      </w:r>
      <w:r w:rsidR="00596FE4" w:rsidRPr="00C36C8F">
        <w:t>However, from the perspective of national and state/territory levels of data aggregation,</w:t>
      </w:r>
      <w:r w:rsidR="00CF7A10" w:rsidRPr="00C36C8F">
        <w:t xml:space="preserve"> </w:t>
      </w:r>
      <w:r w:rsidR="009D027B" w:rsidRPr="00C36C8F">
        <w:t xml:space="preserve">it is believed likely that </w:t>
      </w:r>
      <w:r w:rsidR="00CF7A10" w:rsidRPr="00C36C8F">
        <w:t xml:space="preserve">the biosolids produced in any year </w:t>
      </w:r>
      <w:r w:rsidR="00596FE4" w:rsidRPr="00C36C8F">
        <w:t xml:space="preserve">are likely to have </w:t>
      </w:r>
      <w:r w:rsidR="00CF7A10" w:rsidRPr="00C36C8F">
        <w:t xml:space="preserve">similar </w:t>
      </w:r>
      <w:r w:rsidR="009D027B" w:rsidRPr="00C36C8F">
        <w:t>average moisture levels</w:t>
      </w:r>
      <w:r w:rsidR="00596FE4" w:rsidRPr="00C36C8F">
        <w:t xml:space="preserve">. </w:t>
      </w:r>
      <w:r w:rsidR="009D027B" w:rsidRPr="00C36C8F">
        <w:t>Assuming this is the case, and that no other significant changes to data collection have occurred, then</w:t>
      </w:r>
      <w:r w:rsidR="00596FE4" w:rsidRPr="00C36C8F">
        <w:t xml:space="preserve"> year-on-year comparisons of </w:t>
      </w:r>
      <w:r w:rsidR="009D027B" w:rsidRPr="00C36C8F">
        <w:t xml:space="preserve">available data on </w:t>
      </w:r>
      <w:r w:rsidR="00596FE4" w:rsidRPr="00C36C8F">
        <w:t>biosolids generation, landfill and rec</w:t>
      </w:r>
      <w:r w:rsidR="009D027B" w:rsidRPr="00C36C8F">
        <w:t>ycling</w:t>
      </w:r>
      <w:r w:rsidR="00596FE4" w:rsidRPr="00C36C8F">
        <w:t>, are useful.</w:t>
      </w:r>
    </w:p>
    <w:p w:rsidR="00C0443B" w:rsidRPr="00C36C8F" w:rsidRDefault="00C0443B" w:rsidP="000413DC">
      <w:pPr>
        <w:pStyle w:val="ParaIndent"/>
        <w:jc w:val="both"/>
      </w:pPr>
      <w:r w:rsidRPr="00C36C8F">
        <w:t>NSW reports biosolids, grit and screenings as a distinct material type in the composition of organic material received for reprocessing.</w:t>
      </w:r>
    </w:p>
    <w:p w:rsidR="00C0443B" w:rsidRPr="00C36C8F" w:rsidRDefault="00C0443B" w:rsidP="000413DC">
      <w:pPr>
        <w:pStyle w:val="ParaIndent"/>
        <w:jc w:val="both"/>
      </w:pPr>
      <w:r w:rsidRPr="00C36C8F">
        <w:t xml:space="preserve">Victoria measures biosolids separately from other wastes, and reports on it separately to </w:t>
      </w:r>
      <w:r w:rsidR="00E96F8C" w:rsidRPr="00C36C8F">
        <w:t>all other</w:t>
      </w:r>
      <w:r w:rsidRPr="00C36C8F">
        <w:t xml:space="preserve"> recycling and landfilling activity.</w:t>
      </w:r>
    </w:p>
    <w:p w:rsidR="00C0443B" w:rsidRPr="00C36C8F" w:rsidRDefault="00C0443B" w:rsidP="000413DC">
      <w:pPr>
        <w:pStyle w:val="ParaIndent"/>
        <w:jc w:val="both"/>
      </w:pPr>
      <w:r w:rsidRPr="00C36C8F">
        <w:t>Queensland reports biosolids separately both in terms of material landfilled and material recovered. In recording biosolids, an attempt is made to measure the dry weight of the material, where possible.</w:t>
      </w:r>
    </w:p>
    <w:p w:rsidR="00C0443B" w:rsidRPr="00C36C8F" w:rsidRDefault="00C0443B" w:rsidP="000413DC">
      <w:pPr>
        <w:pStyle w:val="ParaIndent"/>
        <w:jc w:val="both"/>
      </w:pPr>
      <w:r w:rsidRPr="00C36C8F">
        <w:t>Western Australia records biosolids that are collected for reprocessing, but reports them separately to other organic wastes.</w:t>
      </w:r>
    </w:p>
    <w:p w:rsidR="00C0443B" w:rsidRPr="00C36C8F" w:rsidRDefault="00C0443B" w:rsidP="000413DC">
      <w:pPr>
        <w:pStyle w:val="ParaIndent"/>
        <w:jc w:val="both"/>
      </w:pPr>
      <w:r w:rsidRPr="00C36C8F">
        <w:t>South Australia excludes biosolids from its reported recycling.</w:t>
      </w:r>
    </w:p>
    <w:p w:rsidR="00416F0B" w:rsidRPr="00C36C8F" w:rsidRDefault="00ED3D18" w:rsidP="000413DC">
      <w:pPr>
        <w:pStyle w:val="ParaIndent"/>
        <w:jc w:val="both"/>
      </w:pPr>
      <w:r w:rsidRPr="00C36C8F">
        <w:t>Data on the disposal to landfill of biosolids was obtained from the Australian and New Zealand Biosolids Partnership</w:t>
      </w:r>
      <w:r w:rsidRPr="00C36C8F">
        <w:rPr>
          <w:rStyle w:val="FootnoteReference"/>
        </w:rPr>
        <w:footnoteReference w:id="12"/>
      </w:r>
      <w:r w:rsidRPr="00C36C8F">
        <w:t xml:space="preserve"> on production and disposal routes of biosolids in Australia.</w:t>
      </w:r>
      <w:r w:rsidR="00963FBC" w:rsidRPr="00C36C8F">
        <w:t xml:space="preserve"> The tonnages reported are dry biosolids reported as disposed by the partnership.</w:t>
      </w:r>
      <w:r w:rsidRPr="00C36C8F">
        <w:t xml:space="preserve"> Data on the stockpiling of biosolids was excluded as information on the age of the stockpiles was unavailable. Data on the recycling of biosolids was taken from Compost Australia</w:t>
      </w:r>
      <w:r w:rsidRPr="00C36C8F">
        <w:rPr>
          <w:rStyle w:val="FootnoteReference"/>
        </w:rPr>
        <w:footnoteReference w:id="13"/>
      </w:r>
      <w:r w:rsidRPr="00C36C8F">
        <w:t xml:space="preserve">. </w:t>
      </w:r>
    </w:p>
    <w:p w:rsidR="00416F0B" w:rsidRDefault="004F40D8" w:rsidP="000413DC">
      <w:pPr>
        <w:pStyle w:val="ParaIndent"/>
        <w:jc w:val="both"/>
      </w:pPr>
      <w:r w:rsidRPr="00C36C8F">
        <w:t>Biosolids are</w:t>
      </w:r>
      <w:r w:rsidR="00ED3D18" w:rsidRPr="00C36C8F">
        <w:t xml:space="preserve"> classed being an organic material and attributed to the municipal sector as the majority of biosolids are generated from the treatmen</w:t>
      </w:r>
      <w:r w:rsidRPr="00C36C8F">
        <w:t xml:space="preserve">t of domestic sewage. Many </w:t>
      </w:r>
      <w:r w:rsidR="00ED3D18" w:rsidRPr="00C36C8F">
        <w:t>industrial wastes sent to sewe</w:t>
      </w:r>
      <w:r w:rsidRPr="00C36C8F">
        <w:t>r also contribute to biosolids, however many facilities will also have on-site treatment to remove dissolved and suspended solids. The respective contributions of MSW and C&amp;I sources to final biosolids quantities is not known, and the current agreed approach is to allocate all biosolids to the municipal waste stream.</w:t>
      </w:r>
    </w:p>
    <w:p w:rsidR="00416F0B" w:rsidRPr="00C36C8F" w:rsidRDefault="00406A80" w:rsidP="000413DC">
      <w:pPr>
        <w:pStyle w:val="Heading40"/>
        <w:spacing w:before="0"/>
        <w:jc w:val="both"/>
      </w:pPr>
      <w:bookmarkStart w:id="86" w:name="_Toc279510572"/>
      <w:bookmarkStart w:id="87" w:name="_Ref299368490"/>
      <w:r w:rsidRPr="00C36C8F">
        <w:t>Recommendation 16: Hazardous, prescribed or clinical wastes should be included in the scope.</w:t>
      </w:r>
      <w:bookmarkEnd w:id="86"/>
      <w:bookmarkEnd w:id="87"/>
    </w:p>
    <w:p w:rsidR="006301A4" w:rsidRPr="00C36C8F" w:rsidRDefault="006301A4" w:rsidP="000413DC">
      <w:pPr>
        <w:pStyle w:val="ParaIndent"/>
        <w:jc w:val="both"/>
      </w:pPr>
      <w:r w:rsidRPr="00C36C8F">
        <w:t>Hazardous, prescribed or clinical wastes have been excluded from previous national waste and recycling reports, which reflect</w:t>
      </w:r>
      <w:r w:rsidR="00DE77C4" w:rsidRPr="00C36C8F">
        <w:t>s</w:t>
      </w:r>
      <w:r w:rsidRPr="00C36C8F">
        <w:t xml:space="preserve"> the reporting approach of most states and territories. However, this exclusion raises a number of issues.</w:t>
      </w:r>
    </w:p>
    <w:p w:rsidR="006301A4" w:rsidRPr="00C36C8F" w:rsidRDefault="00914B73" w:rsidP="000413DC">
      <w:pPr>
        <w:pStyle w:val="ParaIndent"/>
        <w:jc w:val="both"/>
      </w:pPr>
      <w:r w:rsidRPr="00C36C8F">
        <w:t>Firstly, h</w:t>
      </w:r>
      <w:r w:rsidR="006301A4" w:rsidRPr="00C36C8F">
        <w:t>azardous</w:t>
      </w:r>
      <w:r w:rsidRPr="00C36C8F">
        <w:t xml:space="preserve"> wastes are usually defined through </w:t>
      </w:r>
      <w:r w:rsidR="006F40D1" w:rsidRPr="00C36C8F">
        <w:t xml:space="preserve">regulation, based on </w:t>
      </w:r>
      <w:r w:rsidRPr="00C36C8F">
        <w:t>consideration of the chemical or biological state</w:t>
      </w:r>
      <w:r w:rsidR="006301A4" w:rsidRPr="00C36C8F">
        <w:t xml:space="preserve"> of a particular product or material, rather than a</w:t>
      </w:r>
      <w:r w:rsidRPr="00C36C8F">
        <w:t>ny relationship to a</w:t>
      </w:r>
      <w:r w:rsidR="006301A4" w:rsidRPr="00C36C8F">
        <w:t xml:space="preserve"> di</w:t>
      </w:r>
      <w:r w:rsidRPr="00C36C8F">
        <w:t>stinct product or material type</w:t>
      </w:r>
      <w:r w:rsidR="006301A4" w:rsidRPr="00C36C8F">
        <w:t xml:space="preserve">. For example, contaminated steel and plastic containers may be excluded from solid waste data, but clean containers are included in both recycling and landfilling figures. </w:t>
      </w:r>
    </w:p>
    <w:p w:rsidR="006301A4" w:rsidRPr="00C36C8F" w:rsidRDefault="006301A4" w:rsidP="000413DC">
      <w:pPr>
        <w:pStyle w:val="ParaIndent"/>
        <w:jc w:val="both"/>
      </w:pPr>
      <w:r w:rsidRPr="00C36C8F">
        <w:t>Secondly, different jurisdictions have different classifications for hazardous, prescribed or clinical wastes. Instances may arise where materials are included in solid waste data in one jurisdiction but excluded in another on the basis of different classification methods for hazardous wastes.</w:t>
      </w:r>
    </w:p>
    <w:p w:rsidR="001A65FF" w:rsidRPr="00C36C8F" w:rsidRDefault="001A65FF" w:rsidP="000413DC">
      <w:pPr>
        <w:pStyle w:val="ParaIndent"/>
        <w:jc w:val="both"/>
      </w:pPr>
      <w:r w:rsidRPr="00C36C8F">
        <w:t>Most jurisdictions keep separate databases for hazardous, prescribed or clinical wastes, or are in the process of developing them. The National Pollutant Inventory also provides a point of consolidated information on particular pollutants and their transportation.</w:t>
      </w:r>
    </w:p>
    <w:p w:rsidR="00C31914" w:rsidRPr="00C36C8F" w:rsidRDefault="00AF26F7" w:rsidP="000413DC">
      <w:pPr>
        <w:pStyle w:val="ParaIndent"/>
        <w:jc w:val="both"/>
        <w:rPr>
          <w:lang w:eastAsia="en-AU"/>
        </w:rPr>
      </w:pPr>
      <w:r w:rsidRPr="00C36C8F">
        <w:rPr>
          <w:iCs/>
          <w:lang w:eastAsia="en-AU"/>
        </w:rPr>
        <w:t>NSW reports a hazardous waste component of domestic waste from the Household Chemical Cleanout Program</w:t>
      </w:r>
      <w:r w:rsidR="00C31914" w:rsidRPr="00C36C8F">
        <w:rPr>
          <w:lang w:eastAsia="en-AU"/>
        </w:rPr>
        <w:t>.</w:t>
      </w:r>
    </w:p>
    <w:p w:rsidR="00C31914" w:rsidRPr="00C36C8F" w:rsidRDefault="00C31914" w:rsidP="000413DC">
      <w:pPr>
        <w:pStyle w:val="ParaIndent"/>
        <w:jc w:val="both"/>
        <w:rPr>
          <w:lang w:eastAsia="en-AU"/>
        </w:rPr>
      </w:pPr>
      <w:r w:rsidRPr="00C36C8F">
        <w:rPr>
          <w:lang w:eastAsia="en-AU"/>
        </w:rPr>
        <w:t>Victoria has accurate data for prescribed industrial waste disposed of to landfill, but data on this waste is reported separately to data on municipal and industrial waste.</w:t>
      </w:r>
    </w:p>
    <w:p w:rsidR="00C31914" w:rsidRPr="00C36C8F" w:rsidRDefault="00C31914" w:rsidP="000413DC">
      <w:pPr>
        <w:pStyle w:val="ParaIndent"/>
        <w:jc w:val="both"/>
        <w:rPr>
          <w:lang w:eastAsia="en-AU"/>
        </w:rPr>
      </w:pPr>
      <w:r w:rsidRPr="00C36C8F">
        <w:rPr>
          <w:lang w:eastAsia="en-AU"/>
        </w:rPr>
        <w:t>Queensland reports regulated wastes separately. This data is generated from the movement of hazardous waste, not disposal, which may result in some double counting.</w:t>
      </w:r>
    </w:p>
    <w:p w:rsidR="00C31914" w:rsidRPr="00C36C8F" w:rsidRDefault="00C31914" w:rsidP="000413DC">
      <w:pPr>
        <w:pStyle w:val="ParaIndent"/>
        <w:jc w:val="both"/>
        <w:rPr>
          <w:lang w:eastAsia="en-AU"/>
        </w:rPr>
      </w:pPr>
      <w:r w:rsidRPr="00C36C8F">
        <w:rPr>
          <w:lang w:eastAsia="en-AU"/>
        </w:rPr>
        <w:t>In Tasmania, data is gathered for hazardous waste. However, most hazardous waste is</w:t>
      </w:r>
      <w:r w:rsidR="003C3524" w:rsidRPr="00C36C8F">
        <w:rPr>
          <w:lang w:eastAsia="en-AU"/>
        </w:rPr>
        <w:t xml:space="preserve"> reported to be</w:t>
      </w:r>
      <w:r w:rsidRPr="00C36C8F">
        <w:rPr>
          <w:lang w:eastAsia="en-AU"/>
        </w:rPr>
        <w:t xml:space="preserve"> pre-treated for use as clean fill. Any remaining hazardous waste that does go to landfill is not distinguished from all other material going to landfill.</w:t>
      </w:r>
    </w:p>
    <w:p w:rsidR="00C31914" w:rsidRPr="00C36C8F" w:rsidRDefault="00C31914" w:rsidP="000413DC">
      <w:pPr>
        <w:pStyle w:val="ParaIndent"/>
        <w:jc w:val="both"/>
        <w:rPr>
          <w:lang w:eastAsia="en-AU"/>
        </w:rPr>
      </w:pPr>
      <w:r w:rsidRPr="00C36C8F">
        <w:rPr>
          <w:lang w:eastAsia="en-AU"/>
        </w:rPr>
        <w:t>Hazardous waste from the ACT goes to NSW, and is not counted in that territory’s data.</w:t>
      </w:r>
    </w:p>
    <w:p w:rsidR="00416F0B" w:rsidRPr="00C36C8F" w:rsidRDefault="00ED3D18" w:rsidP="000413DC">
      <w:pPr>
        <w:pStyle w:val="ParaIndent"/>
        <w:jc w:val="both"/>
      </w:pPr>
      <w:r w:rsidRPr="00C36C8F">
        <w:t>The recommendation of the me</w:t>
      </w:r>
      <w:r w:rsidR="00914B73" w:rsidRPr="00C36C8F">
        <w:t>thod report wa</w:t>
      </w:r>
      <w:r w:rsidRPr="00C36C8F">
        <w:t xml:space="preserve">s that hazardous materials be reported in combination with non-hazardous materials </w:t>
      </w:r>
      <w:r w:rsidR="00914B73" w:rsidRPr="00C36C8F">
        <w:t>of the same category and type. However, t</w:t>
      </w:r>
      <w:r w:rsidRPr="00C36C8F">
        <w:t>he application of this method proved impractical durin</w:t>
      </w:r>
      <w:r w:rsidR="00914B73" w:rsidRPr="00C36C8F">
        <w:t>g the production of this report</w:t>
      </w:r>
      <w:r w:rsidR="001A65FF" w:rsidRPr="00C36C8F">
        <w:t>.</w:t>
      </w:r>
    </w:p>
    <w:p w:rsidR="00416F0B" w:rsidRPr="00C36C8F" w:rsidRDefault="001A65FF" w:rsidP="000413DC">
      <w:pPr>
        <w:pStyle w:val="ParaIndent"/>
        <w:jc w:val="both"/>
      </w:pPr>
      <w:r w:rsidRPr="00C36C8F">
        <w:t>Data sets on hazardous wastes received from states and territories are va</w:t>
      </w:r>
      <w:r w:rsidR="00BC0DE0" w:rsidRPr="00C36C8F">
        <w:t>riable in approach and categorisations</w:t>
      </w:r>
      <w:r w:rsidRPr="00C36C8F">
        <w:t>. This made it difficult to accurately partition hazardous waste to particular material c</w:t>
      </w:r>
      <w:r w:rsidR="00BC0DE0" w:rsidRPr="00C36C8F">
        <w:t xml:space="preserve">ategories. For this reason </w:t>
      </w:r>
      <w:r w:rsidRPr="00C36C8F">
        <w:t>hazardous waste</w:t>
      </w:r>
      <w:r w:rsidR="00BC0DE0" w:rsidRPr="00C36C8F">
        <w:t>s are</w:t>
      </w:r>
      <w:r w:rsidRPr="00C36C8F">
        <w:t xml:space="preserve"> reported</w:t>
      </w:r>
      <w:r w:rsidR="00BC0DE0" w:rsidRPr="00C36C8F">
        <w:t xml:space="preserve"> in separate material categories</w:t>
      </w:r>
      <w:r w:rsidRPr="00C36C8F">
        <w:t xml:space="preserve">. </w:t>
      </w:r>
      <w:r w:rsidR="00BC0DE0" w:rsidRPr="00C36C8F">
        <w:t>The four hazardous waste types reported throughout this report are</w:t>
      </w:r>
      <w:r w:rsidR="00220AC8">
        <w:t>:</w:t>
      </w:r>
      <w:r w:rsidR="00220AC8" w:rsidRPr="00C36C8F">
        <w:t xml:space="preserve"> </w:t>
      </w:r>
      <w:r w:rsidR="00BC0DE0" w:rsidRPr="00C36C8F">
        <w:t>quarantine</w:t>
      </w:r>
      <w:r w:rsidR="00220AC8">
        <w:t>;</w:t>
      </w:r>
      <w:r w:rsidR="00220AC8" w:rsidRPr="00C36C8F">
        <w:t xml:space="preserve"> </w:t>
      </w:r>
      <w:r w:rsidR="00BC0DE0" w:rsidRPr="00C36C8F">
        <w:t xml:space="preserve">contaminated soil </w:t>
      </w:r>
      <w:r w:rsidR="00DE77C4" w:rsidRPr="00C36C8F">
        <w:t>(</w:t>
      </w:r>
      <w:r w:rsidR="00BC0DE0" w:rsidRPr="00C36C8F">
        <w:t>both chemical and biological</w:t>
      </w:r>
      <w:r w:rsidR="00220AC8" w:rsidRPr="00C36C8F">
        <w:t>)</w:t>
      </w:r>
      <w:r w:rsidR="00220AC8">
        <w:t>;</w:t>
      </w:r>
      <w:r w:rsidR="00220AC8" w:rsidRPr="00C36C8F">
        <w:t xml:space="preserve"> </w:t>
      </w:r>
      <w:r w:rsidR="00BC0DE0" w:rsidRPr="00C36C8F">
        <w:t>hazardous industrial waste</w:t>
      </w:r>
      <w:r w:rsidR="00220AC8">
        <w:t>;</w:t>
      </w:r>
      <w:r w:rsidR="00BC0DE0" w:rsidRPr="00C36C8F">
        <w:t xml:space="preserve"> and asbestos.</w:t>
      </w:r>
    </w:p>
    <w:p w:rsidR="00941310" w:rsidRPr="00C36C8F" w:rsidRDefault="00941310" w:rsidP="000413DC">
      <w:pPr>
        <w:pStyle w:val="ParaIndent"/>
        <w:jc w:val="both"/>
      </w:pPr>
      <w:r w:rsidRPr="00C36C8F">
        <w:t xml:space="preserve">Hazardous (industrial) waste is generally allocated to the C&amp;I source sector, however the default waste audit data applied to some </w:t>
      </w:r>
      <w:r w:rsidR="003C4164" w:rsidRPr="00C36C8F">
        <w:t>jurisdictional</w:t>
      </w:r>
      <w:r w:rsidRPr="00C36C8F">
        <w:t xml:space="preserve"> data sets did </w:t>
      </w:r>
      <w:r w:rsidR="003C4164" w:rsidRPr="00C36C8F">
        <w:t>allocate</w:t>
      </w:r>
      <w:r w:rsidRPr="00C36C8F">
        <w:t xml:space="preserve"> a very minor proportion of hazardous waste as being in </w:t>
      </w:r>
      <w:r w:rsidR="003C4164" w:rsidRPr="00C36C8F">
        <w:t xml:space="preserve">the </w:t>
      </w:r>
      <w:r w:rsidRPr="00C36C8F">
        <w:t>MSW</w:t>
      </w:r>
      <w:r w:rsidR="003C4164" w:rsidRPr="00C36C8F">
        <w:t xml:space="preserve"> stream</w:t>
      </w:r>
      <w:r w:rsidRPr="00C36C8F">
        <w:t xml:space="preserve">, </w:t>
      </w:r>
      <w:r w:rsidR="003C4164" w:rsidRPr="00C36C8F">
        <w:t xml:space="preserve">and </w:t>
      </w:r>
      <w:r w:rsidRPr="00C36C8F">
        <w:t>in these cases this was allocated to MSW. Contaminated soil and asbestos are allocated by default to the C&amp;D source sector. Quarantine waste is allocated by default to the C&amp;I source sector.</w:t>
      </w:r>
    </w:p>
    <w:p w:rsidR="00416F0B" w:rsidRPr="00C36C8F" w:rsidRDefault="002F2447" w:rsidP="000413DC">
      <w:pPr>
        <w:pStyle w:val="ParaIndent"/>
        <w:jc w:val="both"/>
        <w:rPr>
          <w:lang w:eastAsia="en-AU"/>
        </w:rPr>
      </w:pPr>
      <w:r w:rsidRPr="00C36C8F">
        <w:rPr>
          <w:lang w:eastAsia="en-AU"/>
        </w:rPr>
        <w:t>Hazardous wastes fall</w:t>
      </w:r>
      <w:r w:rsidR="00220AC8">
        <w:rPr>
          <w:lang w:eastAsia="en-AU"/>
        </w:rPr>
        <w:t>ling</w:t>
      </w:r>
      <w:r w:rsidRPr="00C36C8F">
        <w:rPr>
          <w:lang w:eastAsia="en-AU"/>
        </w:rPr>
        <w:t xml:space="preserve"> into any category that is recommended for exclusion from the scope elsewhere in this report, in particular liq</w:t>
      </w:r>
      <w:r w:rsidR="001A65FF" w:rsidRPr="00C36C8F">
        <w:rPr>
          <w:lang w:eastAsia="en-AU"/>
        </w:rPr>
        <w:t>uid wastes, have been excluded.</w:t>
      </w:r>
    </w:p>
    <w:p w:rsidR="00416F0B" w:rsidRPr="00C36C8F" w:rsidRDefault="006414CD" w:rsidP="000413DC">
      <w:pPr>
        <w:pStyle w:val="Heading40"/>
        <w:spacing w:before="0"/>
        <w:jc w:val="both"/>
      </w:pPr>
      <w:bookmarkStart w:id="88" w:name="_Toc279510573"/>
      <w:r w:rsidRPr="00C36C8F">
        <w:t>Recommendation 17: Quarantine wastes should be included in the scope.</w:t>
      </w:r>
      <w:bookmarkEnd w:id="88"/>
    </w:p>
    <w:p w:rsidR="006301A4" w:rsidRPr="00C36C8F" w:rsidRDefault="006301A4" w:rsidP="000413DC">
      <w:pPr>
        <w:pStyle w:val="ParaIndent"/>
        <w:jc w:val="both"/>
      </w:pPr>
      <w:r w:rsidRPr="00C36C8F">
        <w:t>Quarantine waste can be considered similarly to hazardous waste; it is the regulatory state of the waste that is its defining characteristic</w:t>
      </w:r>
      <w:r w:rsidR="00683B5E" w:rsidRPr="00C36C8F">
        <w:t>,</w:t>
      </w:r>
      <w:r w:rsidRPr="00C36C8F">
        <w:t xml:space="preserve"> more than the material type.</w:t>
      </w:r>
    </w:p>
    <w:p w:rsidR="006301A4" w:rsidRPr="00C36C8F" w:rsidRDefault="006301A4" w:rsidP="000413DC">
      <w:pPr>
        <w:pStyle w:val="ParaIndent"/>
        <w:jc w:val="both"/>
      </w:pPr>
      <w:r w:rsidRPr="00C36C8F">
        <w:t>Non-quarantine products or materials</w:t>
      </w:r>
      <w:r w:rsidR="00C31914" w:rsidRPr="00C36C8F">
        <w:t xml:space="preserve"> that enter the country by ship</w:t>
      </w:r>
      <w:r w:rsidR="00EE7010" w:rsidRPr="00C36C8F">
        <w:t xml:space="preserve"> or by air</w:t>
      </w:r>
      <w:r w:rsidRPr="00C36C8F">
        <w:t xml:space="preserve"> are not </w:t>
      </w:r>
      <w:r w:rsidR="00C31914" w:rsidRPr="00C36C8F">
        <w:t xml:space="preserve">usually </w:t>
      </w:r>
      <w:r w:rsidRPr="00C36C8F">
        <w:t>distinguished from other products or materials if they end up in the waste stream. For example, non-quarantine waste collected at international airports is not considered differently to other C&amp;I waste.</w:t>
      </w:r>
    </w:p>
    <w:p w:rsidR="006301A4" w:rsidRPr="00C36C8F" w:rsidRDefault="006301A4" w:rsidP="000413DC">
      <w:pPr>
        <w:pStyle w:val="ParaIndent"/>
        <w:jc w:val="both"/>
      </w:pPr>
      <w:r w:rsidRPr="00C36C8F">
        <w:t>Therefore, it follows that quarantine (solid) waste should be considered similarly to non-quarantine waste from ships.</w:t>
      </w:r>
    </w:p>
    <w:p w:rsidR="00416F0B" w:rsidRPr="00C36C8F" w:rsidRDefault="004D3B89" w:rsidP="000413DC">
      <w:pPr>
        <w:pStyle w:val="ParaIndent"/>
        <w:jc w:val="both"/>
      </w:pPr>
      <w:r w:rsidRPr="00C36C8F">
        <w:t xml:space="preserve">This recommendation has been broadened from </w:t>
      </w:r>
      <w:r w:rsidR="00683B5E" w:rsidRPr="00C36C8F">
        <w:t xml:space="preserve">the </w:t>
      </w:r>
      <w:r w:rsidRPr="00C36C8F">
        <w:t xml:space="preserve">preliminary version that referred specifically to ‘quarantine wastes from ships’. </w:t>
      </w:r>
    </w:p>
    <w:p w:rsidR="00416F0B" w:rsidRPr="00C36C8F" w:rsidRDefault="00ED3D18" w:rsidP="000413DC">
      <w:pPr>
        <w:pStyle w:val="ParaIndent"/>
        <w:jc w:val="both"/>
      </w:pPr>
      <w:r w:rsidRPr="00C36C8F">
        <w:t>Quarantine wastes were included, but grouped under the broader material category of hazardous waste. Tasmania was the only jurisdiction to report quarantine wastes</w:t>
      </w:r>
      <w:r w:rsidR="004D3B89" w:rsidRPr="00C36C8F">
        <w:t xml:space="preserve"> (from ships)</w:t>
      </w:r>
      <w:r w:rsidRPr="00C36C8F">
        <w:t xml:space="preserve">, </w:t>
      </w:r>
      <w:r w:rsidR="004D3B89" w:rsidRPr="00C36C8F">
        <w:t>most of which are</w:t>
      </w:r>
      <w:r w:rsidRPr="00C36C8F">
        <w:t xml:space="preserve"> generated by the Australian Antarctic Division.</w:t>
      </w:r>
    </w:p>
    <w:p w:rsidR="00416F0B" w:rsidRPr="00C36C8F" w:rsidRDefault="00ED3D18" w:rsidP="000413DC">
      <w:pPr>
        <w:pStyle w:val="ParaIndent"/>
        <w:jc w:val="both"/>
      </w:pPr>
      <w:r w:rsidRPr="00C36C8F">
        <w:t>Quarantine</w:t>
      </w:r>
      <w:r w:rsidR="00C31914" w:rsidRPr="00C36C8F">
        <w:t xml:space="preserve"> wastes from ships and from airports</w:t>
      </w:r>
      <w:r w:rsidRPr="00C36C8F">
        <w:t xml:space="preserve"> in other jurisdictions are assumed to be counted amongst other hazardous or non-hazardous wastes.</w:t>
      </w:r>
    </w:p>
    <w:p w:rsidR="00416F0B" w:rsidRPr="00C36C8F" w:rsidRDefault="006301A4" w:rsidP="000413DC">
      <w:pPr>
        <w:pStyle w:val="ParaIndent"/>
        <w:jc w:val="both"/>
      </w:pPr>
      <w:r w:rsidRPr="00C36C8F">
        <w:t>NSW and Queensland are aware that quarantine waste from ships is included in recorded waste figures.</w:t>
      </w:r>
    </w:p>
    <w:p w:rsidR="006301A4" w:rsidRPr="00C36C8F" w:rsidRDefault="006301A4" w:rsidP="006301A4">
      <w:pPr>
        <w:pStyle w:val="Heading2"/>
        <w:spacing w:before="480" w:after="180"/>
      </w:pPr>
      <w:bookmarkStart w:id="89" w:name="_Toc279510574"/>
      <w:bookmarkStart w:id="90" w:name="_Toc325020102"/>
      <w:bookmarkStart w:id="91" w:name="_Toc305049750"/>
      <w:r w:rsidRPr="00C36C8F">
        <w:t>Measurement</w:t>
      </w:r>
      <w:bookmarkEnd w:id="89"/>
      <w:bookmarkEnd w:id="90"/>
      <w:bookmarkEnd w:id="91"/>
    </w:p>
    <w:p w:rsidR="00416F0B" w:rsidRPr="00C36C8F" w:rsidRDefault="003312C2" w:rsidP="000413DC">
      <w:pPr>
        <w:pStyle w:val="Heading40"/>
        <w:spacing w:before="0"/>
        <w:jc w:val="both"/>
      </w:pPr>
      <w:bookmarkStart w:id="92" w:name="_Ref272163409"/>
      <w:bookmarkStart w:id="93" w:name="_Ref272235454"/>
      <w:bookmarkStart w:id="94" w:name="_Toc279510575"/>
      <w:r w:rsidRPr="00C36C8F">
        <w:t>Recommendation 18: A consistent set of materials should be used to report the composition of waste streams.</w:t>
      </w:r>
      <w:bookmarkEnd w:id="92"/>
      <w:bookmarkEnd w:id="93"/>
      <w:bookmarkEnd w:id="94"/>
    </w:p>
    <w:p w:rsidR="006301A4" w:rsidRPr="00C36C8F" w:rsidRDefault="006301A4" w:rsidP="000413DC">
      <w:pPr>
        <w:pStyle w:val="ParaIndent"/>
        <w:jc w:val="both"/>
      </w:pPr>
      <w:r w:rsidRPr="00C36C8F">
        <w:t xml:space="preserve">As noted </w:t>
      </w:r>
      <w:r w:rsidR="003312C2" w:rsidRPr="00C36C8F">
        <w:t>above</w:t>
      </w:r>
      <w:r w:rsidR="003C3524" w:rsidRPr="00C36C8F">
        <w:t>,</w:t>
      </w:r>
      <w:r w:rsidR="006413AF" w:rsidRPr="00C36C8F">
        <w:t xml:space="preserve"> </w:t>
      </w:r>
      <w:r w:rsidRPr="00C36C8F">
        <w:t>establishing the composition of waste st</w:t>
      </w:r>
      <w:r w:rsidR="003C3524" w:rsidRPr="00C36C8F">
        <w:t>r</w:t>
      </w:r>
      <w:r w:rsidRPr="00C36C8F">
        <w:t>eams is important in gaining a more detailed understanding of the environmental and resource consumption impacts of waste generation, recycling, energy recovery and disposal. Establishing the composition of waste streams also helps inform government and industry of products and materials that might be targeted for greater resource recovery, or where investment might be needed.</w:t>
      </w:r>
    </w:p>
    <w:p w:rsidR="00416F0B" w:rsidRPr="00C36C8F" w:rsidRDefault="00ED3D18" w:rsidP="000413DC">
      <w:pPr>
        <w:pStyle w:val="ParaIndent"/>
        <w:keepNext/>
        <w:jc w:val="both"/>
      </w:pPr>
      <w:r w:rsidRPr="00C36C8F">
        <w:t xml:space="preserve">The reporting of data by material has been presented at two levels of detail: </w:t>
      </w:r>
    </w:p>
    <w:p w:rsidR="00416F0B" w:rsidRPr="00C36C8F" w:rsidRDefault="00ED3D18" w:rsidP="004B50A2">
      <w:pPr>
        <w:pStyle w:val="ParaIndent"/>
        <w:keepNext/>
        <w:numPr>
          <w:ilvl w:val="0"/>
          <w:numId w:val="27"/>
        </w:numPr>
        <w:ind w:left="1701" w:hanging="567"/>
        <w:jc w:val="both"/>
      </w:pPr>
      <w:r w:rsidRPr="00C36C8F">
        <w:t>Material category</w:t>
      </w:r>
      <w:r w:rsidR="00AE2957">
        <w:t>,</w:t>
      </w:r>
      <w:r w:rsidRPr="00C36C8F">
        <w:t xml:space="preserve"> e.g. metals, organics – for most states, data has been provided or been able to be generated </w:t>
      </w:r>
      <w:r w:rsidR="00193B05">
        <w:t>to the material category level</w:t>
      </w:r>
    </w:p>
    <w:p w:rsidR="00416F0B" w:rsidRPr="00C36C8F" w:rsidRDefault="00ED3D18" w:rsidP="004B50A2">
      <w:pPr>
        <w:pStyle w:val="ParaIndent"/>
        <w:keepNext/>
        <w:numPr>
          <w:ilvl w:val="0"/>
          <w:numId w:val="27"/>
        </w:numPr>
        <w:ind w:left="1701" w:hanging="567"/>
        <w:jc w:val="both"/>
      </w:pPr>
      <w:r w:rsidRPr="00C36C8F">
        <w:t>Material type, e.g. aluminium, timber – reporting to the material type has been limited to the level of detail provided by states and territories.</w:t>
      </w:r>
    </w:p>
    <w:p w:rsidR="00416F0B" w:rsidRPr="00C36C8F" w:rsidRDefault="00D77059" w:rsidP="000413DC">
      <w:pPr>
        <w:pStyle w:val="ParaIndent"/>
        <w:jc w:val="both"/>
      </w:pPr>
      <w:r w:rsidRPr="00C36C8F">
        <w:t>A number of changes have been made</w:t>
      </w:r>
      <w:r w:rsidR="00A63A04" w:rsidRPr="00C36C8F">
        <w:t xml:space="preserve"> to</w:t>
      </w:r>
      <w:r w:rsidR="007D1FBC" w:rsidRPr="00C36C8F">
        <w:t xml:space="preserve"> the </w:t>
      </w:r>
      <w:r w:rsidR="0025442D" w:rsidRPr="00C36C8F">
        <w:t>m</w:t>
      </w:r>
      <w:r w:rsidR="00683B5E" w:rsidRPr="00C36C8F">
        <w:t>aterial categories and material</w:t>
      </w:r>
      <w:r w:rsidR="0025442D" w:rsidRPr="00C36C8F">
        <w:t xml:space="preserve"> types contained in the consultation draft of this report.</w:t>
      </w:r>
      <w:r w:rsidR="008E6F89" w:rsidRPr="00C36C8F">
        <w:t xml:space="preserve"> An amended list of material categories and material types is shown in </w:t>
      </w:r>
      <w:fldSimple w:instr=" REF _Ref284427117 \h  \* MERGEFORMAT ">
        <w:r w:rsidR="00AE7E3B" w:rsidRPr="00C36C8F">
          <w:t xml:space="preserve">Table </w:t>
        </w:r>
        <w:r w:rsidR="00AE7E3B">
          <w:t>3</w:t>
        </w:r>
        <w:r w:rsidR="00AE7E3B" w:rsidRPr="00C36C8F">
          <w:t>-</w:t>
        </w:r>
        <w:r w:rsidR="00AE7E3B">
          <w:t>5</w:t>
        </w:r>
      </w:fldSimple>
      <w:r w:rsidR="008E6F89" w:rsidRPr="00C36C8F">
        <w:t>.</w:t>
      </w:r>
      <w:r w:rsidR="00683B5E" w:rsidRPr="00C36C8F">
        <w:t xml:space="preserve"> The material types used by Compost Australia in relation to the organics category are displayed in </w:t>
      </w:r>
      <w:r w:rsidR="00B9555F" w:rsidRPr="00C36C8F">
        <w:fldChar w:fldCharType="begin"/>
      </w:r>
      <w:r w:rsidR="00683B5E" w:rsidRPr="00C36C8F">
        <w:instrText xml:space="preserve"> REF _Ref295203671 \h </w:instrText>
      </w:r>
      <w:r w:rsidR="00B9555F" w:rsidRPr="00C36C8F">
        <w:fldChar w:fldCharType="separate"/>
      </w:r>
      <w:r w:rsidR="00AE7E3B" w:rsidRPr="00C36C8F">
        <w:t xml:space="preserve">Table </w:t>
      </w:r>
      <w:r w:rsidR="00AE7E3B">
        <w:rPr>
          <w:noProof/>
        </w:rPr>
        <w:t>3</w:t>
      </w:r>
      <w:r w:rsidR="00AE7E3B" w:rsidRPr="00C36C8F">
        <w:t>-</w:t>
      </w:r>
      <w:r w:rsidR="00AE7E3B">
        <w:rPr>
          <w:noProof/>
        </w:rPr>
        <w:t>6</w:t>
      </w:r>
      <w:r w:rsidR="00B9555F" w:rsidRPr="00C36C8F">
        <w:fldChar w:fldCharType="end"/>
      </w:r>
      <w:r w:rsidR="00683B5E" w:rsidRPr="00C36C8F">
        <w:t xml:space="preserve">, with explanation provided for their inclusion or exclusion from this report. </w:t>
      </w:r>
    </w:p>
    <w:p w:rsidR="00416F0B" w:rsidRPr="00C36C8F" w:rsidRDefault="002107D4" w:rsidP="000413DC">
      <w:pPr>
        <w:pStyle w:val="ParaIndent"/>
        <w:jc w:val="both"/>
      </w:pPr>
      <w:r w:rsidRPr="00C36C8F">
        <w:t xml:space="preserve">‘Clay, fines, sand and rubble’ </w:t>
      </w:r>
      <w:r w:rsidR="008E6F89" w:rsidRPr="00C36C8F">
        <w:t>have been renamed as ‘rubble</w:t>
      </w:r>
      <w:r w:rsidRPr="00C36C8F">
        <w:t>’ to better distinguish it from ‘clean fill’.</w:t>
      </w:r>
      <w:r w:rsidR="008E6F89" w:rsidRPr="00C36C8F">
        <w:t xml:space="preserve"> For the purposes of this report, rubble refers to broken stone and masonry material, including </w:t>
      </w:r>
      <w:r w:rsidR="0098357C" w:rsidRPr="00C36C8F">
        <w:t xml:space="preserve">any </w:t>
      </w:r>
      <w:r w:rsidR="008E6F89" w:rsidRPr="00C36C8F">
        <w:t>soil and sand that is mixed in with it.</w:t>
      </w:r>
    </w:p>
    <w:p w:rsidR="00416F0B" w:rsidRPr="00C36C8F" w:rsidRDefault="008E6F89" w:rsidP="000413DC">
      <w:pPr>
        <w:pStyle w:val="ParaIndent"/>
        <w:keepLines/>
        <w:jc w:val="both"/>
      </w:pPr>
      <w:r w:rsidRPr="00C36C8F">
        <w:t>‘</w:t>
      </w:r>
      <w:r w:rsidR="00ED3D18" w:rsidRPr="00C36C8F">
        <w:t>Foundry sands</w:t>
      </w:r>
      <w:r w:rsidRPr="00C36C8F">
        <w:t>’</w:t>
      </w:r>
      <w:r w:rsidR="00ED3D18" w:rsidRPr="00C36C8F">
        <w:t xml:space="preserve"> were removed as a separate material type. With the exception of South Australia, states or territories do not document foundry </w:t>
      </w:r>
      <w:r w:rsidR="00A63A04" w:rsidRPr="00C36C8F">
        <w:t xml:space="preserve">sands </w:t>
      </w:r>
      <w:r w:rsidR="00ED3D18" w:rsidRPr="00C36C8F">
        <w:t>as a distinct mate</w:t>
      </w:r>
      <w:r w:rsidR="0098357C" w:rsidRPr="00C36C8F">
        <w:t>rial type. Anecdotal evidence suggests</w:t>
      </w:r>
      <w:r w:rsidR="00ED3D18" w:rsidRPr="00C36C8F">
        <w:t xml:space="preserve"> that the landfilling of foundry </w:t>
      </w:r>
      <w:r w:rsidR="00A63A04" w:rsidRPr="00C36C8F">
        <w:t xml:space="preserve">sands </w:t>
      </w:r>
      <w:r w:rsidR="00846558" w:rsidRPr="00C36C8F">
        <w:t xml:space="preserve">is </w:t>
      </w:r>
      <w:r w:rsidR="00ED3D18" w:rsidRPr="00C36C8F">
        <w:t xml:space="preserve">not distinguished from the disposal of other </w:t>
      </w:r>
      <w:r w:rsidRPr="00C36C8F">
        <w:t>‘</w:t>
      </w:r>
      <w:r w:rsidR="002107D4" w:rsidRPr="00C36C8F">
        <w:t>rubble</w:t>
      </w:r>
      <w:r w:rsidRPr="00C36C8F">
        <w:t>’</w:t>
      </w:r>
      <w:r w:rsidR="00ED3D18" w:rsidRPr="00C36C8F">
        <w:t>. The exception is foundry sands that are contaminated which are usually managed a</w:t>
      </w:r>
      <w:r w:rsidR="002107D4" w:rsidRPr="00C36C8F">
        <w:t>s a hazardous industrial waste.</w:t>
      </w:r>
    </w:p>
    <w:p w:rsidR="00416F0B" w:rsidRPr="00C36C8F" w:rsidRDefault="002107D4" w:rsidP="000413DC">
      <w:pPr>
        <w:pStyle w:val="ParaIndent"/>
        <w:jc w:val="both"/>
      </w:pPr>
      <w:r w:rsidRPr="00C36C8F">
        <w:t>‘Newsprint</w:t>
      </w:r>
      <w:r w:rsidR="00D005AE" w:rsidRPr="00C36C8F">
        <w:t xml:space="preserve"> and magazines’ </w:t>
      </w:r>
      <w:r w:rsidRPr="00C36C8F">
        <w:t>have been consolidated in</w:t>
      </w:r>
      <w:r w:rsidR="00D005AE" w:rsidRPr="00C36C8F">
        <w:t>to one</w:t>
      </w:r>
      <w:r w:rsidR="0098357C" w:rsidRPr="00C36C8F">
        <w:t xml:space="preserve"> category, including phonebooks. ‘P</w:t>
      </w:r>
      <w:r w:rsidR="00D005AE" w:rsidRPr="00C36C8F">
        <w:t>rinting and writing papers’ have</w:t>
      </w:r>
      <w:r w:rsidR="0098357C" w:rsidRPr="00C36C8F">
        <w:t xml:space="preserve"> been renamed </w:t>
      </w:r>
      <w:r w:rsidR="006B2443" w:rsidRPr="00C36C8F">
        <w:t>‘</w:t>
      </w:r>
      <w:r w:rsidR="0098357C" w:rsidRPr="00C36C8F">
        <w:t>office paper</w:t>
      </w:r>
      <w:r w:rsidR="006B2443" w:rsidRPr="00C36C8F">
        <w:t>’</w:t>
      </w:r>
      <w:r w:rsidR="0098357C" w:rsidRPr="00C36C8F">
        <w:t>. ‘C</w:t>
      </w:r>
      <w:r w:rsidR="00D005AE" w:rsidRPr="00C36C8F">
        <w:t>ardboard and waxed cardboard’ has been shortened to ‘cardboard’.</w:t>
      </w:r>
    </w:p>
    <w:p w:rsidR="00416F0B" w:rsidRPr="00C36C8F" w:rsidRDefault="007D1FBC" w:rsidP="000413DC">
      <w:pPr>
        <w:pStyle w:val="ParaIndent"/>
        <w:jc w:val="both"/>
      </w:pPr>
      <w:r w:rsidRPr="00C36C8F">
        <w:t>‘Glass’ has been moved from being a material type under the subset ‘other’, to being a material category.</w:t>
      </w:r>
    </w:p>
    <w:p w:rsidR="00416F0B" w:rsidRPr="00C36C8F" w:rsidRDefault="006413AF" w:rsidP="000413DC">
      <w:pPr>
        <w:pStyle w:val="ParaIndent"/>
        <w:jc w:val="both"/>
      </w:pPr>
      <w:r w:rsidRPr="00C36C8F">
        <w:t>Some states and territories report on the composition of waste, though the practice is not widespread or consistent. Those jurisdictions that do report on the composition of waste use a similar set of materials. Where there are differences, they are usually with respect to:</w:t>
      </w:r>
    </w:p>
    <w:p w:rsidR="00416F0B" w:rsidRPr="00C36C8F" w:rsidRDefault="006413AF" w:rsidP="004B50A2">
      <w:pPr>
        <w:pStyle w:val="ParaIndent"/>
        <w:keepNext/>
        <w:numPr>
          <w:ilvl w:val="0"/>
          <w:numId w:val="27"/>
        </w:numPr>
        <w:ind w:left="1701" w:hanging="567"/>
        <w:jc w:val="both"/>
      </w:pPr>
      <w:r w:rsidRPr="00C36C8F">
        <w:t>the grouping or separation of plastic polymer types</w:t>
      </w:r>
    </w:p>
    <w:p w:rsidR="00416F0B" w:rsidRPr="00C36C8F" w:rsidRDefault="006413AF" w:rsidP="004B50A2">
      <w:pPr>
        <w:pStyle w:val="ParaIndent"/>
        <w:keepNext/>
        <w:numPr>
          <w:ilvl w:val="0"/>
          <w:numId w:val="27"/>
        </w:numPr>
        <w:ind w:left="1701" w:hanging="567"/>
        <w:jc w:val="both"/>
      </w:pPr>
      <w:r w:rsidRPr="00C36C8F">
        <w:t>the grouping or separation of organic materials, particularly whether food is identified separately</w:t>
      </w:r>
    </w:p>
    <w:p w:rsidR="00416F0B" w:rsidRPr="00C36C8F" w:rsidRDefault="006413AF" w:rsidP="004B50A2">
      <w:pPr>
        <w:pStyle w:val="ParaIndent"/>
        <w:keepNext/>
        <w:numPr>
          <w:ilvl w:val="0"/>
          <w:numId w:val="27"/>
        </w:numPr>
        <w:ind w:left="1701" w:hanging="567"/>
        <w:jc w:val="both"/>
      </w:pPr>
      <w:r w:rsidRPr="00C36C8F">
        <w:t>the grouping or separation of C&amp;D materials, particularly whether soil is reported separately.</w:t>
      </w:r>
    </w:p>
    <w:p w:rsidR="00416F0B" w:rsidRPr="00C36C8F" w:rsidRDefault="006413AF" w:rsidP="000413DC">
      <w:pPr>
        <w:pStyle w:val="ParaIndent"/>
        <w:jc w:val="both"/>
      </w:pPr>
      <w:r w:rsidRPr="00C36C8F" w:rsidDel="002315E5">
        <w:t>Those jurisdictions that do report on waste composition usually use the breakdown of waste streams, in combination with audits, to refine the overall product and material composition of waste and recycling.</w:t>
      </w:r>
    </w:p>
    <w:p w:rsidR="00416F0B" w:rsidRPr="00C36C8F" w:rsidRDefault="0025352E" w:rsidP="000413DC">
      <w:pPr>
        <w:pStyle w:val="ParaIndent"/>
        <w:jc w:val="both"/>
      </w:pPr>
      <w:r w:rsidRPr="00C36C8F">
        <w:t xml:space="preserve">More detail on the individual state approaches to material breakdowns is provided in the state datasets in Section </w:t>
      </w:r>
      <w:fldSimple w:instr=" REF _Ref295214600 \r \h  \* MERGEFORMAT ">
        <w:r w:rsidR="00AE7E3B">
          <w:t>4</w:t>
        </w:r>
      </w:fldSimple>
      <w:r w:rsidR="007B01E3" w:rsidRPr="00C36C8F">
        <w:t>.</w:t>
      </w:r>
    </w:p>
    <w:p w:rsidR="00ED3D18" w:rsidRPr="00C36C8F" w:rsidRDefault="00ED3D18" w:rsidP="00ED3D18">
      <w:pPr>
        <w:pStyle w:val="Caption"/>
      </w:pPr>
      <w:bookmarkStart w:id="95" w:name="_Ref284427117"/>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3</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w:t>
      </w:r>
      <w:r w:rsidR="00B9555F" w:rsidRPr="00C36C8F">
        <w:rPr>
          <w:noProof/>
        </w:rPr>
        <w:fldChar w:fldCharType="end"/>
      </w:r>
      <w:bookmarkEnd w:id="95"/>
      <w:r w:rsidRPr="00C36C8F">
        <w:tab/>
        <w:t>Material categories and material types</w:t>
      </w:r>
    </w:p>
    <w:tbl>
      <w:tblPr>
        <w:tblW w:w="6804" w:type="dxa"/>
        <w:tblInd w:w="1134" w:type="dxa"/>
        <w:tblBorders>
          <w:bottom w:val="single" w:sz="18" w:space="0" w:color="808080"/>
          <w:insideH w:val="single" w:sz="4" w:space="0" w:color="808080"/>
        </w:tblBorders>
        <w:tblLayout w:type="fixed"/>
        <w:tblCellMar>
          <w:left w:w="0" w:type="dxa"/>
          <w:right w:w="0" w:type="dxa"/>
        </w:tblCellMar>
        <w:tblLook w:val="04A0"/>
      </w:tblPr>
      <w:tblGrid>
        <w:gridCol w:w="1985"/>
        <w:gridCol w:w="4819"/>
      </w:tblGrid>
      <w:tr w:rsidR="00ED3D18" w:rsidRPr="00C36C8F" w:rsidTr="00707FD3">
        <w:trPr>
          <w:trHeight w:hRule="exact" w:val="340"/>
        </w:trPr>
        <w:tc>
          <w:tcPr>
            <w:tcW w:w="1985" w:type="dxa"/>
            <w:tcBorders>
              <w:top w:val="nil"/>
              <w:bottom w:val="single" w:sz="18" w:space="0" w:color="7F7F7F" w:themeColor="text1" w:themeTint="80"/>
            </w:tcBorders>
            <w:shd w:val="clear" w:color="auto" w:fill="auto"/>
            <w:vAlign w:val="center"/>
            <w:hideMark/>
          </w:tcPr>
          <w:p w:rsidR="00ED3D18" w:rsidRPr="00C36C8F" w:rsidRDefault="00ED3D18" w:rsidP="002107D4">
            <w:pPr>
              <w:pStyle w:val="TableHeading"/>
              <w:spacing w:before="0" w:after="0"/>
              <w:rPr>
                <w:lang w:eastAsia="en-AU"/>
              </w:rPr>
            </w:pPr>
            <w:r w:rsidRPr="00C36C8F">
              <w:rPr>
                <w:lang w:eastAsia="en-AU"/>
              </w:rPr>
              <w:t>Material category</w:t>
            </w:r>
          </w:p>
        </w:tc>
        <w:tc>
          <w:tcPr>
            <w:tcW w:w="4819" w:type="dxa"/>
            <w:tcBorders>
              <w:top w:val="nil"/>
              <w:bottom w:val="single" w:sz="18" w:space="0" w:color="7F7F7F" w:themeColor="text1" w:themeTint="80"/>
            </w:tcBorders>
            <w:shd w:val="clear" w:color="auto" w:fill="auto"/>
            <w:noWrap/>
            <w:vAlign w:val="center"/>
            <w:hideMark/>
          </w:tcPr>
          <w:p w:rsidR="00ED3D18" w:rsidRPr="00C36C8F" w:rsidRDefault="00ED3D18" w:rsidP="002107D4">
            <w:pPr>
              <w:pStyle w:val="TableHeading"/>
              <w:spacing w:before="0" w:after="0"/>
              <w:rPr>
                <w:lang w:eastAsia="en-AU"/>
              </w:rPr>
            </w:pPr>
            <w:r w:rsidRPr="00C36C8F">
              <w:rPr>
                <w:lang w:eastAsia="en-AU"/>
              </w:rPr>
              <w:t>Material type</w:t>
            </w:r>
          </w:p>
        </w:tc>
      </w:tr>
      <w:tr w:rsidR="00ED3D18" w:rsidRPr="00C36C8F" w:rsidTr="00707FD3">
        <w:trPr>
          <w:trHeight w:hRule="exact" w:val="340"/>
        </w:trPr>
        <w:tc>
          <w:tcPr>
            <w:tcW w:w="1985" w:type="dxa"/>
            <w:vMerge w:val="restart"/>
            <w:tcBorders>
              <w:top w:val="single" w:sz="18" w:space="0" w:color="7F7F7F" w:themeColor="text1" w:themeTint="80"/>
            </w:tcBorders>
            <w:shd w:val="clear" w:color="auto" w:fill="auto"/>
            <w:vAlign w:val="center"/>
            <w:hideMark/>
          </w:tcPr>
          <w:p w:rsidR="00ED3D18" w:rsidRPr="00C36C8F" w:rsidRDefault="00ED3D18" w:rsidP="002107D4">
            <w:pPr>
              <w:pStyle w:val="TableText"/>
              <w:keepNext/>
              <w:spacing w:before="0" w:after="0"/>
              <w:rPr>
                <w:lang w:eastAsia="en-AU"/>
              </w:rPr>
            </w:pPr>
            <w:r w:rsidRPr="00C36C8F">
              <w:rPr>
                <w:lang w:eastAsia="en-AU"/>
              </w:rPr>
              <w:t>Masonry materials</w:t>
            </w:r>
          </w:p>
        </w:tc>
        <w:tc>
          <w:tcPr>
            <w:tcW w:w="4819" w:type="dxa"/>
            <w:tcBorders>
              <w:top w:val="single" w:sz="18" w:space="0" w:color="7F7F7F" w:themeColor="text1" w:themeTint="80"/>
            </w:tcBorders>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Asphalt</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Bricks</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Concrete</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6413AF" w:rsidP="00AB0F90">
            <w:pPr>
              <w:pStyle w:val="TableText"/>
              <w:keepNext/>
              <w:spacing w:before="0" w:after="0"/>
              <w:rPr>
                <w:lang w:eastAsia="en-AU"/>
              </w:rPr>
            </w:pPr>
            <w:r w:rsidRPr="00C36C8F">
              <w:rPr>
                <w:lang w:eastAsia="en-AU"/>
              </w:rPr>
              <w:t>R</w:t>
            </w:r>
            <w:r w:rsidR="00ED3D18" w:rsidRPr="00C36C8F">
              <w:rPr>
                <w:lang w:eastAsia="en-AU"/>
              </w:rPr>
              <w:t>ubble</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Plasterboard &amp; cement sheeting (ex.</w:t>
            </w:r>
            <w:r w:rsidR="00707FD3" w:rsidRPr="00C36C8F">
              <w:rPr>
                <w:lang w:eastAsia="en-AU"/>
              </w:rPr>
              <w:t xml:space="preserve"> asbestos reinforced</w:t>
            </w:r>
            <w:r w:rsidRPr="00C36C8F">
              <w:rPr>
                <w:lang w:eastAsia="en-AU"/>
              </w:rPr>
              <w:t>)</w:t>
            </w:r>
          </w:p>
        </w:tc>
      </w:tr>
      <w:tr w:rsidR="00ED3D18" w:rsidRPr="00C36C8F" w:rsidTr="00707FD3">
        <w:trPr>
          <w:trHeight w:hRule="exact" w:val="340"/>
        </w:trPr>
        <w:tc>
          <w:tcPr>
            <w:tcW w:w="1985" w:type="dxa"/>
            <w:vMerge w:val="restart"/>
            <w:shd w:val="clear" w:color="auto" w:fill="auto"/>
            <w:vAlign w:val="center"/>
            <w:hideMark/>
          </w:tcPr>
          <w:p w:rsidR="00ED3D18" w:rsidRPr="00C36C8F" w:rsidRDefault="00ED3D18" w:rsidP="002107D4">
            <w:pPr>
              <w:pStyle w:val="TableText"/>
              <w:keepNext/>
              <w:spacing w:before="0" w:after="0"/>
              <w:rPr>
                <w:lang w:eastAsia="en-AU"/>
              </w:rPr>
            </w:pPr>
            <w:r w:rsidRPr="00C36C8F">
              <w:rPr>
                <w:lang w:eastAsia="en-AU"/>
              </w:rPr>
              <w:t>Metals</w:t>
            </w: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Steel</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Aluminium</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Non</w:t>
            </w:r>
            <w:r w:rsidR="00707FD3" w:rsidRPr="00C36C8F">
              <w:rPr>
                <w:lang w:eastAsia="en-AU"/>
              </w:rPr>
              <w:t>-</w:t>
            </w:r>
            <w:r w:rsidRPr="00C36C8F">
              <w:rPr>
                <w:lang w:eastAsia="en-AU"/>
              </w:rPr>
              <w:t>ferrous metals (ex. aluminium)</w:t>
            </w:r>
          </w:p>
        </w:tc>
      </w:tr>
      <w:tr w:rsidR="00ED3D18" w:rsidRPr="00C36C8F" w:rsidTr="00707FD3">
        <w:trPr>
          <w:trHeight w:hRule="exact" w:val="340"/>
        </w:trPr>
        <w:tc>
          <w:tcPr>
            <w:tcW w:w="1985" w:type="dxa"/>
            <w:vMerge w:val="restart"/>
            <w:shd w:val="clear" w:color="auto" w:fill="auto"/>
            <w:vAlign w:val="center"/>
            <w:hideMark/>
          </w:tcPr>
          <w:p w:rsidR="00ED3D18" w:rsidRPr="00C36C8F" w:rsidRDefault="00ED3D18" w:rsidP="002107D4">
            <w:pPr>
              <w:pStyle w:val="TableText"/>
              <w:keepNext/>
              <w:spacing w:before="0" w:after="0"/>
              <w:rPr>
                <w:lang w:eastAsia="en-AU"/>
              </w:rPr>
            </w:pPr>
            <w:r w:rsidRPr="00C36C8F">
              <w:rPr>
                <w:lang w:eastAsia="en-AU"/>
              </w:rPr>
              <w:t>Organics</w:t>
            </w: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Food organics</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Garden organics</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Timber</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Other organics</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Biosolids</w:t>
            </w:r>
          </w:p>
        </w:tc>
      </w:tr>
      <w:tr w:rsidR="00ED3D18" w:rsidRPr="00C36C8F" w:rsidTr="00707FD3">
        <w:trPr>
          <w:trHeight w:hRule="exact" w:val="340"/>
        </w:trPr>
        <w:tc>
          <w:tcPr>
            <w:tcW w:w="1985" w:type="dxa"/>
            <w:vMerge w:val="restart"/>
            <w:shd w:val="clear" w:color="auto" w:fill="auto"/>
            <w:vAlign w:val="center"/>
            <w:hideMark/>
          </w:tcPr>
          <w:p w:rsidR="00ED3D18" w:rsidRPr="00C36C8F" w:rsidRDefault="00ED3D18" w:rsidP="002107D4">
            <w:pPr>
              <w:pStyle w:val="TableText"/>
              <w:keepNext/>
              <w:spacing w:before="0" w:after="0"/>
              <w:rPr>
                <w:lang w:eastAsia="en-AU"/>
              </w:rPr>
            </w:pPr>
            <w:r w:rsidRPr="00C36C8F">
              <w:rPr>
                <w:lang w:eastAsia="en-AU"/>
              </w:rPr>
              <w:t>Paper &amp; cardboard</w:t>
            </w:r>
          </w:p>
        </w:tc>
        <w:tc>
          <w:tcPr>
            <w:tcW w:w="4819" w:type="dxa"/>
            <w:shd w:val="clear" w:color="auto" w:fill="auto"/>
            <w:noWrap/>
            <w:vAlign w:val="center"/>
            <w:hideMark/>
          </w:tcPr>
          <w:p w:rsidR="00ED3D18" w:rsidRPr="00C36C8F" w:rsidRDefault="00ED3D18" w:rsidP="00D005AE">
            <w:pPr>
              <w:pStyle w:val="TableText"/>
              <w:keepNext/>
              <w:spacing w:before="0" w:after="0"/>
              <w:rPr>
                <w:lang w:eastAsia="en-AU"/>
              </w:rPr>
            </w:pPr>
            <w:r w:rsidRPr="00C36C8F">
              <w:rPr>
                <w:lang w:eastAsia="en-AU"/>
              </w:rPr>
              <w:t>Cardboard</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Liquid paperboard (LPB)</w:t>
            </w:r>
          </w:p>
        </w:tc>
      </w:tr>
      <w:tr w:rsidR="002107D4" w:rsidRPr="00C36C8F" w:rsidTr="00707FD3">
        <w:trPr>
          <w:trHeight w:hRule="exact" w:val="340"/>
        </w:trPr>
        <w:tc>
          <w:tcPr>
            <w:tcW w:w="1985" w:type="dxa"/>
            <w:vMerge/>
            <w:shd w:val="clear" w:color="auto" w:fill="auto"/>
            <w:vAlign w:val="center"/>
            <w:hideMark/>
          </w:tcPr>
          <w:p w:rsidR="002107D4" w:rsidRPr="00C36C8F" w:rsidRDefault="002107D4" w:rsidP="002107D4">
            <w:pPr>
              <w:pStyle w:val="TableText"/>
              <w:keepNext/>
              <w:spacing w:before="0" w:after="0"/>
              <w:rPr>
                <w:lang w:eastAsia="en-AU"/>
              </w:rPr>
            </w:pPr>
          </w:p>
        </w:tc>
        <w:tc>
          <w:tcPr>
            <w:tcW w:w="4819" w:type="dxa"/>
            <w:shd w:val="clear" w:color="auto" w:fill="auto"/>
            <w:noWrap/>
            <w:vAlign w:val="center"/>
            <w:hideMark/>
          </w:tcPr>
          <w:p w:rsidR="002107D4" w:rsidRPr="00C36C8F" w:rsidRDefault="002107D4" w:rsidP="00D005AE">
            <w:pPr>
              <w:pStyle w:val="TableText"/>
              <w:keepNext/>
              <w:spacing w:before="0" w:after="0"/>
              <w:rPr>
                <w:lang w:eastAsia="en-AU"/>
              </w:rPr>
            </w:pPr>
            <w:r w:rsidRPr="00C36C8F">
              <w:rPr>
                <w:lang w:eastAsia="en-AU"/>
              </w:rPr>
              <w:t>Newsprin</w:t>
            </w:r>
            <w:r w:rsidR="00D005AE" w:rsidRPr="00C36C8F">
              <w:rPr>
                <w:lang w:eastAsia="en-AU"/>
              </w:rPr>
              <w:t xml:space="preserve">t and </w:t>
            </w:r>
            <w:r w:rsidRPr="00C36C8F">
              <w:rPr>
                <w:lang w:eastAsia="en-AU"/>
              </w:rPr>
              <w:t>magazines</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D005AE" w:rsidP="002107D4">
            <w:pPr>
              <w:pStyle w:val="TableText"/>
              <w:keepNext/>
              <w:spacing w:before="0" w:after="0"/>
              <w:rPr>
                <w:lang w:eastAsia="en-AU"/>
              </w:rPr>
            </w:pPr>
            <w:r w:rsidRPr="00C36C8F">
              <w:rPr>
                <w:lang w:eastAsia="en-AU"/>
              </w:rPr>
              <w:t>Office paper</w:t>
            </w:r>
          </w:p>
        </w:tc>
      </w:tr>
      <w:tr w:rsidR="00ED3D18" w:rsidRPr="00C36C8F" w:rsidTr="00707FD3">
        <w:trPr>
          <w:trHeight w:hRule="exact" w:val="340"/>
        </w:trPr>
        <w:tc>
          <w:tcPr>
            <w:tcW w:w="1985" w:type="dxa"/>
            <w:vMerge w:val="restart"/>
            <w:shd w:val="clear" w:color="auto" w:fill="auto"/>
            <w:vAlign w:val="center"/>
            <w:hideMark/>
          </w:tcPr>
          <w:p w:rsidR="00ED3D18" w:rsidRPr="00C36C8F" w:rsidRDefault="00ED3D18" w:rsidP="002107D4">
            <w:pPr>
              <w:pStyle w:val="TableText"/>
              <w:keepNext/>
              <w:spacing w:before="0" w:after="0"/>
              <w:rPr>
                <w:lang w:eastAsia="en-AU"/>
              </w:rPr>
            </w:pPr>
            <w:r w:rsidRPr="00C36C8F">
              <w:rPr>
                <w:lang w:eastAsia="en-AU"/>
              </w:rPr>
              <w:t>Plastics</w:t>
            </w: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 xml:space="preserve">Polyethylene </w:t>
            </w:r>
            <w:r w:rsidR="00707FD3" w:rsidRPr="00C36C8F">
              <w:rPr>
                <w:lang w:eastAsia="en-AU"/>
              </w:rPr>
              <w:t>terephthalate</w:t>
            </w:r>
            <w:r w:rsidRPr="00C36C8F">
              <w:rPr>
                <w:lang w:eastAsia="en-AU"/>
              </w:rPr>
              <w:t xml:space="preserve"> (PET)</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High density polyethylene (HDPE)</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Polyvinyl chloride (PVC)</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Low density polyethylene (LDPE)</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Polypropylene (PP)</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Polystyrene (PS)</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Other plastics</w:t>
            </w:r>
          </w:p>
        </w:tc>
      </w:tr>
      <w:tr w:rsidR="00ED3D18" w:rsidRPr="00C36C8F" w:rsidTr="00707FD3">
        <w:trPr>
          <w:trHeight w:hRule="exact" w:val="340"/>
        </w:trPr>
        <w:tc>
          <w:tcPr>
            <w:tcW w:w="1985" w:type="dxa"/>
            <w:shd w:val="clear" w:color="auto" w:fill="auto"/>
            <w:noWrap/>
            <w:vAlign w:val="center"/>
            <w:hideMark/>
          </w:tcPr>
          <w:p w:rsidR="00ED3D18" w:rsidRPr="00C36C8F" w:rsidRDefault="00745887" w:rsidP="002107D4">
            <w:pPr>
              <w:pStyle w:val="TableText"/>
              <w:keepNext/>
              <w:spacing w:before="0" w:after="0"/>
              <w:rPr>
                <w:lang w:eastAsia="en-AU"/>
              </w:rPr>
            </w:pPr>
            <w:r w:rsidRPr="00C36C8F">
              <w:rPr>
                <w:lang w:eastAsia="en-AU"/>
              </w:rPr>
              <w:t>Glass</w:t>
            </w:r>
          </w:p>
        </w:tc>
        <w:tc>
          <w:tcPr>
            <w:tcW w:w="4819" w:type="dxa"/>
            <w:shd w:val="clear" w:color="auto" w:fill="auto"/>
            <w:noWrap/>
            <w:vAlign w:val="center"/>
            <w:hideMark/>
          </w:tcPr>
          <w:p w:rsidR="00ED3D18" w:rsidRPr="00C36C8F" w:rsidRDefault="00707FD3" w:rsidP="002107D4">
            <w:pPr>
              <w:pStyle w:val="TableText"/>
              <w:keepNext/>
              <w:spacing w:before="0" w:after="0"/>
              <w:rPr>
                <w:lang w:eastAsia="en-AU"/>
              </w:rPr>
            </w:pPr>
            <w:r w:rsidRPr="00C36C8F">
              <w:rPr>
                <w:lang w:eastAsia="en-AU"/>
              </w:rPr>
              <w:t>Glass</w:t>
            </w:r>
          </w:p>
        </w:tc>
      </w:tr>
      <w:tr w:rsidR="00745887" w:rsidRPr="00C36C8F" w:rsidTr="00707FD3">
        <w:trPr>
          <w:trHeight w:hRule="exact" w:val="340"/>
        </w:trPr>
        <w:tc>
          <w:tcPr>
            <w:tcW w:w="1985" w:type="dxa"/>
            <w:vMerge w:val="restart"/>
            <w:shd w:val="clear" w:color="auto" w:fill="auto"/>
            <w:vAlign w:val="center"/>
            <w:hideMark/>
          </w:tcPr>
          <w:p w:rsidR="00745887" w:rsidRPr="00C36C8F" w:rsidRDefault="00745887" w:rsidP="002107D4">
            <w:pPr>
              <w:pStyle w:val="TableText"/>
              <w:keepNext/>
              <w:spacing w:before="0" w:after="0"/>
              <w:rPr>
                <w:lang w:eastAsia="en-AU"/>
              </w:rPr>
            </w:pPr>
            <w:r w:rsidRPr="00C36C8F">
              <w:rPr>
                <w:lang w:eastAsia="en-AU"/>
              </w:rPr>
              <w:t>Other</w:t>
            </w:r>
          </w:p>
        </w:tc>
        <w:tc>
          <w:tcPr>
            <w:tcW w:w="4819" w:type="dxa"/>
            <w:shd w:val="clear" w:color="auto" w:fill="auto"/>
            <w:noWrap/>
            <w:vAlign w:val="center"/>
            <w:hideMark/>
          </w:tcPr>
          <w:p w:rsidR="00745887" w:rsidRPr="00C36C8F" w:rsidRDefault="00745887" w:rsidP="002107D4">
            <w:pPr>
              <w:pStyle w:val="TableText"/>
              <w:keepNext/>
              <w:spacing w:before="0" w:after="0"/>
              <w:rPr>
                <w:lang w:eastAsia="en-AU"/>
              </w:rPr>
            </w:pPr>
            <w:r w:rsidRPr="00C36C8F">
              <w:rPr>
                <w:lang w:eastAsia="en-AU"/>
              </w:rPr>
              <w:t>Leather &amp; textiles</w:t>
            </w:r>
          </w:p>
        </w:tc>
      </w:tr>
      <w:tr w:rsidR="00745887" w:rsidRPr="00C36C8F" w:rsidTr="00707FD3">
        <w:trPr>
          <w:trHeight w:hRule="exact" w:val="340"/>
        </w:trPr>
        <w:tc>
          <w:tcPr>
            <w:tcW w:w="1985" w:type="dxa"/>
            <w:vMerge/>
            <w:shd w:val="clear" w:color="auto" w:fill="auto"/>
            <w:vAlign w:val="center"/>
            <w:hideMark/>
          </w:tcPr>
          <w:p w:rsidR="00745887" w:rsidRPr="00C36C8F" w:rsidRDefault="00745887" w:rsidP="002107D4">
            <w:pPr>
              <w:pStyle w:val="TableText"/>
              <w:keepNext/>
              <w:spacing w:before="0" w:after="0"/>
              <w:rPr>
                <w:lang w:eastAsia="en-AU"/>
              </w:rPr>
            </w:pPr>
          </w:p>
        </w:tc>
        <w:tc>
          <w:tcPr>
            <w:tcW w:w="4819" w:type="dxa"/>
            <w:shd w:val="clear" w:color="auto" w:fill="auto"/>
            <w:noWrap/>
            <w:vAlign w:val="center"/>
            <w:hideMark/>
          </w:tcPr>
          <w:p w:rsidR="00745887" w:rsidRPr="00C36C8F" w:rsidRDefault="00745887" w:rsidP="002107D4">
            <w:pPr>
              <w:pStyle w:val="TableText"/>
              <w:keepNext/>
              <w:spacing w:before="0" w:after="0"/>
              <w:rPr>
                <w:lang w:eastAsia="en-AU"/>
              </w:rPr>
            </w:pPr>
            <w:r w:rsidRPr="00C36C8F">
              <w:rPr>
                <w:lang w:eastAsia="en-AU"/>
              </w:rPr>
              <w:t>Tyres &amp; other rubber</w:t>
            </w:r>
          </w:p>
        </w:tc>
      </w:tr>
      <w:tr w:rsidR="00ED3D18" w:rsidRPr="00C36C8F" w:rsidTr="00707FD3">
        <w:trPr>
          <w:trHeight w:hRule="exact" w:val="340"/>
        </w:trPr>
        <w:tc>
          <w:tcPr>
            <w:tcW w:w="1985" w:type="dxa"/>
            <w:vMerge w:val="restart"/>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Hazardous</w:t>
            </w: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Quarantine</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Contaminated soil</w:t>
            </w:r>
          </w:p>
        </w:tc>
      </w:tr>
      <w:tr w:rsidR="00ED3D18" w:rsidRPr="00C36C8F" w:rsidTr="00707FD3">
        <w:trPr>
          <w:trHeight w:hRule="exact" w:val="340"/>
        </w:trPr>
        <w:tc>
          <w:tcPr>
            <w:tcW w:w="1985" w:type="dxa"/>
            <w:vMerge/>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Industrial waste</w:t>
            </w:r>
          </w:p>
        </w:tc>
      </w:tr>
      <w:tr w:rsidR="00ED3D18" w:rsidRPr="00C36C8F" w:rsidTr="00DA6169">
        <w:trPr>
          <w:trHeight w:hRule="exact" w:val="340"/>
        </w:trPr>
        <w:tc>
          <w:tcPr>
            <w:tcW w:w="1985" w:type="dxa"/>
            <w:vMerge/>
            <w:tcBorders>
              <w:bottom w:val="single" w:sz="4" w:space="0" w:color="7F7F7F" w:themeColor="text1" w:themeTint="80"/>
            </w:tcBorders>
            <w:shd w:val="clear" w:color="auto" w:fill="auto"/>
            <w:vAlign w:val="center"/>
            <w:hideMark/>
          </w:tcPr>
          <w:p w:rsidR="00ED3D18" w:rsidRPr="00C36C8F" w:rsidRDefault="00ED3D18" w:rsidP="002107D4">
            <w:pPr>
              <w:pStyle w:val="TableText"/>
              <w:keepNext/>
              <w:spacing w:before="0" w:after="0"/>
              <w:rPr>
                <w:lang w:eastAsia="en-AU"/>
              </w:rPr>
            </w:pPr>
          </w:p>
        </w:tc>
        <w:tc>
          <w:tcPr>
            <w:tcW w:w="4819" w:type="dxa"/>
            <w:tcBorders>
              <w:bottom w:val="single" w:sz="4" w:space="0" w:color="7F7F7F" w:themeColor="text1" w:themeTint="80"/>
            </w:tcBorders>
            <w:shd w:val="clear" w:color="auto" w:fill="auto"/>
            <w:noWrap/>
            <w:vAlign w:val="center"/>
            <w:hideMark/>
          </w:tcPr>
          <w:p w:rsidR="00ED3D18" w:rsidRPr="00C36C8F" w:rsidRDefault="00ED3D18" w:rsidP="002107D4">
            <w:pPr>
              <w:pStyle w:val="TableText"/>
              <w:keepNext/>
              <w:spacing w:before="0" w:after="0"/>
              <w:rPr>
                <w:lang w:eastAsia="en-AU"/>
              </w:rPr>
            </w:pPr>
            <w:r w:rsidRPr="00C36C8F">
              <w:rPr>
                <w:lang w:eastAsia="en-AU"/>
              </w:rPr>
              <w:t>Asbestos</w:t>
            </w:r>
          </w:p>
        </w:tc>
      </w:tr>
      <w:tr w:rsidR="00DA6169" w:rsidRPr="00C36C8F" w:rsidTr="00DA6169">
        <w:trPr>
          <w:trHeight w:hRule="exact" w:val="340"/>
        </w:trPr>
        <w:tc>
          <w:tcPr>
            <w:tcW w:w="1985" w:type="dxa"/>
            <w:tcBorders>
              <w:top w:val="single" w:sz="4" w:space="0" w:color="7F7F7F" w:themeColor="text1" w:themeTint="80"/>
              <w:bottom w:val="single" w:sz="4" w:space="0" w:color="7F7F7F" w:themeColor="text1" w:themeTint="80"/>
            </w:tcBorders>
            <w:shd w:val="clear" w:color="auto" w:fill="auto"/>
            <w:vAlign w:val="center"/>
          </w:tcPr>
          <w:p w:rsidR="00DA6169" w:rsidRPr="00C36C8F" w:rsidRDefault="00DA6169" w:rsidP="002107D4">
            <w:pPr>
              <w:pStyle w:val="TableText"/>
              <w:spacing w:before="0" w:after="0"/>
              <w:rPr>
                <w:b/>
                <w:lang w:eastAsia="en-AU"/>
              </w:rPr>
            </w:pPr>
            <w:r w:rsidRPr="00C36C8F">
              <w:rPr>
                <w:lang w:eastAsia="en-AU"/>
              </w:rPr>
              <w:t>Reported separately</w:t>
            </w:r>
          </w:p>
        </w:tc>
        <w:tc>
          <w:tcPr>
            <w:tcW w:w="4819" w:type="dxa"/>
            <w:tcBorders>
              <w:top w:val="single" w:sz="4" w:space="0" w:color="7F7F7F" w:themeColor="text1" w:themeTint="80"/>
              <w:bottom w:val="single" w:sz="4" w:space="0" w:color="7F7F7F" w:themeColor="text1" w:themeTint="80"/>
            </w:tcBorders>
            <w:shd w:val="clear" w:color="auto" w:fill="auto"/>
            <w:noWrap/>
            <w:vAlign w:val="center"/>
            <w:hideMark/>
          </w:tcPr>
          <w:p w:rsidR="00DA6169" w:rsidRPr="00C36C8F" w:rsidRDefault="00DA6169" w:rsidP="002107D4">
            <w:pPr>
              <w:pStyle w:val="TableText"/>
              <w:spacing w:before="0" w:after="0"/>
              <w:rPr>
                <w:b/>
                <w:lang w:eastAsia="en-AU"/>
              </w:rPr>
            </w:pPr>
            <w:r w:rsidRPr="00C36C8F">
              <w:rPr>
                <w:lang w:eastAsia="en-AU"/>
              </w:rPr>
              <w:t>Fly ash</w:t>
            </w:r>
          </w:p>
        </w:tc>
      </w:tr>
    </w:tbl>
    <w:p w:rsidR="00ED3D18" w:rsidRPr="00C36C8F" w:rsidRDefault="00ED3D18">
      <w:pPr>
        <w:spacing w:after="0" w:line="240" w:lineRule="auto"/>
        <w:ind w:left="0"/>
        <w:rPr>
          <w:lang w:eastAsia="en-AU"/>
        </w:rPr>
      </w:pPr>
      <w:r w:rsidRPr="00C36C8F">
        <w:rPr>
          <w:lang w:eastAsia="en-AU"/>
        </w:rPr>
        <w:br w:type="page"/>
      </w:r>
    </w:p>
    <w:p w:rsidR="00D93C66" w:rsidRPr="00C36C8F" w:rsidRDefault="00556F0A" w:rsidP="00556F0A">
      <w:pPr>
        <w:pStyle w:val="Caption"/>
      </w:pPr>
      <w:bookmarkStart w:id="96" w:name="_Ref295203671"/>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3</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6</w:t>
      </w:r>
      <w:r w:rsidR="00B9555F" w:rsidRPr="00C36C8F">
        <w:rPr>
          <w:noProof/>
        </w:rPr>
        <w:fldChar w:fldCharType="end"/>
      </w:r>
      <w:bookmarkEnd w:id="96"/>
      <w:r w:rsidRPr="00C36C8F">
        <w:tab/>
      </w:r>
      <w:r w:rsidR="009F68D4" w:rsidRPr="00C36C8F">
        <w:t>M</w:t>
      </w:r>
      <w:r w:rsidR="00D93C66" w:rsidRPr="00C36C8F">
        <w:t>aterial types</w:t>
      </w:r>
      <w:r w:rsidR="009F68D4" w:rsidRPr="00C36C8F">
        <w:t xml:space="preserve"> used by Compost Australia</w:t>
      </w:r>
      <w:r w:rsidR="00DA6169" w:rsidRPr="00C36C8F">
        <w:rPr>
          <w:rStyle w:val="FootnoteReference"/>
        </w:rPr>
        <w:footnoteReference w:id="14"/>
      </w:r>
      <w:r w:rsidR="00D93C66" w:rsidRPr="00C36C8F">
        <w:t xml:space="preserve"> </w:t>
      </w:r>
      <w:r w:rsidR="009F68D4" w:rsidRPr="00C36C8F">
        <w:t>with explanation for inclusion or exclusion from</w:t>
      </w:r>
      <w:r w:rsidR="00D93C66" w:rsidRPr="00C36C8F">
        <w:t xml:space="preserve"> organics recycling calculations</w:t>
      </w:r>
      <w:r w:rsidR="009F68D4" w:rsidRPr="00C36C8F">
        <w:t xml:space="preserve"> in this report</w:t>
      </w:r>
    </w:p>
    <w:tbl>
      <w:tblPr>
        <w:tblW w:w="8505" w:type="dxa"/>
        <w:tblInd w:w="1134" w:type="dxa"/>
        <w:tblBorders>
          <w:bottom w:val="single" w:sz="18" w:space="0" w:color="808080"/>
          <w:insideH w:val="single" w:sz="4" w:space="0" w:color="808080"/>
        </w:tblBorders>
        <w:tblLayout w:type="fixed"/>
        <w:tblCellMar>
          <w:left w:w="0" w:type="dxa"/>
          <w:right w:w="0" w:type="dxa"/>
        </w:tblCellMar>
        <w:tblLook w:val="01E0"/>
      </w:tblPr>
      <w:tblGrid>
        <w:gridCol w:w="2835"/>
        <w:gridCol w:w="992"/>
        <w:gridCol w:w="4678"/>
      </w:tblGrid>
      <w:tr w:rsidR="00D93C66" w:rsidRPr="00C36C8F" w:rsidTr="00F405B0">
        <w:tc>
          <w:tcPr>
            <w:tcW w:w="2835" w:type="dxa"/>
            <w:shd w:val="clear" w:color="auto" w:fill="auto"/>
          </w:tcPr>
          <w:p w:rsidR="00D93C66" w:rsidRPr="00C36C8F" w:rsidRDefault="00D93C66" w:rsidP="0025442D">
            <w:pPr>
              <w:pStyle w:val="TableHeading"/>
              <w:ind w:right="141"/>
              <w:rPr>
                <w:kern w:val="28"/>
                <w:szCs w:val="18"/>
              </w:rPr>
            </w:pPr>
            <w:r w:rsidRPr="00C36C8F">
              <w:rPr>
                <w:kern w:val="28"/>
                <w:szCs w:val="18"/>
              </w:rPr>
              <w:t>Material type</w:t>
            </w:r>
          </w:p>
        </w:tc>
        <w:tc>
          <w:tcPr>
            <w:tcW w:w="992" w:type="dxa"/>
            <w:shd w:val="clear" w:color="auto" w:fill="auto"/>
          </w:tcPr>
          <w:p w:rsidR="00D93C66" w:rsidRPr="00C36C8F" w:rsidRDefault="00D93C66" w:rsidP="0025442D">
            <w:pPr>
              <w:pStyle w:val="TableHeading"/>
              <w:ind w:right="141"/>
              <w:rPr>
                <w:kern w:val="28"/>
                <w:szCs w:val="18"/>
              </w:rPr>
            </w:pPr>
            <w:r w:rsidRPr="00C36C8F">
              <w:rPr>
                <w:kern w:val="28"/>
                <w:szCs w:val="18"/>
              </w:rPr>
              <w:t>Status</w:t>
            </w:r>
          </w:p>
        </w:tc>
        <w:tc>
          <w:tcPr>
            <w:tcW w:w="4678" w:type="dxa"/>
            <w:shd w:val="clear" w:color="auto" w:fill="auto"/>
          </w:tcPr>
          <w:p w:rsidR="00D93C66" w:rsidRPr="00C36C8F" w:rsidRDefault="00D93C66" w:rsidP="00F405B0">
            <w:pPr>
              <w:pStyle w:val="TableHeading"/>
              <w:rPr>
                <w:kern w:val="28"/>
                <w:szCs w:val="18"/>
              </w:rPr>
            </w:pPr>
            <w:r w:rsidRPr="00C36C8F">
              <w:rPr>
                <w:kern w:val="28"/>
                <w:szCs w:val="18"/>
              </w:rPr>
              <w:t>Explanation</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Garden organics (green organics / garden vegetation)</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Post-consumer waste</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Wood/timber/sawdust (from commercial/industrial sources)</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Post-consumer waste</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Sawdust (from forestry residues)</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Excluded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Excluded under recommendation 10</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Barks (from forestry residues)</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Excluded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Excluded under recommendation 10</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Food organics (food waste)</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Post-consumer waste</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Biosolids/grit/screenings</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Post-consumer waste</w:t>
            </w:r>
          </w:p>
        </w:tc>
      </w:tr>
      <w:tr w:rsidR="00D93C66" w:rsidRPr="00C36C8F" w:rsidTr="00F405B0">
        <w:tc>
          <w:tcPr>
            <w:tcW w:w="2835" w:type="dxa"/>
            <w:shd w:val="clear" w:color="auto" w:fill="auto"/>
            <w:vAlign w:val="center"/>
          </w:tcPr>
          <w:p w:rsidR="00D93C66" w:rsidRPr="00C36C8F" w:rsidRDefault="0025442D" w:rsidP="0025442D">
            <w:pPr>
              <w:pStyle w:val="TableText"/>
              <w:keepNext/>
              <w:ind w:right="141"/>
              <w:rPr>
                <w:szCs w:val="18"/>
              </w:rPr>
            </w:pPr>
            <w:r w:rsidRPr="00C36C8F">
              <w:rPr>
                <w:rFonts w:cs="Arial"/>
                <w:szCs w:val="18"/>
              </w:rPr>
              <w:t>Oils/grease trap/sludge</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Post-consumer waste</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Straw</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Excluded</w:t>
            </w:r>
          </w:p>
        </w:tc>
        <w:tc>
          <w:tcPr>
            <w:tcW w:w="4678" w:type="dxa"/>
            <w:shd w:val="clear" w:color="auto" w:fill="auto"/>
            <w:vAlign w:val="center"/>
          </w:tcPr>
          <w:p w:rsidR="00D93C66" w:rsidRPr="00C36C8F" w:rsidRDefault="00D93C66" w:rsidP="00DA6169">
            <w:pPr>
              <w:pStyle w:val="TableText"/>
              <w:keepNext/>
              <w:rPr>
                <w:szCs w:val="18"/>
              </w:rPr>
            </w:pPr>
            <w:r w:rsidRPr="00C36C8F">
              <w:rPr>
                <w:rFonts w:cs="Arial"/>
                <w:szCs w:val="18"/>
              </w:rPr>
              <w:t>Agricultural waste</w:t>
            </w:r>
            <w:r w:rsidR="00DA6169" w:rsidRPr="00C36C8F">
              <w:rPr>
                <w:rFonts w:cs="Arial"/>
                <w:szCs w:val="18"/>
              </w:rPr>
              <w:t>–</w:t>
            </w:r>
            <w:r w:rsidRPr="00C36C8F">
              <w:rPr>
                <w:rFonts w:cs="Arial"/>
                <w:szCs w:val="18"/>
              </w:rPr>
              <w:t>excluded under recommendation 11</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Manure</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Excluded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Agricultural waste</w:t>
            </w:r>
            <w:r w:rsidR="00DA6169" w:rsidRPr="00C36C8F">
              <w:rPr>
                <w:rFonts w:cs="Arial"/>
                <w:szCs w:val="18"/>
              </w:rPr>
              <w:t>–</w:t>
            </w:r>
            <w:r w:rsidRPr="00C36C8F">
              <w:rPr>
                <w:rFonts w:cs="Arial"/>
                <w:szCs w:val="18"/>
              </w:rPr>
              <w:t>excluded under recommendation 11</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Animal bedding</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Ancillary to core primary produc</w:t>
            </w:r>
            <w:r w:rsidR="00DE7723" w:rsidRPr="00C36C8F">
              <w:rPr>
                <w:rFonts w:cs="Arial"/>
                <w:szCs w:val="18"/>
              </w:rPr>
              <w:t>tion. See Section 4.2.4 of the m</w:t>
            </w:r>
            <w:r w:rsidRPr="00C36C8F">
              <w:rPr>
                <w:rFonts w:cs="Arial"/>
                <w:szCs w:val="18"/>
              </w:rPr>
              <w:t>ethod report</w:t>
            </w:r>
            <w:r w:rsidR="00B44E41">
              <w:rPr>
                <w:rFonts w:cs="Arial"/>
                <w:szCs w:val="18"/>
              </w:rPr>
              <w:t>.</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Animal mortalities</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Excluded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Agricultural waste</w:t>
            </w:r>
            <w:r w:rsidR="00DA6169" w:rsidRPr="00C36C8F">
              <w:rPr>
                <w:rFonts w:cs="Arial"/>
                <w:szCs w:val="18"/>
              </w:rPr>
              <w:t>–</w:t>
            </w:r>
            <w:r w:rsidRPr="00C36C8F">
              <w:rPr>
                <w:rFonts w:cs="Arial"/>
                <w:szCs w:val="18"/>
              </w:rPr>
              <w:t>excluded under recommendation 11</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Paunch</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Post-consumer C&amp;I waste</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Other</w:t>
            </w:r>
            <w:r w:rsidR="00DA6169" w:rsidRPr="00C36C8F">
              <w:rPr>
                <w:rFonts w:cs="Arial"/>
                <w:szCs w:val="18"/>
              </w:rPr>
              <w:t>–</w:t>
            </w:r>
            <w:r w:rsidRPr="00C36C8F">
              <w:rPr>
                <w:rFonts w:cs="Arial"/>
                <w:szCs w:val="18"/>
              </w:rPr>
              <w:t>Miscellaneous agricultural wastes</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Excluded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Agricultural waste</w:t>
            </w:r>
            <w:r w:rsidR="00DA6169" w:rsidRPr="00C36C8F">
              <w:rPr>
                <w:rFonts w:cs="Arial"/>
                <w:szCs w:val="18"/>
              </w:rPr>
              <w:t>–</w:t>
            </w:r>
            <w:r w:rsidRPr="00C36C8F">
              <w:rPr>
                <w:rFonts w:cs="Arial"/>
                <w:szCs w:val="18"/>
              </w:rPr>
              <w:t>excluded under recommendation 11</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Other</w:t>
            </w:r>
            <w:r w:rsidR="00DA6169" w:rsidRPr="00C36C8F">
              <w:rPr>
                <w:rFonts w:cs="Arial"/>
                <w:szCs w:val="18"/>
              </w:rPr>
              <w:t>–</w:t>
            </w:r>
            <w:r w:rsidRPr="00C36C8F">
              <w:rPr>
                <w:rFonts w:cs="Arial"/>
                <w:szCs w:val="18"/>
              </w:rPr>
              <w:t>Paper pulp/sludge</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shd w:val="clear" w:color="auto" w:fill="auto"/>
            <w:vAlign w:val="center"/>
          </w:tcPr>
          <w:p w:rsidR="00D93C66" w:rsidRPr="00C36C8F" w:rsidRDefault="00D93C66" w:rsidP="00DE7723">
            <w:pPr>
              <w:pStyle w:val="TableText"/>
              <w:keepNext/>
              <w:rPr>
                <w:szCs w:val="18"/>
              </w:rPr>
            </w:pPr>
            <w:r w:rsidRPr="00C36C8F">
              <w:rPr>
                <w:rFonts w:cs="Arial"/>
                <w:szCs w:val="18"/>
              </w:rPr>
              <w:t xml:space="preserve">Pre-consumer waste, but not from a closed-loop recycling process. See Section 4.2.2 of the </w:t>
            </w:r>
            <w:r w:rsidR="00DE7723" w:rsidRPr="00C36C8F">
              <w:rPr>
                <w:rFonts w:cs="Arial"/>
                <w:szCs w:val="18"/>
              </w:rPr>
              <w:t>m</w:t>
            </w:r>
            <w:r w:rsidRPr="00C36C8F">
              <w:rPr>
                <w:rFonts w:cs="Arial"/>
                <w:szCs w:val="18"/>
              </w:rPr>
              <w:t>ethod report.</w:t>
            </w:r>
          </w:p>
        </w:tc>
      </w:tr>
      <w:tr w:rsidR="00D93C66" w:rsidRPr="00C36C8F" w:rsidTr="00F405B0">
        <w:tc>
          <w:tcPr>
            <w:tcW w:w="2835"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Other</w:t>
            </w:r>
            <w:r w:rsidR="00DA6169" w:rsidRPr="00C36C8F">
              <w:rPr>
                <w:rFonts w:cs="Arial"/>
                <w:szCs w:val="18"/>
              </w:rPr>
              <w:t>–</w:t>
            </w:r>
            <w:r w:rsidRPr="00C36C8F">
              <w:rPr>
                <w:rFonts w:cs="Arial"/>
                <w:szCs w:val="18"/>
              </w:rPr>
              <w:t>MSW (organic fraction)</w:t>
            </w:r>
          </w:p>
        </w:tc>
        <w:tc>
          <w:tcPr>
            <w:tcW w:w="992" w:type="dxa"/>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shd w:val="clear" w:color="auto" w:fill="auto"/>
            <w:vAlign w:val="center"/>
          </w:tcPr>
          <w:p w:rsidR="00D93C66" w:rsidRPr="00C36C8F" w:rsidRDefault="00D93C66" w:rsidP="00F405B0">
            <w:pPr>
              <w:pStyle w:val="TableText"/>
              <w:keepNext/>
              <w:rPr>
                <w:szCs w:val="18"/>
              </w:rPr>
            </w:pPr>
            <w:r w:rsidRPr="00C36C8F">
              <w:rPr>
                <w:rFonts w:cs="Arial"/>
                <w:szCs w:val="18"/>
              </w:rPr>
              <w:t>Post-consumer waste</w:t>
            </w:r>
          </w:p>
        </w:tc>
      </w:tr>
      <w:tr w:rsidR="00D93C66" w:rsidRPr="00C36C8F" w:rsidTr="00F405B0">
        <w:tc>
          <w:tcPr>
            <w:tcW w:w="2835" w:type="dxa"/>
            <w:tcBorders>
              <w:bottom w:val="single" w:sz="4" w:space="0" w:color="808080"/>
            </w:tcBorders>
            <w:shd w:val="clear" w:color="auto" w:fill="auto"/>
            <w:vAlign w:val="center"/>
          </w:tcPr>
          <w:p w:rsidR="00D93C66" w:rsidRPr="00C36C8F" w:rsidRDefault="00D93C66" w:rsidP="0025442D">
            <w:pPr>
              <w:pStyle w:val="TableText"/>
              <w:keepNext/>
              <w:ind w:right="141"/>
              <w:rPr>
                <w:szCs w:val="18"/>
              </w:rPr>
            </w:pPr>
            <w:r w:rsidRPr="00C36C8F">
              <w:rPr>
                <w:rFonts w:cs="Arial"/>
                <w:szCs w:val="18"/>
              </w:rPr>
              <w:t>Other</w:t>
            </w:r>
            <w:r w:rsidR="00DA6169" w:rsidRPr="00C36C8F">
              <w:rPr>
                <w:rFonts w:cs="Arial"/>
                <w:szCs w:val="18"/>
              </w:rPr>
              <w:t>–</w:t>
            </w:r>
            <w:r w:rsidRPr="00C36C8F">
              <w:rPr>
                <w:rFonts w:cs="Arial"/>
                <w:szCs w:val="18"/>
              </w:rPr>
              <w:t>Biowaste</w:t>
            </w:r>
          </w:p>
        </w:tc>
        <w:tc>
          <w:tcPr>
            <w:tcW w:w="992" w:type="dxa"/>
            <w:tcBorders>
              <w:bottom w:val="single" w:sz="4" w:space="0" w:color="808080"/>
            </w:tcBorders>
            <w:shd w:val="clear" w:color="auto" w:fill="auto"/>
            <w:vAlign w:val="center"/>
          </w:tcPr>
          <w:p w:rsidR="00D93C66" w:rsidRPr="00C36C8F" w:rsidRDefault="00D93C66" w:rsidP="0025442D">
            <w:pPr>
              <w:pStyle w:val="TableText"/>
              <w:keepNext/>
              <w:ind w:right="141"/>
              <w:rPr>
                <w:szCs w:val="18"/>
              </w:rPr>
            </w:pPr>
            <w:r w:rsidRPr="00C36C8F">
              <w:rPr>
                <w:rFonts w:cs="Arial"/>
                <w:szCs w:val="18"/>
              </w:rPr>
              <w:t>Included</w:t>
            </w:r>
          </w:p>
        </w:tc>
        <w:tc>
          <w:tcPr>
            <w:tcW w:w="4678" w:type="dxa"/>
            <w:tcBorders>
              <w:bottom w:val="single" w:sz="4" w:space="0" w:color="808080"/>
            </w:tcBorders>
            <w:shd w:val="clear" w:color="auto" w:fill="auto"/>
            <w:vAlign w:val="center"/>
          </w:tcPr>
          <w:p w:rsidR="00D93C66" w:rsidRPr="00C36C8F" w:rsidRDefault="00D93C66" w:rsidP="00F405B0">
            <w:pPr>
              <w:pStyle w:val="TableText"/>
              <w:keepNext/>
              <w:rPr>
                <w:szCs w:val="18"/>
              </w:rPr>
            </w:pPr>
            <w:r w:rsidRPr="00C36C8F">
              <w:rPr>
                <w:rFonts w:cs="Arial"/>
                <w:szCs w:val="18"/>
              </w:rPr>
              <w:t>Post-consumer waste</w:t>
            </w:r>
          </w:p>
        </w:tc>
      </w:tr>
      <w:tr w:rsidR="00D93C66" w:rsidRPr="00C36C8F" w:rsidTr="00F405B0">
        <w:tc>
          <w:tcPr>
            <w:tcW w:w="2835" w:type="dxa"/>
            <w:tcBorders>
              <w:top w:val="single" w:sz="4" w:space="0" w:color="808080"/>
              <w:bottom w:val="single" w:sz="4" w:space="0" w:color="7F7F7F" w:themeColor="text1" w:themeTint="80"/>
            </w:tcBorders>
            <w:shd w:val="clear" w:color="auto" w:fill="auto"/>
            <w:vAlign w:val="center"/>
          </w:tcPr>
          <w:p w:rsidR="00D93C66" w:rsidRPr="00C36C8F" w:rsidRDefault="00D93C66" w:rsidP="0025442D">
            <w:pPr>
              <w:pStyle w:val="TableText"/>
              <w:ind w:right="141"/>
              <w:rPr>
                <w:szCs w:val="18"/>
              </w:rPr>
            </w:pPr>
            <w:r w:rsidRPr="00C36C8F">
              <w:rPr>
                <w:rFonts w:cs="Arial"/>
                <w:szCs w:val="18"/>
              </w:rPr>
              <w:t>Other</w:t>
            </w:r>
            <w:r w:rsidR="00DA6169" w:rsidRPr="00C36C8F">
              <w:rPr>
                <w:rFonts w:cs="Arial"/>
                <w:szCs w:val="18"/>
              </w:rPr>
              <w:t>–</w:t>
            </w:r>
            <w:r w:rsidRPr="00C36C8F">
              <w:rPr>
                <w:rFonts w:cs="Arial"/>
                <w:szCs w:val="18"/>
              </w:rPr>
              <w:t>Miscellaneous</w:t>
            </w:r>
          </w:p>
        </w:tc>
        <w:tc>
          <w:tcPr>
            <w:tcW w:w="992" w:type="dxa"/>
            <w:tcBorders>
              <w:top w:val="single" w:sz="4" w:space="0" w:color="808080"/>
              <w:bottom w:val="single" w:sz="4" w:space="0" w:color="7F7F7F" w:themeColor="text1" w:themeTint="80"/>
            </w:tcBorders>
            <w:shd w:val="clear" w:color="auto" w:fill="auto"/>
            <w:vAlign w:val="center"/>
          </w:tcPr>
          <w:p w:rsidR="00D93C66" w:rsidRPr="00C36C8F" w:rsidRDefault="00D93C66" w:rsidP="0025442D">
            <w:pPr>
              <w:pStyle w:val="TableText"/>
              <w:ind w:right="141"/>
              <w:rPr>
                <w:szCs w:val="18"/>
              </w:rPr>
            </w:pPr>
            <w:r w:rsidRPr="00C36C8F">
              <w:rPr>
                <w:rFonts w:cs="Arial"/>
                <w:szCs w:val="18"/>
              </w:rPr>
              <w:t>Included</w:t>
            </w:r>
          </w:p>
        </w:tc>
        <w:tc>
          <w:tcPr>
            <w:tcW w:w="4678" w:type="dxa"/>
            <w:tcBorders>
              <w:top w:val="single" w:sz="4" w:space="0" w:color="808080"/>
              <w:bottom w:val="single" w:sz="4" w:space="0" w:color="7F7F7F" w:themeColor="text1" w:themeTint="80"/>
            </w:tcBorders>
            <w:shd w:val="clear" w:color="auto" w:fill="auto"/>
            <w:vAlign w:val="center"/>
          </w:tcPr>
          <w:p w:rsidR="00D93C66" w:rsidRPr="00C36C8F" w:rsidRDefault="0025442D" w:rsidP="00F405B0">
            <w:pPr>
              <w:pStyle w:val="TableText"/>
              <w:rPr>
                <w:szCs w:val="18"/>
              </w:rPr>
            </w:pPr>
            <w:r w:rsidRPr="00C36C8F">
              <w:rPr>
                <w:rFonts w:cs="Arial"/>
                <w:szCs w:val="18"/>
              </w:rPr>
              <w:t>Assumed</w:t>
            </w:r>
            <w:r w:rsidR="00D93C66" w:rsidRPr="00C36C8F">
              <w:rPr>
                <w:rFonts w:cs="Arial"/>
                <w:szCs w:val="18"/>
              </w:rPr>
              <w:t xml:space="preserve"> to be </w:t>
            </w:r>
            <w:r w:rsidR="00DA6169" w:rsidRPr="00C36C8F">
              <w:rPr>
                <w:rFonts w:cs="Arial"/>
                <w:szCs w:val="18"/>
              </w:rPr>
              <w:t>post-consumer</w:t>
            </w:r>
            <w:r w:rsidR="00D93C66" w:rsidRPr="00C36C8F">
              <w:rPr>
                <w:rFonts w:cs="Arial"/>
                <w:szCs w:val="18"/>
              </w:rPr>
              <w:t xml:space="preserve"> waste</w:t>
            </w:r>
          </w:p>
        </w:tc>
      </w:tr>
    </w:tbl>
    <w:p w:rsidR="009F68D4" w:rsidRPr="00C36C8F" w:rsidRDefault="009F68D4" w:rsidP="000B315F">
      <w:pPr>
        <w:ind w:left="1134"/>
      </w:pPr>
      <w:bookmarkStart w:id="97" w:name="_Toc279510576"/>
    </w:p>
    <w:p w:rsidR="00416F0B" w:rsidRPr="00C36C8F" w:rsidRDefault="001E6ABD" w:rsidP="000413DC">
      <w:pPr>
        <w:pStyle w:val="Heading40"/>
        <w:spacing w:before="0"/>
        <w:jc w:val="both"/>
      </w:pPr>
      <w:r w:rsidRPr="00C36C8F">
        <w:t>Recommendation 19: Waste should be counted by the stream that it is collected in unless data is readily available.</w:t>
      </w:r>
      <w:bookmarkEnd w:id="97"/>
    </w:p>
    <w:p w:rsidR="006301A4" w:rsidRPr="00C36C8F" w:rsidRDefault="006301A4" w:rsidP="000413DC">
      <w:pPr>
        <w:pStyle w:val="ParaIndent"/>
        <w:jc w:val="both"/>
        <w:rPr>
          <w:lang w:eastAsia="en-AU"/>
        </w:rPr>
      </w:pPr>
      <w:r w:rsidRPr="00C36C8F">
        <w:rPr>
          <w:lang w:eastAsia="en-AU"/>
        </w:rPr>
        <w:t>Waste that is defined as originating from a particular source is sometimes collected, and identified</w:t>
      </w:r>
      <w:r w:rsidR="003F4BCB" w:rsidRPr="00C36C8F">
        <w:rPr>
          <w:lang w:eastAsia="en-AU"/>
        </w:rPr>
        <w:t>,</w:t>
      </w:r>
      <w:r w:rsidRPr="00C36C8F">
        <w:rPr>
          <w:lang w:eastAsia="en-AU"/>
        </w:rPr>
        <w:t xml:space="preserve"> as being part of another waste stream. There are a number of instances where this happens on a regular basis.</w:t>
      </w:r>
    </w:p>
    <w:p w:rsidR="006301A4" w:rsidRPr="00C36C8F" w:rsidRDefault="006301A4" w:rsidP="000413DC">
      <w:pPr>
        <w:pStyle w:val="ParaIndent"/>
        <w:jc w:val="both"/>
        <w:rPr>
          <w:lang w:eastAsia="en-AU"/>
        </w:rPr>
      </w:pPr>
      <w:r w:rsidRPr="00C36C8F">
        <w:rPr>
          <w:lang w:eastAsia="en-AU"/>
        </w:rPr>
        <w:t xml:space="preserve">Some councils offer a kerbside waste and/or a recycling collection service to local small businesses. Waste and recycling collected from these businesses is usually not recorded separately to that collected from households. In this case, a small proportion of waste that is recorded as municipal waste is actually C&amp;I waste. Conversely, some municipal waste collected </w:t>
      </w:r>
      <w:r w:rsidR="00DA6169" w:rsidRPr="00C36C8F">
        <w:rPr>
          <w:lang w:eastAsia="en-AU"/>
        </w:rPr>
        <w:t>in mixed use buildings is</w:t>
      </w:r>
      <w:r w:rsidRPr="00C36C8F">
        <w:rPr>
          <w:lang w:eastAsia="en-AU"/>
        </w:rPr>
        <w:t xml:space="preserve"> counted as being C&amp;I waste.</w:t>
      </w:r>
    </w:p>
    <w:p w:rsidR="006301A4" w:rsidRPr="00C36C8F" w:rsidRDefault="006301A4" w:rsidP="000413DC">
      <w:pPr>
        <w:pStyle w:val="ParaIndent"/>
        <w:jc w:val="both"/>
      </w:pPr>
      <w:r w:rsidRPr="00C36C8F">
        <w:t xml:space="preserve">C&amp;D waste from home renovations, shop fit-outs, and other minor building activities can be disposed of through </w:t>
      </w:r>
      <w:r w:rsidR="009F68D4" w:rsidRPr="00C36C8F">
        <w:t>c</w:t>
      </w:r>
      <w:r w:rsidRPr="00C36C8F">
        <w:t>ouncil or privately sourced waste collection systems that would ordinarily be considered part of the municipal or C&amp;I waste stream. For example, a trailer load of C&amp;D waste taken to a transfer station or landfill by a home renovator is likely to be considered municipal waste.</w:t>
      </w:r>
    </w:p>
    <w:p w:rsidR="006301A4" w:rsidRPr="00C36C8F" w:rsidRDefault="006301A4" w:rsidP="000413DC">
      <w:pPr>
        <w:pStyle w:val="ParaIndent"/>
        <w:jc w:val="both"/>
      </w:pPr>
      <w:r w:rsidRPr="00C36C8F">
        <w:t>In these instances, the data collected usually makes it difficult to distinguish between the source of the waste and the stream that it is collected in. Most waste and recycli</w:t>
      </w:r>
      <w:r w:rsidR="00DA6169" w:rsidRPr="00C36C8F">
        <w:t>ng reporting does not separate that</w:t>
      </w:r>
      <w:r w:rsidRPr="00C36C8F">
        <w:t xml:space="preserve"> component of a waste stream that </w:t>
      </w:r>
      <w:r w:rsidR="00DA6169" w:rsidRPr="00C36C8F">
        <w:t>is collected from another stream</w:t>
      </w:r>
      <w:r w:rsidRPr="00C36C8F">
        <w:t xml:space="preserve">. </w:t>
      </w:r>
    </w:p>
    <w:p w:rsidR="00416F0B" w:rsidRPr="00C36C8F" w:rsidRDefault="00D64A05" w:rsidP="000413DC">
      <w:pPr>
        <w:pStyle w:val="ParaIndent"/>
        <w:jc w:val="both"/>
      </w:pPr>
      <w:r w:rsidRPr="00C36C8F">
        <w:t>T</w:t>
      </w:r>
      <w:r w:rsidR="00DA6169" w:rsidRPr="00C36C8F">
        <w:t>here is a quantity of waste that is</w:t>
      </w:r>
      <w:r w:rsidRPr="00C36C8F">
        <w:t xml:space="preserve"> counted in the stream that it is collected in but that originated from a different </w:t>
      </w:r>
      <w:r w:rsidR="00DA6169" w:rsidRPr="00C36C8F">
        <w:t xml:space="preserve">waste </w:t>
      </w:r>
      <w:r w:rsidRPr="00C36C8F">
        <w:t>stream.</w:t>
      </w:r>
      <w:r w:rsidR="00DA6169" w:rsidRPr="00C36C8F">
        <w:t xml:space="preserve"> The relative significance of this cross-stream material is unknown, and </w:t>
      </w:r>
      <w:r w:rsidR="001E6ABD" w:rsidRPr="00C36C8F">
        <w:t xml:space="preserve">requires </w:t>
      </w:r>
      <w:r w:rsidR="00DA6169" w:rsidRPr="00C36C8F">
        <w:t>further analysis to determine its scale.</w:t>
      </w:r>
    </w:p>
    <w:p w:rsidR="00416F0B" w:rsidRPr="00C36C8F" w:rsidRDefault="001E6ABD" w:rsidP="000413DC">
      <w:pPr>
        <w:pStyle w:val="Heading40"/>
        <w:spacing w:before="0"/>
        <w:jc w:val="both"/>
        <w:rPr>
          <w:lang w:eastAsia="en-AU"/>
        </w:rPr>
      </w:pPr>
      <w:bookmarkStart w:id="98" w:name="_Toc279510577"/>
      <w:r w:rsidRPr="00C36C8F">
        <w:rPr>
          <w:lang w:eastAsia="en-AU"/>
        </w:rPr>
        <w:t>Recommendation 20: Standard conversion factors should be used except for where states or territories have justification to apply jurisdiction or site specific conversion factors.</w:t>
      </w:r>
      <w:bookmarkEnd w:id="98"/>
    </w:p>
    <w:p w:rsidR="006301A4" w:rsidRPr="00C36C8F" w:rsidRDefault="006301A4" w:rsidP="000413DC">
      <w:pPr>
        <w:pStyle w:val="ParaIndent"/>
        <w:jc w:val="both"/>
        <w:rPr>
          <w:lang w:eastAsia="en-AU"/>
        </w:rPr>
      </w:pPr>
      <w:r w:rsidRPr="00C36C8F">
        <w:rPr>
          <w:lang w:eastAsia="en-AU"/>
        </w:rPr>
        <w:t xml:space="preserve">Some landfills, </w:t>
      </w:r>
      <w:r w:rsidR="009F68D4" w:rsidRPr="00C36C8F">
        <w:rPr>
          <w:lang w:eastAsia="en-AU"/>
        </w:rPr>
        <w:t>particularly smaller facilities</w:t>
      </w:r>
      <w:r w:rsidRPr="00C36C8F">
        <w:rPr>
          <w:lang w:eastAsia="en-AU"/>
        </w:rPr>
        <w:t xml:space="preserve"> and those in rural areas, operate without weighbridges. In these instances, conversion factors are used to convert data on the volume of material collected into an estimate of the weight of material collected. Conversion factors are also often used to convert the volume of organic material collected into a weight.</w:t>
      </w:r>
    </w:p>
    <w:p w:rsidR="006301A4" w:rsidRPr="00C36C8F" w:rsidRDefault="006301A4" w:rsidP="000413DC">
      <w:pPr>
        <w:pStyle w:val="ParaIndent"/>
        <w:jc w:val="both"/>
        <w:rPr>
          <w:lang w:eastAsia="en-AU"/>
        </w:rPr>
      </w:pPr>
      <w:r w:rsidRPr="00C36C8F">
        <w:rPr>
          <w:lang w:eastAsia="en-AU"/>
        </w:rPr>
        <w:t>The density of loads disposed to landfill or organic recyclers can vary markedly between jurisdictions, and between landfills within jurisdictions. Accordingly, conversion factors can vary between jurisdictions, and between landfills within jurisdictions.</w:t>
      </w:r>
    </w:p>
    <w:p w:rsidR="00416F0B" w:rsidRPr="00C36C8F" w:rsidRDefault="00D93C66" w:rsidP="000413DC">
      <w:pPr>
        <w:pStyle w:val="ParaIndent"/>
        <w:jc w:val="both"/>
      </w:pPr>
      <w:r w:rsidRPr="00C36C8F">
        <w:t>All states and territories reported waste and recycling in tonnes, or as percentages of a total tonnage figure</w:t>
      </w:r>
      <w:r w:rsidR="00D64A05" w:rsidRPr="00C36C8F">
        <w:t>. Therefore, Hyder did not need to use conversion</w:t>
      </w:r>
      <w:r w:rsidRPr="00C36C8F">
        <w:t xml:space="preserve"> factors</w:t>
      </w:r>
      <w:r w:rsidR="00D64A05" w:rsidRPr="00C36C8F">
        <w:t xml:space="preserve"> to convert data</w:t>
      </w:r>
      <w:r w:rsidRPr="00C36C8F">
        <w:t>.</w:t>
      </w:r>
    </w:p>
    <w:p w:rsidR="00416F0B" w:rsidRPr="00C36C8F" w:rsidRDefault="00D64A05" w:rsidP="000413DC">
      <w:pPr>
        <w:pStyle w:val="ParaIndent"/>
        <w:jc w:val="both"/>
        <w:rPr>
          <w:lang w:eastAsia="en-AU"/>
        </w:rPr>
      </w:pPr>
      <w:r w:rsidRPr="00C36C8F">
        <w:rPr>
          <w:lang w:eastAsia="en-AU"/>
        </w:rPr>
        <w:t>However, jurisdictions are known to use conversion factors in the following ways:</w:t>
      </w:r>
    </w:p>
    <w:p w:rsidR="00416F0B" w:rsidRPr="00C36C8F" w:rsidRDefault="00D64A05" w:rsidP="004B50A2">
      <w:pPr>
        <w:pStyle w:val="ParaIndent"/>
        <w:keepNext/>
        <w:numPr>
          <w:ilvl w:val="0"/>
          <w:numId w:val="27"/>
        </w:numPr>
        <w:ind w:left="1701" w:hanging="567"/>
        <w:jc w:val="both"/>
      </w:pPr>
      <w:r w:rsidRPr="00C36C8F">
        <w:t>For open truck loads, NSW applies a different conversion factor to municipal and C&amp;I waste, to C&amp;D waste and to “excavated natural materials”. For closed truck loads a sing</w:t>
      </w:r>
      <w:r w:rsidR="002F773A">
        <w:t>le conversion factor is applied</w:t>
      </w:r>
      <w:r w:rsidR="00B44E41">
        <w:t>.</w:t>
      </w:r>
    </w:p>
    <w:p w:rsidR="00416F0B" w:rsidRPr="00C36C8F" w:rsidRDefault="00D64A05" w:rsidP="004B50A2">
      <w:pPr>
        <w:pStyle w:val="ParaIndent"/>
        <w:keepNext/>
        <w:numPr>
          <w:ilvl w:val="0"/>
          <w:numId w:val="27"/>
        </w:numPr>
        <w:ind w:left="1701" w:hanging="567"/>
        <w:jc w:val="both"/>
      </w:pPr>
      <w:r w:rsidRPr="00C36C8F">
        <w:t>Victoria uses a standard conversion factor for landfills that collect volumetric data. However, provision is made for landfills to establish and apply a site specific density. Victoria also uses a conversion factor to determine the weig</w:t>
      </w:r>
      <w:r w:rsidR="002F773A">
        <w:t>ht of organic material recycled</w:t>
      </w:r>
      <w:r w:rsidR="00B44E41">
        <w:t>.</w:t>
      </w:r>
    </w:p>
    <w:p w:rsidR="00416F0B" w:rsidRPr="00C36C8F" w:rsidRDefault="00D64A05" w:rsidP="004B50A2">
      <w:pPr>
        <w:pStyle w:val="ParaIndent"/>
        <w:numPr>
          <w:ilvl w:val="0"/>
          <w:numId w:val="27"/>
        </w:numPr>
        <w:ind w:left="1701" w:hanging="567"/>
        <w:jc w:val="both"/>
      </w:pPr>
      <w:r w:rsidRPr="00C36C8F">
        <w:t>Queensland uses Californian conversion factors to convert volumes to weight.</w:t>
      </w:r>
    </w:p>
    <w:p w:rsidR="00416F0B" w:rsidRPr="00C36C8F" w:rsidRDefault="001E6ABD" w:rsidP="000413DC">
      <w:pPr>
        <w:pStyle w:val="Heading40"/>
        <w:spacing w:before="0"/>
        <w:jc w:val="both"/>
      </w:pPr>
      <w:bookmarkStart w:id="99" w:name="_Ref272145457"/>
      <w:bookmarkStart w:id="100" w:name="_Ref272145470"/>
      <w:bookmarkStart w:id="101" w:name="_Toc279510578"/>
      <w:r w:rsidRPr="00C36C8F">
        <w:t>Recommendation 21: Residual material from recycling and waste to energy operations should not be counted as recovered material.</w:t>
      </w:r>
      <w:bookmarkEnd w:id="99"/>
      <w:bookmarkEnd w:id="100"/>
      <w:bookmarkEnd w:id="101"/>
    </w:p>
    <w:p w:rsidR="006301A4" w:rsidRPr="00C36C8F" w:rsidRDefault="006301A4" w:rsidP="000413DC">
      <w:pPr>
        <w:pStyle w:val="ParaIndent"/>
        <w:keepNext/>
        <w:keepLines/>
        <w:jc w:val="both"/>
      </w:pPr>
      <w:r w:rsidRPr="00C36C8F">
        <w:t>Residual material refers to the contaminants in, or unwanted components of, products and materials collected for recycling. These materials are extracted either prior to or during reprocessing operations, or the conversion of waste to energy. Residual material usually accounts for any discrepancies between the materials reported as having been recovered for recycling, and that which is actually recycled.</w:t>
      </w:r>
    </w:p>
    <w:p w:rsidR="00983B0C" w:rsidRPr="00C36C8F" w:rsidRDefault="00983B0C" w:rsidP="000413DC">
      <w:pPr>
        <w:pStyle w:val="ParaIndent"/>
        <w:jc w:val="both"/>
      </w:pPr>
      <w:r w:rsidRPr="00C36C8F">
        <w:t xml:space="preserve">Difficulties in measuring the amount of residual material can arise depending on the point in the recycling process at which data collection occurs. If the amount of recycled material is measured at the point of input into a recycling process, the reported amount will include any waste material separated during reprocessing. In this case, the residual material would be counted twice: once </w:t>
      </w:r>
      <w:r w:rsidR="00970FCC" w:rsidRPr="00C36C8F">
        <w:t xml:space="preserve">(incorrectly) </w:t>
      </w:r>
      <w:r w:rsidRPr="00C36C8F">
        <w:t>as a component of material made available for recycling, and again when it is disposed to landfill.</w:t>
      </w:r>
      <w:r w:rsidR="00970FCC" w:rsidRPr="00C36C8F">
        <w:t xml:space="preserve"> This issue also occurs when measuring material that is collected for recycling overseas.</w:t>
      </w:r>
    </w:p>
    <w:p w:rsidR="00416F0B" w:rsidRPr="00C36C8F" w:rsidRDefault="00C259D4" w:rsidP="000413DC">
      <w:pPr>
        <w:pStyle w:val="ParaIndent"/>
        <w:keepNext/>
        <w:jc w:val="both"/>
      </w:pPr>
      <w:r w:rsidRPr="00C36C8F">
        <w:t>This recommendation has been amended from preliminary versions so as to include waste to energy as well as recycling.</w:t>
      </w:r>
    </w:p>
    <w:p w:rsidR="00416F0B" w:rsidRPr="00C36C8F" w:rsidRDefault="00D93C66" w:rsidP="000413DC">
      <w:pPr>
        <w:pStyle w:val="ParaIndent"/>
        <w:jc w:val="both"/>
      </w:pPr>
      <w:r w:rsidRPr="00C36C8F">
        <w:t xml:space="preserve">No state, territory or industry </w:t>
      </w:r>
      <w:r w:rsidR="003F4BCB" w:rsidRPr="00C36C8F">
        <w:t xml:space="preserve">recovery and recycling </w:t>
      </w:r>
      <w:r w:rsidRPr="00C36C8F">
        <w:t>data-sets are known to include residual material from recycling operations.</w:t>
      </w:r>
      <w:r w:rsidR="00983B0C" w:rsidRPr="00C36C8F">
        <w:t xml:space="preserve"> S</w:t>
      </w:r>
      <w:r w:rsidR="006301A4" w:rsidRPr="00C36C8F">
        <w:t>tates and territories record the amount</w:t>
      </w:r>
      <w:r w:rsidR="00983B0C" w:rsidRPr="00C36C8F">
        <w:t xml:space="preserve"> of material after reprocessing in the following ways:</w:t>
      </w:r>
    </w:p>
    <w:p w:rsidR="00416F0B" w:rsidRPr="00C36C8F" w:rsidRDefault="006301A4" w:rsidP="009F68D4">
      <w:pPr>
        <w:pStyle w:val="ParaIndent"/>
        <w:keepNext/>
        <w:numPr>
          <w:ilvl w:val="0"/>
          <w:numId w:val="27"/>
        </w:numPr>
        <w:ind w:left="1701" w:hanging="567"/>
        <w:jc w:val="both"/>
      </w:pPr>
      <w:r w:rsidRPr="00C36C8F">
        <w:t>NSW reports on material received for reprocessing, and records details on contam</w:t>
      </w:r>
      <w:r w:rsidR="00FC3026">
        <w:t>ination losses where they occur</w:t>
      </w:r>
    </w:p>
    <w:p w:rsidR="00416F0B" w:rsidRPr="00C36C8F" w:rsidRDefault="006301A4" w:rsidP="009F68D4">
      <w:pPr>
        <w:pStyle w:val="ParaIndent"/>
        <w:keepNext/>
        <w:numPr>
          <w:ilvl w:val="0"/>
          <w:numId w:val="27"/>
        </w:numPr>
        <w:ind w:left="1701" w:hanging="567"/>
        <w:jc w:val="both"/>
      </w:pPr>
      <w:r w:rsidRPr="00C36C8F">
        <w:t>Victoria also records material recovered for reprocessing, and asks recyclers to provide data on the “amount of material disposed to landfill due to conta</w:t>
      </w:r>
      <w:r w:rsidR="00FC3026">
        <w:t>mination or as processing waste</w:t>
      </w:r>
      <w:r w:rsidRPr="00C36C8F">
        <w:t>”</w:t>
      </w:r>
    </w:p>
    <w:p w:rsidR="00416F0B" w:rsidRPr="00C36C8F" w:rsidRDefault="009F68D4" w:rsidP="004B50A2">
      <w:pPr>
        <w:pStyle w:val="ParaIndent"/>
        <w:keepNext/>
        <w:numPr>
          <w:ilvl w:val="0"/>
          <w:numId w:val="27"/>
        </w:numPr>
        <w:ind w:left="1701" w:hanging="567"/>
        <w:jc w:val="both"/>
      </w:pPr>
      <w:r w:rsidRPr="00C36C8F">
        <w:t>Queensland asks c</w:t>
      </w:r>
      <w:r w:rsidR="006301A4" w:rsidRPr="00C36C8F">
        <w:t>ouncils to provide details on “materials collected for recycling disposed to landfill due to c</w:t>
      </w:r>
      <w:r w:rsidRPr="00C36C8F">
        <w:t>ontamination</w:t>
      </w:r>
      <w:r w:rsidR="006301A4" w:rsidRPr="00C36C8F">
        <w:t>”</w:t>
      </w:r>
    </w:p>
    <w:p w:rsidR="00416F0B" w:rsidRPr="00C36C8F" w:rsidRDefault="006301A4" w:rsidP="004B50A2">
      <w:pPr>
        <w:pStyle w:val="ParaIndent"/>
        <w:keepNext/>
        <w:numPr>
          <w:ilvl w:val="0"/>
          <w:numId w:val="27"/>
        </w:numPr>
        <w:ind w:left="1701" w:hanging="567"/>
        <w:jc w:val="both"/>
      </w:pPr>
      <w:r w:rsidRPr="00C36C8F">
        <w:t>Western Australia provides details of recyclable and non</w:t>
      </w:r>
      <w:r w:rsidR="00FC3026">
        <w:t>-recyclable reprocessing losses</w:t>
      </w:r>
    </w:p>
    <w:p w:rsidR="00416F0B" w:rsidRPr="00C36C8F" w:rsidRDefault="006301A4" w:rsidP="004B50A2">
      <w:pPr>
        <w:pStyle w:val="ParaIndent"/>
        <w:keepNext/>
        <w:numPr>
          <w:ilvl w:val="0"/>
          <w:numId w:val="27"/>
        </w:numPr>
        <w:ind w:left="1701" w:hanging="567"/>
        <w:jc w:val="both"/>
      </w:pPr>
      <w:r w:rsidRPr="00C36C8F">
        <w:t>South Australia excludes reprocessing losses from the quantity of m</w:t>
      </w:r>
      <w:r w:rsidR="00FC3026">
        <w:t>aterial recovered for recycling</w:t>
      </w:r>
    </w:p>
    <w:p w:rsidR="00416F0B" w:rsidRPr="00C36C8F" w:rsidRDefault="006301A4" w:rsidP="004B50A2">
      <w:pPr>
        <w:pStyle w:val="ParaIndent"/>
        <w:keepNext/>
        <w:numPr>
          <w:ilvl w:val="0"/>
          <w:numId w:val="27"/>
        </w:numPr>
        <w:ind w:left="1701" w:hanging="567"/>
        <w:jc w:val="both"/>
      </w:pPr>
      <w:r w:rsidRPr="00C36C8F">
        <w:t>In the ACT, recycling is generally measured as ‘out-the-gate’, with the exception being green-waste, which is mea</w:t>
      </w:r>
      <w:r w:rsidR="00FC3026">
        <w:t>sured using a conversion factor.</w:t>
      </w:r>
    </w:p>
    <w:p w:rsidR="00416F0B" w:rsidRPr="00C36C8F" w:rsidRDefault="0059009B" w:rsidP="000413DC">
      <w:pPr>
        <w:pStyle w:val="Heading40"/>
        <w:spacing w:before="0"/>
        <w:jc w:val="both"/>
        <w:rPr>
          <w:lang w:eastAsia="en-AU"/>
        </w:rPr>
      </w:pPr>
      <w:bookmarkStart w:id="102" w:name="_Toc279510579"/>
      <w:bookmarkStart w:id="103" w:name="_Ref299903984"/>
      <w:r w:rsidRPr="00C36C8F">
        <w:rPr>
          <w:lang w:eastAsia="en-AU"/>
        </w:rPr>
        <w:t>Recommendation 22: Recycling should be counted by material input (less residual material).</w:t>
      </w:r>
      <w:bookmarkEnd w:id="102"/>
      <w:bookmarkEnd w:id="103"/>
    </w:p>
    <w:p w:rsidR="006301A4" w:rsidRPr="00C36C8F" w:rsidRDefault="006301A4" w:rsidP="000413DC">
      <w:pPr>
        <w:pStyle w:val="ParaIndent"/>
        <w:jc w:val="both"/>
      </w:pPr>
      <w:r w:rsidRPr="00C36C8F">
        <w:t>Another issue in the accounting of recycling can be whether to record the weight of material input</w:t>
      </w:r>
      <w:r w:rsidR="00970FCC" w:rsidRPr="00C36C8F">
        <w:t>s</w:t>
      </w:r>
      <w:r w:rsidRPr="00C36C8F">
        <w:t xml:space="preserve"> or material output</w:t>
      </w:r>
      <w:r w:rsidR="00970FCC" w:rsidRPr="00C36C8F">
        <w:t>s</w:t>
      </w:r>
      <w:r w:rsidRPr="00C36C8F">
        <w:t>, even after accounting for contamination or</w:t>
      </w:r>
      <w:r w:rsidR="00F4296C" w:rsidRPr="00C36C8F">
        <w:t xml:space="preserve"> unwanted components. This is </w:t>
      </w:r>
      <w:r w:rsidRPr="00C36C8F">
        <w:t>particular</w:t>
      </w:r>
      <w:r w:rsidR="00F4296C" w:rsidRPr="00C36C8F">
        <w:t>ly an</w:t>
      </w:r>
      <w:r w:rsidRPr="00C36C8F">
        <w:t xml:space="preserve"> issue in the composting of organic wastes, where </w:t>
      </w:r>
      <w:r w:rsidR="00F4296C" w:rsidRPr="00C36C8F">
        <w:t>biological</w:t>
      </w:r>
      <w:r w:rsidRPr="00C36C8F">
        <w:t xml:space="preserve"> processes occur which reduce the mass of the compost significantly from that of the organic material coming in the gate.</w:t>
      </w:r>
    </w:p>
    <w:p w:rsidR="006301A4" w:rsidRPr="00C36C8F" w:rsidRDefault="006301A4" w:rsidP="000413DC">
      <w:pPr>
        <w:pStyle w:val="ParaIndent"/>
        <w:jc w:val="both"/>
      </w:pPr>
      <w:r w:rsidRPr="00C36C8F">
        <w:t>Given that organic waste disposal to landfill is recorded as a waste input, it stands to reason that organic waste recycling (less residual material) s</w:t>
      </w:r>
      <w:r w:rsidR="00F4296C" w:rsidRPr="00C36C8F">
        <w:t>hould be accounted for in a similar manner.</w:t>
      </w:r>
    </w:p>
    <w:p w:rsidR="00416F0B" w:rsidRPr="00C36C8F" w:rsidRDefault="00D93C66" w:rsidP="000413DC">
      <w:pPr>
        <w:pStyle w:val="ParaIndent"/>
        <w:jc w:val="both"/>
        <w:rPr>
          <w:rFonts w:cs="Arial"/>
        </w:rPr>
      </w:pPr>
      <w:r w:rsidRPr="00C36C8F">
        <w:rPr>
          <w:rFonts w:cs="Arial"/>
        </w:rPr>
        <w:t>It is understood that recycling data reported by states, territories and industry groups represents net recycling data.</w:t>
      </w:r>
    </w:p>
    <w:p w:rsidR="00416F0B" w:rsidRPr="00C36C8F" w:rsidRDefault="0059009B" w:rsidP="000413DC">
      <w:pPr>
        <w:pStyle w:val="Heading40"/>
        <w:spacing w:before="0"/>
        <w:jc w:val="both"/>
      </w:pPr>
      <w:bookmarkStart w:id="104" w:name="_Toc279510580"/>
      <w:r w:rsidRPr="00C36C8F">
        <w:t>Recommendation 23: Waste should be counted once at the point of generation.</w:t>
      </w:r>
      <w:bookmarkEnd w:id="104"/>
    </w:p>
    <w:p w:rsidR="006301A4" w:rsidRPr="00C36C8F" w:rsidRDefault="006301A4" w:rsidP="000413DC">
      <w:pPr>
        <w:pStyle w:val="ParaIndent"/>
        <w:jc w:val="both"/>
      </w:pPr>
      <w:r w:rsidRPr="00C36C8F">
        <w:t>The movement of waste and recyclate between states and territories sometimes leads to the double counting of material. For example, one state might record material collected for recycling within its borders, and another state that receives this material might also record this material in its recycling figures.</w:t>
      </w:r>
    </w:p>
    <w:p w:rsidR="00983B0C" w:rsidRPr="00C36C8F" w:rsidRDefault="00983B0C" w:rsidP="000413DC">
      <w:pPr>
        <w:pStyle w:val="ParaIndent"/>
        <w:keepLines/>
        <w:jc w:val="both"/>
      </w:pPr>
      <w:r w:rsidRPr="00C36C8F">
        <w:t>The accurate accounting of waste that is transported interstate can become difficult with respect to residual material. When material collected for recycling crosses state or territory borders, it is usually counted by gross weight in the state of origin. The residual material from recycling operations in the destination state is also likely to be counted as landfilled waste. In this case, care needs to be taken that the residual material from recycling is not double counted. Residual material from reprocessing that is collected in a different jurisdiction to that where it is landfilled should be attributed to the point of generation.</w:t>
      </w:r>
    </w:p>
    <w:p w:rsidR="00983B0C" w:rsidRPr="00C36C8F" w:rsidRDefault="00983B0C" w:rsidP="000413DC">
      <w:pPr>
        <w:pStyle w:val="ParaIndent"/>
        <w:jc w:val="both"/>
      </w:pPr>
      <w:r w:rsidRPr="00C36C8F">
        <w:t>The double counting of material collected for landfilling is less likely. However, given that most jurisdictions record landfill data at the gate, material that is transported interstate to be landfilled is usually recorded at the point of disposal.</w:t>
      </w:r>
    </w:p>
    <w:p w:rsidR="00983B0C" w:rsidRPr="00C36C8F" w:rsidRDefault="00983B0C" w:rsidP="000413DC">
      <w:pPr>
        <w:pStyle w:val="ParaIndent"/>
        <w:jc w:val="both"/>
      </w:pPr>
      <w:r w:rsidRPr="00C36C8F">
        <w:t>Significant quantities of recyclate materials (both before and after reprocessing) are exported from Australia. This occurs across many material types, including; steel, non-ferrous metals, paper and cardboard, and plastics (predominately packaging). While reasonably good data is often available on the material types of exported recyclate, the state of origin of the material can be</w:t>
      </w:r>
      <w:r w:rsidR="00F061E1" w:rsidRPr="00C36C8F">
        <w:t xml:space="preserve"> more</w:t>
      </w:r>
      <w:r w:rsidRPr="00C36C8F">
        <w:t xml:space="preserve"> uncertain as materials are sometimes transported interstate prior to export. </w:t>
      </w:r>
    </w:p>
    <w:p w:rsidR="00416F0B" w:rsidRPr="00C36C8F" w:rsidRDefault="00D93C66" w:rsidP="000413DC">
      <w:pPr>
        <w:pStyle w:val="ParaIndent"/>
        <w:jc w:val="both"/>
        <w:rPr>
          <w:rFonts w:cs="Arial"/>
        </w:rPr>
      </w:pPr>
      <w:r w:rsidRPr="00C36C8F">
        <w:rPr>
          <w:rFonts w:cs="Arial"/>
        </w:rPr>
        <w:t>The distinctions between materials sourced from within and outside of a state or territory are usually not made clear in the reporting of data. Due to the difficulty in determining this distinction, data in the report may contain some material sourced from outside the reporting jurisdiction. This issue also has the potential to cause some double counting of materials</w:t>
      </w:r>
      <w:r w:rsidR="003F4BCB" w:rsidRPr="00C36C8F">
        <w:rPr>
          <w:rFonts w:cs="Arial"/>
        </w:rPr>
        <w:t xml:space="preserve"> for</w:t>
      </w:r>
      <w:r w:rsidRPr="00C36C8F">
        <w:rPr>
          <w:rFonts w:cs="Arial"/>
        </w:rPr>
        <w:t xml:space="preserve"> recycling or landfill disposal. </w:t>
      </w:r>
      <w:r w:rsidR="00F061E1" w:rsidRPr="00C36C8F">
        <w:rPr>
          <w:rFonts w:cs="Arial"/>
        </w:rPr>
        <w:t xml:space="preserve">This is more an issue for the </w:t>
      </w:r>
      <w:r w:rsidRPr="00C36C8F">
        <w:rPr>
          <w:rFonts w:cs="Arial"/>
        </w:rPr>
        <w:t>eastern seaboard states.</w:t>
      </w:r>
    </w:p>
    <w:p w:rsidR="00416F0B" w:rsidRPr="00C36C8F" w:rsidRDefault="009F68D4" w:rsidP="000413DC">
      <w:pPr>
        <w:pStyle w:val="ParaIndent"/>
        <w:jc w:val="both"/>
        <w:rPr>
          <w:rFonts w:cs="Arial"/>
        </w:rPr>
      </w:pPr>
      <w:r w:rsidRPr="00C36C8F">
        <w:t>E</w:t>
      </w:r>
      <w:r w:rsidR="00F061E1" w:rsidRPr="00C36C8F">
        <w:t xml:space="preserve">xport for reprocessing is </w:t>
      </w:r>
      <w:r w:rsidRPr="00C36C8F">
        <w:t xml:space="preserve">generally </w:t>
      </w:r>
      <w:r w:rsidR="00F061E1" w:rsidRPr="00C36C8F">
        <w:t>quantified and incorporated into the appropriate jurisdiction’s recovery estimates. An exception to this was exported waste tyres, for which data was not available for 2008–09.</w:t>
      </w:r>
    </w:p>
    <w:p w:rsidR="006301A4" w:rsidRPr="00C36C8F" w:rsidRDefault="006301A4" w:rsidP="000413DC">
      <w:pPr>
        <w:pStyle w:val="ParaIndent"/>
        <w:jc w:val="both"/>
        <w:rPr>
          <w:lang w:eastAsia="en-AU"/>
        </w:rPr>
      </w:pPr>
      <w:r w:rsidRPr="00C36C8F">
        <w:rPr>
          <w:lang w:eastAsia="en-AU"/>
        </w:rPr>
        <w:t>NSW records data on recycling at the point of collection. That is, material imported into the state is not reported, but material that is collected and exported from the state is. However, landfill data is measured only as what comes through the gate, irrespective of origin.</w:t>
      </w:r>
    </w:p>
    <w:p w:rsidR="006301A4" w:rsidRPr="00C36C8F" w:rsidRDefault="006301A4" w:rsidP="000413DC">
      <w:pPr>
        <w:pStyle w:val="ParaIndent"/>
        <w:jc w:val="both"/>
      </w:pPr>
      <w:r w:rsidRPr="00C36C8F">
        <w:t>Victoria provides details on material imported and exported interstate in its survey of recycling activities. However there is no tracking of the interstate movement of non-hazardous waste to landfill.</w:t>
      </w:r>
    </w:p>
    <w:p w:rsidR="006301A4" w:rsidRPr="00C36C8F" w:rsidRDefault="006301A4" w:rsidP="000413DC">
      <w:pPr>
        <w:pStyle w:val="ParaIndent"/>
        <w:jc w:val="both"/>
      </w:pPr>
      <w:r w:rsidRPr="00C36C8F">
        <w:t>Conversely, in Queensland, landfills are asked to provide state of origin, but no tracking is undertaken for recycling.</w:t>
      </w:r>
    </w:p>
    <w:p w:rsidR="006301A4" w:rsidRPr="00C36C8F" w:rsidRDefault="006301A4" w:rsidP="000413DC">
      <w:pPr>
        <w:pStyle w:val="ParaIndent"/>
        <w:jc w:val="both"/>
      </w:pPr>
      <w:r w:rsidRPr="00C36C8F">
        <w:t>The ACT</w:t>
      </w:r>
      <w:r w:rsidRPr="00C36C8F">
        <w:rPr>
          <w:lang w:eastAsia="en-AU"/>
        </w:rPr>
        <w:t xml:space="preserve"> only reports recycling originating in that territory. They receive</w:t>
      </w:r>
      <w:r w:rsidRPr="00C36C8F">
        <w:t xml:space="preserve"> a clearly identified quantity of material from Queanbeyan (NSW) which is excluded from the ACT’s reported data.</w:t>
      </w:r>
      <w:r w:rsidR="00A86448" w:rsidRPr="00C36C8F">
        <w:t xml:space="preserve"> This material is included in NSW’s reported data.</w:t>
      </w:r>
    </w:p>
    <w:p w:rsidR="006301A4" w:rsidRPr="00C36C8F" w:rsidRDefault="006301A4" w:rsidP="000413DC">
      <w:pPr>
        <w:pStyle w:val="ParaIndent"/>
        <w:jc w:val="both"/>
      </w:pPr>
      <w:r w:rsidRPr="00C36C8F">
        <w:t>No waste materials are known to be imported into Australia for disposal to landfill. Small quantities of some</w:t>
      </w:r>
      <w:r w:rsidR="00693DD0" w:rsidRPr="00C36C8F">
        <w:t xml:space="preserve"> recyclate materials (e.g. plastics</w:t>
      </w:r>
      <w:r w:rsidRPr="00C36C8F">
        <w:t>) are occasionally imported into Australia for reprocessing. In relation to Australia, this material is effectively</w:t>
      </w:r>
      <w:r w:rsidR="0029144C" w:rsidRPr="00C36C8F">
        <w:t xml:space="preserve"> for</w:t>
      </w:r>
      <w:r w:rsidRPr="00C36C8F">
        <w:t xml:space="preserve"> ‘consumption’, and should not be considered as recycling.</w:t>
      </w:r>
    </w:p>
    <w:p w:rsidR="00416F0B" w:rsidRPr="00C36C8F" w:rsidRDefault="00613529" w:rsidP="000413DC">
      <w:pPr>
        <w:pStyle w:val="Heading40"/>
        <w:spacing w:before="0"/>
        <w:jc w:val="both"/>
      </w:pPr>
      <w:bookmarkStart w:id="105" w:name="_Toc279510581"/>
      <w:r w:rsidRPr="00C36C8F">
        <w:t>Recommendation 24: Stockpiles of reprocessed product or material that has been actively recovered should be considered to be recycled.</w:t>
      </w:r>
      <w:bookmarkEnd w:id="105"/>
    </w:p>
    <w:p w:rsidR="006301A4" w:rsidRPr="00C36C8F" w:rsidRDefault="008C79F1" w:rsidP="000413DC">
      <w:pPr>
        <w:pStyle w:val="ParaIndent"/>
        <w:jc w:val="both"/>
      </w:pPr>
      <w:r w:rsidRPr="00C36C8F">
        <w:t>Related to the input/output issue discussed</w:t>
      </w:r>
      <w:r w:rsidR="00613529" w:rsidRPr="00C36C8F">
        <w:t xml:space="preserve"> under Recommendation 22, </w:t>
      </w:r>
      <w:r w:rsidRPr="00C36C8F">
        <w:t xml:space="preserve">is the issue of stockpiling. </w:t>
      </w:r>
      <w:r w:rsidR="00C209EC" w:rsidRPr="00C36C8F">
        <w:t>Stockpiling is defined as an interim holding of materials</w:t>
      </w:r>
      <w:r w:rsidR="0074290D" w:rsidRPr="00C36C8F">
        <w:t>, intended for recycling,</w:t>
      </w:r>
      <w:r w:rsidR="00C209EC" w:rsidRPr="00C36C8F">
        <w:t xml:space="preserve"> that occurs across two reporting time-periods. </w:t>
      </w:r>
      <w:r w:rsidR="006301A4" w:rsidRPr="00C36C8F">
        <w:t>Mate</w:t>
      </w:r>
      <w:r w:rsidRPr="00C36C8F">
        <w:t xml:space="preserve">rials collected for recycling can be stockpiled both before and </w:t>
      </w:r>
      <w:r w:rsidR="0074290D" w:rsidRPr="00C36C8F">
        <w:t xml:space="preserve">(typically) </w:t>
      </w:r>
      <w:r w:rsidRPr="00C36C8F">
        <w:t>after</w:t>
      </w:r>
      <w:r w:rsidR="006301A4" w:rsidRPr="00C36C8F">
        <w:t xml:space="preserve"> reproc</w:t>
      </w:r>
      <w:r w:rsidR="00C209EC" w:rsidRPr="00C36C8F">
        <w:t>essing</w:t>
      </w:r>
      <w:r w:rsidR="0074290D" w:rsidRPr="00C36C8F">
        <w:t>.</w:t>
      </w:r>
      <w:r w:rsidR="00C209EC" w:rsidRPr="00C36C8F">
        <w:t xml:space="preserve"> This can create </w:t>
      </w:r>
      <w:r w:rsidR="0074290D" w:rsidRPr="00C36C8F">
        <w:t xml:space="preserve">particular </w:t>
      </w:r>
      <w:r w:rsidR="00C209EC" w:rsidRPr="00C36C8F">
        <w:t>difficulties in</w:t>
      </w:r>
      <w:r w:rsidR="0074290D" w:rsidRPr="00C36C8F">
        <w:t xml:space="preserve"> reporting where</w:t>
      </w:r>
      <w:r w:rsidR="00C209EC" w:rsidRPr="00C36C8F">
        <w:t xml:space="preserve"> </w:t>
      </w:r>
      <w:r w:rsidR="00A65B49" w:rsidRPr="00C36C8F">
        <w:t>unprocessed</w:t>
      </w:r>
      <w:r w:rsidR="00C209EC" w:rsidRPr="00C36C8F">
        <w:t xml:space="preserve"> materials are stockpiled but the originally intended reprocessing activity does not take place as planned.</w:t>
      </w:r>
    </w:p>
    <w:p w:rsidR="00416F0B" w:rsidRPr="00C36C8F" w:rsidRDefault="00C259D4" w:rsidP="000413DC">
      <w:pPr>
        <w:pStyle w:val="ParaIndent"/>
        <w:keepLines/>
        <w:jc w:val="both"/>
      </w:pPr>
      <w:r w:rsidRPr="00C36C8F">
        <w:t xml:space="preserve">For the purposes of this report, material that has been actively recovered refers to that which has </w:t>
      </w:r>
      <w:r w:rsidR="00693DD0" w:rsidRPr="00C36C8F">
        <w:t>been sorted and reprocessed,</w:t>
      </w:r>
      <w:r w:rsidRPr="00C36C8F">
        <w:t xml:space="preserve"> is ready for use as</w:t>
      </w:r>
      <w:r w:rsidR="00693DD0" w:rsidRPr="00C36C8F">
        <w:t xml:space="preserve"> a feed stock for a new product, and for which there is a reasonable prospect of a market demand.</w:t>
      </w:r>
      <w:r w:rsidRPr="00C36C8F">
        <w:t xml:space="preserve"> This is in contrast to material</w:t>
      </w:r>
      <w:r w:rsidR="00693DD0" w:rsidRPr="00C36C8F">
        <w:t>s that have</w:t>
      </w:r>
      <w:r w:rsidRPr="00C36C8F">
        <w:t xml:space="preserve"> been collected with the intention of </w:t>
      </w:r>
      <w:r w:rsidR="00693DD0" w:rsidRPr="00C36C8F">
        <w:t>being reprocessed, but which have</w:t>
      </w:r>
      <w:r w:rsidRPr="00C36C8F">
        <w:t xml:space="preserve"> not yet been reprocessed.</w:t>
      </w:r>
    </w:p>
    <w:p w:rsidR="00A86448" w:rsidRPr="00C36C8F" w:rsidRDefault="00A86448" w:rsidP="000413DC">
      <w:pPr>
        <w:pStyle w:val="ParaIndent"/>
        <w:keepLines/>
        <w:jc w:val="both"/>
      </w:pPr>
    </w:p>
    <w:p w:rsidR="00416F0B" w:rsidRPr="00C36C8F" w:rsidRDefault="00613529" w:rsidP="000413DC">
      <w:pPr>
        <w:pStyle w:val="Heading40"/>
        <w:spacing w:before="0"/>
        <w:jc w:val="both"/>
        <w:rPr>
          <w:lang w:eastAsia="en-AU"/>
        </w:rPr>
      </w:pPr>
      <w:bookmarkStart w:id="106" w:name="_Toc279510582"/>
      <w:r w:rsidRPr="00C36C8F">
        <w:rPr>
          <w:lang w:eastAsia="en-AU"/>
        </w:rPr>
        <w:t>Recommendation 25: Waste and recycling reporting should include both the most up to date data, and data from most recent time period reported on by all jurisdictions.</w:t>
      </w:r>
      <w:bookmarkEnd w:id="106"/>
    </w:p>
    <w:p w:rsidR="003903E1" w:rsidRPr="00C36C8F" w:rsidRDefault="006301A4" w:rsidP="000413DC">
      <w:pPr>
        <w:pStyle w:val="ParaIndent"/>
        <w:jc w:val="both"/>
        <w:rPr>
          <w:kern w:val="28"/>
        </w:rPr>
      </w:pPr>
      <w:r w:rsidRPr="00C36C8F">
        <w:rPr>
          <w:lang w:eastAsia="en-AU"/>
        </w:rPr>
        <w:t xml:space="preserve">The delay in publishing waste and recycling data varies between states and territories. This can sometimes make it difficult to </w:t>
      </w:r>
      <w:r w:rsidR="00C1766B" w:rsidRPr="00C36C8F">
        <w:rPr>
          <w:lang w:eastAsia="en-AU"/>
        </w:rPr>
        <w:t>produce a consistent set of</w:t>
      </w:r>
      <w:r w:rsidRPr="00C36C8F">
        <w:rPr>
          <w:lang w:eastAsia="en-AU"/>
        </w:rPr>
        <w:t xml:space="preserve"> data while also using the most up-to-date waste and recycling data.</w:t>
      </w:r>
      <w:r w:rsidR="00613529" w:rsidRPr="00C36C8F">
        <w:rPr>
          <w:lang w:eastAsia="en-AU"/>
        </w:rPr>
        <w:t xml:space="preserve"> </w:t>
      </w:r>
      <w:r w:rsidR="00D93C66" w:rsidRPr="00C36C8F">
        <w:t xml:space="preserve">The principal datasets </w:t>
      </w:r>
      <w:r w:rsidR="00C259D4" w:rsidRPr="00C36C8F">
        <w:t xml:space="preserve">for all states and territories </w:t>
      </w:r>
      <w:r w:rsidR="00D93C66" w:rsidRPr="00C36C8F">
        <w:t xml:space="preserve">used for this report cover the period 2008–09. </w:t>
      </w:r>
      <w:bookmarkStart w:id="107" w:name="_Ref284327688"/>
      <w:bookmarkStart w:id="108" w:name="_Ref284333973"/>
      <w:bookmarkStart w:id="109" w:name="_Ref284338762"/>
      <w:bookmarkStart w:id="110" w:name="_Ref284428091"/>
      <w:bookmarkStart w:id="111" w:name="_Ref287336180"/>
      <w:bookmarkEnd w:id="28"/>
      <w:bookmarkEnd w:id="34"/>
      <w:bookmarkEnd w:id="35"/>
      <w:r w:rsidR="003903E1" w:rsidRPr="00C36C8F">
        <w:br w:type="page"/>
      </w:r>
    </w:p>
    <w:p w:rsidR="00BE69D2" w:rsidRPr="00C36C8F" w:rsidRDefault="00107EAD" w:rsidP="00BE69D2">
      <w:pPr>
        <w:pStyle w:val="Heading1"/>
      </w:pPr>
      <w:bookmarkStart w:id="112" w:name="_Ref295214600"/>
      <w:bookmarkStart w:id="113" w:name="_Toc325020103"/>
      <w:bookmarkStart w:id="114" w:name="_Toc305049751"/>
      <w:r w:rsidRPr="00C36C8F">
        <w:t>WASTE &amp; RECYCLING DATA</w:t>
      </w:r>
      <w:bookmarkEnd w:id="107"/>
      <w:bookmarkEnd w:id="108"/>
      <w:bookmarkEnd w:id="109"/>
      <w:bookmarkEnd w:id="110"/>
      <w:bookmarkEnd w:id="111"/>
      <w:bookmarkEnd w:id="112"/>
      <w:bookmarkEnd w:id="113"/>
      <w:bookmarkEnd w:id="114"/>
    </w:p>
    <w:p w:rsidR="00A61455" w:rsidRPr="00C36C8F" w:rsidRDefault="00A61455" w:rsidP="000413DC">
      <w:pPr>
        <w:pStyle w:val="ParaIndent"/>
        <w:jc w:val="both"/>
      </w:pPr>
      <w:r w:rsidRPr="00C36C8F">
        <w:t>This section summarises national and state/territory data on waste disposal to landfill, recycling and energy recovery for the financial year 2008–09 (with exceptions as noted). It includes figures on:</w:t>
      </w:r>
    </w:p>
    <w:p w:rsidR="00BE69D2" w:rsidRPr="00C36C8F" w:rsidRDefault="00DD7587" w:rsidP="000413DC">
      <w:pPr>
        <w:pStyle w:val="BulletPoints"/>
        <w:tabs>
          <w:tab w:val="clear" w:pos="567"/>
          <w:tab w:val="left" w:pos="1134"/>
          <w:tab w:val="num" w:pos="1701"/>
          <w:tab w:val="left" w:pos="2268"/>
        </w:tabs>
        <w:spacing w:after="180"/>
        <w:ind w:left="1701"/>
        <w:jc w:val="both"/>
      </w:pPr>
      <w:r w:rsidRPr="00C36C8F">
        <w:t>Weight</w:t>
      </w:r>
      <w:r w:rsidR="00A61455" w:rsidRPr="00C36C8F">
        <w:t xml:space="preserve"> of waste generated by material </w:t>
      </w:r>
      <w:r w:rsidR="00374319" w:rsidRPr="00C36C8F">
        <w:t xml:space="preserve">category and </w:t>
      </w:r>
      <w:r w:rsidR="00A61455" w:rsidRPr="00C36C8F">
        <w:t>type on a state/territory and national basis</w:t>
      </w:r>
    </w:p>
    <w:p w:rsidR="00BE69D2" w:rsidRPr="00C36C8F" w:rsidRDefault="00DD7587" w:rsidP="000413DC">
      <w:pPr>
        <w:pStyle w:val="BulletPoints"/>
        <w:tabs>
          <w:tab w:val="clear" w:pos="567"/>
          <w:tab w:val="left" w:pos="1134"/>
          <w:tab w:val="num" w:pos="1701"/>
          <w:tab w:val="left" w:pos="2268"/>
        </w:tabs>
        <w:spacing w:after="180"/>
        <w:ind w:left="1701"/>
        <w:jc w:val="both"/>
      </w:pPr>
      <w:r w:rsidRPr="00C36C8F">
        <w:t>C</w:t>
      </w:r>
      <w:r w:rsidR="00A61455" w:rsidRPr="00C36C8F">
        <w:t>omposition of waste</w:t>
      </w:r>
      <w:r w:rsidR="000111D9" w:rsidRPr="00C36C8F">
        <w:t xml:space="preserve"> and recycling</w:t>
      </w:r>
      <w:r w:rsidR="00A61455" w:rsidRPr="00C36C8F">
        <w:t xml:space="preserve"> stream by sector and by material</w:t>
      </w:r>
    </w:p>
    <w:p w:rsidR="00BE69D2" w:rsidRPr="00C36C8F" w:rsidRDefault="00DD7587" w:rsidP="000413DC">
      <w:pPr>
        <w:pStyle w:val="BulletPoints"/>
        <w:tabs>
          <w:tab w:val="clear" w:pos="567"/>
          <w:tab w:val="left" w:pos="1134"/>
          <w:tab w:val="num" w:pos="1701"/>
          <w:tab w:val="left" w:pos="2268"/>
        </w:tabs>
        <w:spacing w:after="180"/>
        <w:ind w:left="1701"/>
        <w:jc w:val="both"/>
      </w:pPr>
      <w:r w:rsidRPr="00C36C8F">
        <w:t>Historical</w:t>
      </w:r>
      <w:r w:rsidR="00A61455" w:rsidRPr="00C36C8F">
        <w:t xml:space="preserve"> and projected trends.</w:t>
      </w:r>
    </w:p>
    <w:p w:rsidR="00A61455" w:rsidRPr="00C36C8F" w:rsidRDefault="00A61455" w:rsidP="000413DC">
      <w:pPr>
        <w:pStyle w:val="ParaIndent"/>
        <w:jc w:val="both"/>
      </w:pPr>
      <w:r w:rsidRPr="00C36C8F">
        <w:t>This report collates the available data for each state</w:t>
      </w:r>
      <w:r w:rsidR="00E8564A" w:rsidRPr="00C36C8F">
        <w:t xml:space="preserve"> and </w:t>
      </w:r>
      <w:r w:rsidRPr="00C36C8F">
        <w:t xml:space="preserve">territory. </w:t>
      </w:r>
      <w:r w:rsidR="000111D9" w:rsidRPr="00C36C8F">
        <w:t>Little</w:t>
      </w:r>
      <w:r w:rsidRPr="00C36C8F">
        <w:t xml:space="preserve"> primary research has been undertaken in producing this report</w:t>
      </w:r>
      <w:r w:rsidR="001F778C" w:rsidRPr="00C36C8F">
        <w:t xml:space="preserve">, and its content is </w:t>
      </w:r>
      <w:r w:rsidR="00E8564A" w:rsidRPr="00C36C8F">
        <w:t xml:space="preserve">primarily </w:t>
      </w:r>
      <w:r w:rsidR="001F778C" w:rsidRPr="00C36C8F">
        <w:t xml:space="preserve">based </w:t>
      </w:r>
      <w:r w:rsidR="00DB342A" w:rsidRPr="00C36C8F">
        <w:t>on</w:t>
      </w:r>
      <w:r w:rsidR="001F778C" w:rsidRPr="00C36C8F">
        <w:t xml:space="preserve"> publically reported information</w:t>
      </w:r>
      <w:r w:rsidRPr="00C36C8F">
        <w:t>.</w:t>
      </w:r>
    </w:p>
    <w:p w:rsidR="0038415A" w:rsidRPr="00C36C8F" w:rsidRDefault="0038415A" w:rsidP="000413DC">
      <w:pPr>
        <w:pStyle w:val="ParaIndent"/>
        <w:jc w:val="both"/>
      </w:pPr>
      <w:r w:rsidRPr="00C36C8F">
        <w:t>All figures reported in tables throughout this report have been rounded. Minor discrepancies may occur between the stated totals and the sums of the component items, as totals are calculated using the component item values prior to rounding.</w:t>
      </w:r>
    </w:p>
    <w:tbl>
      <w:tblPr>
        <w:tblStyle w:val="TableGrid"/>
        <w:tblW w:w="0" w:type="auto"/>
        <w:tblInd w:w="1134" w:type="dxa"/>
        <w:shd w:val="clear" w:color="auto" w:fill="DBE5F1" w:themeFill="accent1" w:themeFillTint="33"/>
        <w:tblLook w:val="04A0"/>
      </w:tblPr>
      <w:tblGrid>
        <w:gridCol w:w="8721"/>
      </w:tblGrid>
      <w:tr w:rsidR="00AF26F7" w:rsidRPr="00C36C8F" w:rsidTr="00AF26F7">
        <w:tc>
          <w:tcPr>
            <w:tcW w:w="9855" w:type="dxa"/>
            <w:shd w:val="clear" w:color="auto" w:fill="DBE5F1" w:themeFill="accent1" w:themeFillTint="33"/>
          </w:tcPr>
          <w:p w:rsidR="00AF26F7" w:rsidRPr="00C36C8F" w:rsidRDefault="00AF26F7" w:rsidP="000413DC">
            <w:pPr>
              <w:pStyle w:val="ParaIndent"/>
              <w:ind w:left="0"/>
              <w:jc w:val="both"/>
            </w:pPr>
            <w:r w:rsidRPr="00C36C8F">
              <w:rPr>
                <w:b/>
              </w:rPr>
              <w:t>Important Note</w:t>
            </w:r>
            <w:r w:rsidRPr="00C36C8F">
              <w:t xml:space="preserve"> </w:t>
            </w:r>
          </w:p>
          <w:p w:rsidR="00AF26F7" w:rsidRPr="00C36C8F" w:rsidRDefault="00AF26F7" w:rsidP="000413DC">
            <w:pPr>
              <w:pStyle w:val="ParaIndent"/>
              <w:ind w:left="0"/>
              <w:jc w:val="both"/>
            </w:pPr>
            <w:bookmarkStart w:id="115" w:name="OLE_LINK3"/>
            <w:bookmarkStart w:id="116" w:name="OLE_LINK4"/>
            <w:r w:rsidRPr="00C36C8F">
              <w:t xml:space="preserve">Data from previous </w:t>
            </w:r>
            <w:r w:rsidR="005338E9" w:rsidRPr="00C36C8F">
              <w:rPr>
                <w:i/>
              </w:rPr>
              <w:t>Waste and Recycling in Australia</w:t>
            </w:r>
            <w:r w:rsidRPr="00C36C8F">
              <w:t xml:space="preserve"> reports has not been fully adjusted in accordance with the method report. This should be taken into consideration when evaluating data in this report and that reported in previous years (see further discussion in Section 4.1).</w:t>
            </w:r>
            <w:bookmarkEnd w:id="115"/>
            <w:bookmarkEnd w:id="116"/>
          </w:p>
        </w:tc>
      </w:tr>
    </w:tbl>
    <w:p w:rsidR="000413DC" w:rsidRPr="00C36C8F" w:rsidRDefault="000413DC" w:rsidP="000B315F">
      <w:bookmarkStart w:id="117" w:name="_Ref286921766"/>
    </w:p>
    <w:p w:rsidR="003903E1" w:rsidRPr="00C36C8F" w:rsidRDefault="003903E1" w:rsidP="000413DC">
      <w:pPr>
        <w:pStyle w:val="Heading40"/>
        <w:spacing w:before="0"/>
        <w:jc w:val="both"/>
        <w:rPr>
          <w:i/>
        </w:rPr>
      </w:pPr>
      <w:r w:rsidRPr="00C36C8F">
        <w:t xml:space="preserve">Comparison of previous </w:t>
      </w:r>
      <w:r w:rsidR="005338E9" w:rsidRPr="00C36C8F">
        <w:rPr>
          <w:i/>
        </w:rPr>
        <w:t xml:space="preserve">Waste and Recycling </w:t>
      </w:r>
      <w:r w:rsidR="00A86448" w:rsidRPr="00C36C8F">
        <w:rPr>
          <w:i/>
        </w:rPr>
        <w:t xml:space="preserve">in </w:t>
      </w:r>
      <w:r w:rsidR="005338E9" w:rsidRPr="00C36C8F">
        <w:rPr>
          <w:i/>
        </w:rPr>
        <w:t>Australia</w:t>
      </w:r>
      <w:r w:rsidR="00511F72" w:rsidRPr="00C36C8F">
        <w:t xml:space="preserve"> </w:t>
      </w:r>
      <w:r w:rsidRPr="00C36C8F">
        <w:t xml:space="preserve">reports to </w:t>
      </w:r>
      <w:r w:rsidR="005338E9" w:rsidRPr="00C36C8F">
        <w:rPr>
          <w:i/>
        </w:rPr>
        <w:t xml:space="preserve">Waste and Recycling </w:t>
      </w:r>
      <w:r w:rsidR="00A86448" w:rsidRPr="00C36C8F">
        <w:rPr>
          <w:i/>
        </w:rPr>
        <w:t xml:space="preserve">in </w:t>
      </w:r>
      <w:r w:rsidR="005338E9" w:rsidRPr="00C36C8F">
        <w:rPr>
          <w:i/>
        </w:rPr>
        <w:t>Australia 2011</w:t>
      </w:r>
      <w:bookmarkEnd w:id="117"/>
    </w:p>
    <w:p w:rsidR="003903E1" w:rsidRPr="00C36C8F" w:rsidRDefault="00A26877" w:rsidP="000413DC">
      <w:pPr>
        <w:pStyle w:val="ParaIndent"/>
        <w:keepLines/>
        <w:jc w:val="both"/>
      </w:pPr>
      <w:r w:rsidRPr="00C36C8F">
        <w:t>Previous</w:t>
      </w:r>
      <w:r w:rsidR="00A86448" w:rsidRPr="00C36C8F">
        <w:t xml:space="preserve"> </w:t>
      </w:r>
      <w:r w:rsidR="00A86448" w:rsidRPr="00C36C8F">
        <w:rPr>
          <w:i/>
        </w:rPr>
        <w:t>Waste and Recycling in Australia</w:t>
      </w:r>
      <w:r w:rsidR="00A86448" w:rsidRPr="00C36C8F">
        <w:t xml:space="preserve"> (WRiA)</w:t>
      </w:r>
      <w:r w:rsidR="003903E1" w:rsidRPr="00C36C8F">
        <w:t xml:space="preserve"> reports have gathered a</w:t>
      </w:r>
      <w:r w:rsidRPr="00C36C8F">
        <w:t>vailable data</w:t>
      </w:r>
      <w:r w:rsidR="003903E1" w:rsidRPr="00C36C8F">
        <w:t xml:space="preserve"> through desktop research, consultation with state and territory governments, and industry bodies. The data for this report was gathered in the same manner and fr</w:t>
      </w:r>
      <w:r w:rsidRPr="00C36C8F">
        <w:t>om the same principal sources</w:t>
      </w:r>
      <w:r w:rsidR="003903E1" w:rsidRPr="00C36C8F">
        <w:t xml:space="preserve"> and industry groups. The data sources </w:t>
      </w:r>
      <w:r w:rsidR="00E24FAA" w:rsidRPr="00C36C8F">
        <w:t xml:space="preserve">and assumptions made during data </w:t>
      </w:r>
      <w:r w:rsidR="006314E8" w:rsidRPr="00C36C8F">
        <w:t>compilation</w:t>
      </w:r>
      <w:r w:rsidR="00E24FAA" w:rsidRPr="00C36C8F">
        <w:t xml:space="preserve"> </w:t>
      </w:r>
      <w:r w:rsidR="003903E1" w:rsidRPr="00C36C8F">
        <w:t>are provided at the relevant point</w:t>
      </w:r>
      <w:r w:rsidRPr="00C36C8F">
        <w:t xml:space="preserve">s throughout this </w:t>
      </w:r>
      <w:r w:rsidR="00E24FAA" w:rsidRPr="00C36C8F">
        <w:t>section.</w:t>
      </w:r>
      <w:r w:rsidRPr="00C36C8F">
        <w:t xml:space="preserve"> </w:t>
      </w:r>
    </w:p>
    <w:p w:rsidR="003903E1" w:rsidRPr="00C36C8F" w:rsidRDefault="003903E1" w:rsidP="000413DC">
      <w:pPr>
        <w:pStyle w:val="ParaIndent"/>
        <w:jc w:val="both"/>
      </w:pPr>
      <w:r w:rsidRPr="00C36C8F">
        <w:t xml:space="preserve">The key change in this version of </w:t>
      </w:r>
      <w:r w:rsidR="00A86448" w:rsidRPr="00C36C8F">
        <w:t>WRiA</w:t>
      </w:r>
      <w:r w:rsidRPr="00C36C8F">
        <w:t xml:space="preserve"> is that the waste categories and types are grouped in line with the method report</w:t>
      </w:r>
      <w:r w:rsidR="00A26877" w:rsidRPr="00C36C8F">
        <w:t>,</w:t>
      </w:r>
      <w:r w:rsidRPr="00C36C8F">
        <w:t xml:space="preserve"> and </w:t>
      </w:r>
      <w:r w:rsidR="00A26877" w:rsidRPr="00C36C8F">
        <w:t xml:space="preserve">that </w:t>
      </w:r>
      <w:r w:rsidRPr="00C36C8F">
        <w:t>a number of additional waste categ</w:t>
      </w:r>
      <w:r w:rsidR="00A26877" w:rsidRPr="00C36C8F">
        <w:t>ories and types are reported upon in line with the recommendations in</w:t>
      </w:r>
      <w:r w:rsidRPr="00C36C8F">
        <w:t xml:space="preserve"> the method report. The additional waste categories and waste types being reported on in WR</w:t>
      </w:r>
      <w:r w:rsidR="00A86448" w:rsidRPr="00C36C8F">
        <w:t>i</w:t>
      </w:r>
      <w:r w:rsidRPr="00C36C8F">
        <w:t>A 2011 are:</w:t>
      </w:r>
    </w:p>
    <w:p w:rsidR="003903E1" w:rsidRPr="00C36C8F" w:rsidRDefault="003903E1" w:rsidP="000413DC">
      <w:pPr>
        <w:pStyle w:val="BulletPoints"/>
        <w:tabs>
          <w:tab w:val="clear" w:pos="567"/>
          <w:tab w:val="left" w:pos="1134"/>
          <w:tab w:val="num" w:pos="1701"/>
          <w:tab w:val="left" w:pos="2268"/>
        </w:tabs>
        <w:spacing w:after="180"/>
        <w:ind w:left="1701"/>
        <w:jc w:val="both"/>
      </w:pPr>
      <w:r w:rsidRPr="00C36C8F">
        <w:t>Fly ash – not reported previously</w:t>
      </w:r>
      <w:r w:rsidR="00A86448" w:rsidRPr="00C36C8F">
        <w:t>;</w:t>
      </w:r>
      <w:r w:rsidRPr="00C36C8F">
        <w:t xml:space="preserve"> now reported as a separate waste type</w:t>
      </w:r>
    </w:p>
    <w:p w:rsidR="003903E1" w:rsidRPr="00C36C8F" w:rsidRDefault="003903E1" w:rsidP="000413DC">
      <w:pPr>
        <w:pStyle w:val="BulletPoints"/>
        <w:tabs>
          <w:tab w:val="clear" w:pos="567"/>
          <w:tab w:val="left" w:pos="1134"/>
          <w:tab w:val="num" w:pos="1701"/>
          <w:tab w:val="left" w:pos="2268"/>
        </w:tabs>
        <w:spacing w:after="180"/>
        <w:ind w:left="1701"/>
        <w:jc w:val="both"/>
      </w:pPr>
      <w:r w:rsidRPr="00C36C8F">
        <w:t>Clean fill – reported previously, but no</w:t>
      </w:r>
      <w:r w:rsidR="00AF26F7" w:rsidRPr="00C36C8F">
        <w:t>w not reported</w:t>
      </w:r>
    </w:p>
    <w:p w:rsidR="003903E1" w:rsidRPr="00C36C8F" w:rsidRDefault="003903E1" w:rsidP="000413DC">
      <w:pPr>
        <w:pStyle w:val="BulletPoints"/>
        <w:tabs>
          <w:tab w:val="clear" w:pos="567"/>
          <w:tab w:val="left" w:pos="1134"/>
          <w:tab w:val="num" w:pos="1701"/>
          <w:tab w:val="left" w:pos="2268"/>
        </w:tabs>
        <w:spacing w:after="180"/>
        <w:ind w:left="1701"/>
        <w:jc w:val="both"/>
      </w:pPr>
      <w:r w:rsidRPr="00C36C8F">
        <w:t>Hazardous waste – not reported previously; now reported as a separate waste category</w:t>
      </w:r>
    </w:p>
    <w:p w:rsidR="003903E1" w:rsidRPr="00C36C8F" w:rsidRDefault="003903E1" w:rsidP="000413DC">
      <w:pPr>
        <w:pStyle w:val="BulletPoints"/>
        <w:tabs>
          <w:tab w:val="clear" w:pos="567"/>
          <w:tab w:val="left" w:pos="1134"/>
          <w:tab w:val="num" w:pos="1701"/>
          <w:tab w:val="left" w:pos="2268"/>
        </w:tabs>
        <w:spacing w:after="180"/>
        <w:ind w:left="1701"/>
        <w:jc w:val="both"/>
      </w:pPr>
      <w:r w:rsidRPr="00C36C8F">
        <w:t xml:space="preserve">Biosolids – not reported previously; now </w:t>
      </w:r>
      <w:r w:rsidR="003454DA" w:rsidRPr="00C36C8F">
        <w:t xml:space="preserve">dry biosolids are </w:t>
      </w:r>
      <w:r w:rsidRPr="00C36C8F">
        <w:t xml:space="preserve">reported </w:t>
      </w:r>
      <w:r w:rsidR="00EE7010" w:rsidRPr="00C36C8F">
        <w:t>wit</w:t>
      </w:r>
      <w:r w:rsidR="00AF26F7" w:rsidRPr="00C36C8F">
        <w:t>hin the organics waste category</w:t>
      </w:r>
    </w:p>
    <w:p w:rsidR="003903E1" w:rsidRPr="00C36C8F" w:rsidRDefault="00EE7010" w:rsidP="000413DC">
      <w:pPr>
        <w:pStyle w:val="BulletPoints"/>
        <w:tabs>
          <w:tab w:val="clear" w:pos="567"/>
          <w:tab w:val="left" w:pos="1134"/>
          <w:tab w:val="num" w:pos="1701"/>
          <w:tab w:val="left" w:pos="2268"/>
        </w:tabs>
        <w:spacing w:after="180"/>
        <w:ind w:left="1701"/>
        <w:jc w:val="both"/>
      </w:pPr>
      <w:r w:rsidRPr="00C36C8F">
        <w:t>Quarantine waste</w:t>
      </w:r>
      <w:r w:rsidR="003903E1" w:rsidRPr="00C36C8F">
        <w:t xml:space="preserve"> – not reported previously; now reported as a waste type under </w:t>
      </w:r>
      <w:r w:rsidRPr="00C36C8F">
        <w:t xml:space="preserve">the </w:t>
      </w:r>
      <w:r w:rsidR="003903E1" w:rsidRPr="00C36C8F">
        <w:t>hazardous</w:t>
      </w:r>
      <w:r w:rsidRPr="00C36C8F">
        <w:t xml:space="preserve"> waste category.</w:t>
      </w:r>
    </w:p>
    <w:p w:rsidR="003903E1" w:rsidRPr="00C36C8F" w:rsidRDefault="003903E1" w:rsidP="000413DC">
      <w:pPr>
        <w:pStyle w:val="ParaIndent"/>
        <w:jc w:val="both"/>
      </w:pPr>
      <w:r w:rsidRPr="00C36C8F">
        <w:t xml:space="preserve">It should also be noted that the best endeavours have been made to </w:t>
      </w:r>
      <w:r w:rsidR="003454DA" w:rsidRPr="00C36C8F">
        <w:t>not collate data on</w:t>
      </w:r>
      <w:r w:rsidRPr="00C36C8F">
        <w:t xml:space="preserve"> those wastes </w:t>
      </w:r>
      <w:r w:rsidR="00EE7010" w:rsidRPr="00C36C8F">
        <w:t>identified</w:t>
      </w:r>
      <w:r w:rsidRPr="00C36C8F">
        <w:t xml:space="preserve"> in the method report as being outside the scope of </w:t>
      </w:r>
      <w:r w:rsidR="003454DA" w:rsidRPr="00C36C8F">
        <w:t>this report</w:t>
      </w:r>
      <w:r w:rsidRPr="00C36C8F">
        <w:t xml:space="preserve">. The most notable of these </w:t>
      </w:r>
      <w:r w:rsidR="003454DA" w:rsidRPr="00C36C8F">
        <w:t xml:space="preserve">wastes </w:t>
      </w:r>
      <w:r w:rsidRPr="00C36C8F">
        <w:t xml:space="preserve">are: </w:t>
      </w:r>
    </w:p>
    <w:p w:rsidR="003903E1" w:rsidRPr="00C36C8F" w:rsidRDefault="003903E1" w:rsidP="000413DC">
      <w:pPr>
        <w:pStyle w:val="BulletPoints"/>
        <w:tabs>
          <w:tab w:val="clear" w:pos="567"/>
          <w:tab w:val="left" w:pos="1134"/>
          <w:tab w:val="num" w:pos="1701"/>
          <w:tab w:val="left" w:pos="2268"/>
        </w:tabs>
        <w:spacing w:after="180"/>
        <w:ind w:left="1701"/>
        <w:jc w:val="both"/>
      </w:pPr>
      <w:r w:rsidRPr="00C36C8F">
        <w:t>G</w:t>
      </w:r>
      <w:r w:rsidR="00AF26F7" w:rsidRPr="00C36C8F">
        <w:t>aseous or liquid wastes</w:t>
      </w:r>
    </w:p>
    <w:p w:rsidR="003903E1" w:rsidRPr="00C36C8F" w:rsidRDefault="003903E1" w:rsidP="000413DC">
      <w:pPr>
        <w:pStyle w:val="BulletPoints"/>
        <w:tabs>
          <w:tab w:val="clear" w:pos="567"/>
          <w:tab w:val="left" w:pos="1134"/>
          <w:tab w:val="num" w:pos="1701"/>
          <w:tab w:val="left" w:pos="2268"/>
        </w:tabs>
        <w:spacing w:after="180"/>
        <w:ind w:left="1701"/>
        <w:jc w:val="both"/>
      </w:pPr>
      <w:r w:rsidRPr="00C36C8F">
        <w:t>Primary production wastes, including mining and mineral processing wastes, agricultural and forestry operations wastes, and self-managed farm wastes</w:t>
      </w:r>
      <w:r w:rsidR="00EE7010" w:rsidRPr="00C36C8F">
        <w:t>.</w:t>
      </w:r>
    </w:p>
    <w:p w:rsidR="00DE05C7" w:rsidRPr="00C36C8F" w:rsidRDefault="00886A44" w:rsidP="003D7CFE">
      <w:pPr>
        <w:pStyle w:val="Heading2"/>
      </w:pPr>
      <w:bookmarkStart w:id="118" w:name="_Toc284316461"/>
      <w:bookmarkStart w:id="119" w:name="_Ref286870117"/>
      <w:bookmarkStart w:id="120" w:name="_Ref299369680"/>
      <w:bookmarkStart w:id="121" w:name="_Toc325020104"/>
      <w:bookmarkStart w:id="122" w:name="_Toc305049752"/>
      <w:r w:rsidRPr="00C36C8F">
        <w:t>National w</w:t>
      </w:r>
      <w:r w:rsidR="00DE05C7" w:rsidRPr="00C36C8F">
        <w:t>aste disposal and recovery</w:t>
      </w:r>
      <w:bookmarkEnd w:id="118"/>
      <w:bookmarkEnd w:id="119"/>
      <w:bookmarkEnd w:id="120"/>
      <w:bookmarkEnd w:id="121"/>
      <w:bookmarkEnd w:id="122"/>
    </w:p>
    <w:p w:rsidR="00BE69D2" w:rsidRPr="00C36C8F" w:rsidRDefault="00BA0EC8" w:rsidP="000413DC">
      <w:pPr>
        <w:pStyle w:val="ParaIndent"/>
        <w:jc w:val="both"/>
      </w:pPr>
      <w:r w:rsidRPr="00C36C8F">
        <w:t>This section presents a consolidation of available data on disposal, recycling and energy recovery nationally. References are provided as footnotes</w:t>
      </w:r>
      <w:r w:rsidR="00206B15" w:rsidRPr="00C36C8F">
        <w:t xml:space="preserve"> </w:t>
      </w:r>
      <w:r w:rsidRPr="00C36C8F">
        <w:t xml:space="preserve">and any assumptions are provided as necessary. </w:t>
      </w:r>
      <w:r w:rsidR="00CD39E3" w:rsidRPr="00C36C8F">
        <w:t>D</w:t>
      </w:r>
      <w:r w:rsidRPr="00C36C8F">
        <w:t>ata presented in this report is for the 2008–09 financial year.</w:t>
      </w:r>
    </w:p>
    <w:p w:rsidR="00BE69D2" w:rsidRPr="00C36C8F" w:rsidRDefault="00FD0DEE" w:rsidP="00CD39E3">
      <w:pPr>
        <w:pStyle w:val="ParaIndent"/>
        <w:jc w:val="both"/>
      </w:pPr>
      <w:r w:rsidRPr="00C36C8F">
        <w:t xml:space="preserve">Data sources for each state and territory are given at the beginning of each section. These sources are largely updated versions of those used to compile the previous </w:t>
      </w:r>
      <w:r w:rsidRPr="00C36C8F">
        <w:rPr>
          <w:i/>
        </w:rPr>
        <w:t>Waste and Recycling in Australia</w:t>
      </w:r>
      <w:r w:rsidR="00022229" w:rsidRPr="00C36C8F">
        <w:t xml:space="preserve"> </w:t>
      </w:r>
      <w:r w:rsidR="007B687E" w:rsidRPr="00C36C8F">
        <w:t>r</w:t>
      </w:r>
      <w:r w:rsidRPr="00C36C8F">
        <w:t>eport</w:t>
      </w:r>
      <w:r w:rsidR="00022229" w:rsidRPr="00C36C8F">
        <w:t>s</w:t>
      </w:r>
      <w:r w:rsidRPr="00C36C8F">
        <w:t xml:space="preserve">. The data presented in this report </w:t>
      </w:r>
      <w:r w:rsidR="00BA0EC8" w:rsidRPr="00C36C8F">
        <w:t xml:space="preserve">is similar to that </w:t>
      </w:r>
      <w:r w:rsidRPr="00C36C8F">
        <w:t>pre</w:t>
      </w:r>
      <w:r w:rsidR="00DB342A" w:rsidRPr="00C36C8F">
        <w:t>s</w:t>
      </w:r>
      <w:r w:rsidRPr="00C36C8F">
        <w:t>ented in the previous edition</w:t>
      </w:r>
      <w:r w:rsidR="00BA0EC8" w:rsidRPr="00C36C8F">
        <w:t xml:space="preserve">s, </w:t>
      </w:r>
      <w:r w:rsidR="00FF5B59" w:rsidRPr="00C36C8F">
        <w:t>noting the changes detailed throughout S</w:t>
      </w:r>
      <w:r w:rsidR="00BA0EC8" w:rsidRPr="00C36C8F">
        <w:t xml:space="preserve">ection </w:t>
      </w:r>
      <w:fldSimple w:instr=" REF _Ref295210521 \r \h  \* MERGEFORMAT ">
        <w:r w:rsidR="00AE7E3B">
          <w:t>3</w:t>
        </w:r>
      </w:fldSimple>
      <w:r w:rsidR="00BA0EC8" w:rsidRPr="00C36C8F">
        <w:t>.</w:t>
      </w:r>
      <w:r w:rsidR="00066D25" w:rsidRPr="00C36C8F">
        <w:t xml:space="preserve"> </w:t>
      </w:r>
      <w:r w:rsidRPr="00C36C8F">
        <w:t xml:space="preserve">The key </w:t>
      </w:r>
      <w:r w:rsidR="00BA0EC8" w:rsidRPr="00C36C8F">
        <w:t xml:space="preserve">change </w:t>
      </w:r>
      <w:r w:rsidRPr="00C36C8F">
        <w:t>between this and the previous report is the inclusion of fly a</w:t>
      </w:r>
      <w:r w:rsidR="00FF5B59" w:rsidRPr="00C36C8F">
        <w:t>sh data. Due to the large quantity</w:t>
      </w:r>
      <w:r w:rsidRPr="00C36C8F">
        <w:t xml:space="preserve"> of this material and its impact on recy</w:t>
      </w:r>
      <w:r w:rsidR="00086260" w:rsidRPr="00C36C8F">
        <w:t xml:space="preserve">cling and recovery rates, sub-totals of </w:t>
      </w:r>
      <w:r w:rsidRPr="00C36C8F">
        <w:t>waste and recycling figure</w:t>
      </w:r>
      <w:r w:rsidR="002A02C9" w:rsidRPr="00C36C8F">
        <w:t xml:space="preserve">s </w:t>
      </w:r>
      <w:r w:rsidR="00086260" w:rsidRPr="00C36C8F">
        <w:t xml:space="preserve">are </w:t>
      </w:r>
      <w:r w:rsidR="002A02C9" w:rsidRPr="00C36C8F">
        <w:t xml:space="preserve">presented </w:t>
      </w:r>
      <w:r w:rsidR="00086260" w:rsidRPr="00C36C8F">
        <w:t xml:space="preserve">excluding fly ash. </w:t>
      </w:r>
      <w:r w:rsidR="00066D25" w:rsidRPr="00C36C8F">
        <w:t>S</w:t>
      </w:r>
      <w:r w:rsidR="009010D0" w:rsidRPr="00C36C8F">
        <w:t>eparate reporting of fly ash enables</w:t>
      </w:r>
      <w:r w:rsidRPr="00C36C8F">
        <w:t xml:space="preserve"> </w:t>
      </w:r>
      <w:r w:rsidR="00BA0EC8" w:rsidRPr="00C36C8F">
        <w:t>more accurate</w:t>
      </w:r>
      <w:r w:rsidRPr="00C36C8F">
        <w:t xml:space="preserve"> comparisons with 2006–07 data, which </w:t>
      </w:r>
      <w:r w:rsidR="002061FC" w:rsidRPr="00C36C8F">
        <w:t xml:space="preserve">was </w:t>
      </w:r>
      <w:r w:rsidRPr="00C36C8F">
        <w:t>exclusive of fly ash</w:t>
      </w:r>
      <w:r w:rsidR="002061FC" w:rsidRPr="00C36C8F">
        <w:t xml:space="preserve"> for all states except </w:t>
      </w:r>
      <w:r w:rsidR="00066D25" w:rsidRPr="00C36C8F">
        <w:t>SA</w:t>
      </w:r>
      <w:r w:rsidR="00086260" w:rsidRPr="00C36C8F">
        <w:t>.</w:t>
      </w:r>
    </w:p>
    <w:p w:rsidR="000C08E8" w:rsidRPr="00C36C8F" w:rsidRDefault="00B9555F" w:rsidP="000413DC">
      <w:pPr>
        <w:pStyle w:val="ParaIndent"/>
        <w:jc w:val="both"/>
      </w:pPr>
      <w:fldSimple w:instr=" REF _Ref284590995 \h  \* MERGEFORMAT ">
        <w:r w:rsidR="00AE7E3B" w:rsidRPr="00A54D83">
          <w:t xml:space="preserve">Table </w:t>
        </w:r>
        <w:r w:rsidR="00AE7E3B">
          <w:rPr>
            <w:noProof/>
          </w:rPr>
          <w:t>4</w:t>
        </w:r>
        <w:r w:rsidR="00AE7E3B" w:rsidRPr="00A54D83">
          <w:rPr>
            <w:noProof/>
          </w:rPr>
          <w:t>-</w:t>
        </w:r>
        <w:r w:rsidR="00AE7E3B">
          <w:rPr>
            <w:noProof/>
          </w:rPr>
          <w:t>7</w:t>
        </w:r>
      </w:fldSimple>
      <w:r w:rsidR="00DE05C7" w:rsidRPr="00C36C8F">
        <w:t>, shows the level</w:t>
      </w:r>
      <w:r w:rsidR="002A02C9" w:rsidRPr="00C36C8F">
        <w:t>s</w:t>
      </w:r>
      <w:r w:rsidR="00DE05C7" w:rsidRPr="00C36C8F">
        <w:t xml:space="preserve"> of waste generation (</w:t>
      </w:r>
      <w:r w:rsidR="00022229" w:rsidRPr="00C36C8F">
        <w:t xml:space="preserve">total of </w:t>
      </w:r>
      <w:r w:rsidR="00DE05C7" w:rsidRPr="00C36C8F">
        <w:t>disposal</w:t>
      </w:r>
      <w:r w:rsidR="004F55DE" w:rsidRPr="00C36C8F">
        <w:t xml:space="preserve"> </w:t>
      </w:r>
      <w:r w:rsidR="00022229" w:rsidRPr="00C36C8F">
        <w:t>+</w:t>
      </w:r>
      <w:r w:rsidR="004F55DE" w:rsidRPr="00C36C8F">
        <w:t xml:space="preserve"> </w:t>
      </w:r>
      <w:r w:rsidR="00DE05C7" w:rsidRPr="00C36C8F">
        <w:t>recycling</w:t>
      </w:r>
      <w:r w:rsidR="004F55DE" w:rsidRPr="00C36C8F">
        <w:t xml:space="preserve"> </w:t>
      </w:r>
      <w:r w:rsidR="00022229" w:rsidRPr="00C36C8F">
        <w:t>+</w:t>
      </w:r>
      <w:r w:rsidR="004F55DE" w:rsidRPr="00C36C8F">
        <w:t xml:space="preserve"> </w:t>
      </w:r>
      <w:r w:rsidR="00022229" w:rsidRPr="00C36C8F">
        <w:t>energy recovery</w:t>
      </w:r>
      <w:r w:rsidR="00DE05C7" w:rsidRPr="00C36C8F">
        <w:t xml:space="preserve">) </w:t>
      </w:r>
      <w:r w:rsidR="000C08E8" w:rsidRPr="00C36C8F">
        <w:t>for each jurisdiction in 2008–</w:t>
      </w:r>
      <w:r w:rsidR="00DE05C7" w:rsidRPr="00C36C8F">
        <w:t xml:space="preserve">09. </w:t>
      </w:r>
    </w:p>
    <w:p w:rsidR="00DE05C7" w:rsidRPr="00C36C8F" w:rsidRDefault="00DE05C7" w:rsidP="00DE05C7">
      <w:pPr>
        <w:pStyle w:val="Caption"/>
      </w:pPr>
      <w:bookmarkStart w:id="123" w:name="_Ref284590995"/>
      <w:bookmarkStart w:id="124" w:name="OLE_LINK2"/>
      <w:r w:rsidRPr="00A54D83">
        <w:t xml:space="preserve">Table </w:t>
      </w:r>
      <w:r w:rsidR="00B9555F" w:rsidRPr="00A54D83">
        <w:fldChar w:fldCharType="begin"/>
      </w:r>
      <w:r w:rsidR="0008255D" w:rsidRPr="00A54D83">
        <w:instrText xml:space="preserve"> STYLEREF "_Heading1" \n </w:instrText>
      </w:r>
      <w:r w:rsidR="00B9555F" w:rsidRPr="00A54D83">
        <w:fldChar w:fldCharType="separate"/>
      </w:r>
      <w:r w:rsidR="00AE7E3B">
        <w:rPr>
          <w:noProof/>
        </w:rPr>
        <w:t>4</w:t>
      </w:r>
      <w:r w:rsidR="00B9555F" w:rsidRPr="00A54D83">
        <w:rPr>
          <w:noProof/>
        </w:rPr>
        <w:fldChar w:fldCharType="end"/>
      </w:r>
      <w:r w:rsidRPr="00A54D83">
        <w:t>-</w:t>
      </w:r>
      <w:r w:rsidR="00B9555F" w:rsidRPr="00A54D83">
        <w:fldChar w:fldCharType="begin"/>
      </w:r>
      <w:r w:rsidR="0008255D" w:rsidRPr="00A54D83">
        <w:instrText xml:space="preserve"> SEQ Table \* Arabic </w:instrText>
      </w:r>
      <w:r w:rsidR="00B9555F" w:rsidRPr="00A54D83">
        <w:fldChar w:fldCharType="separate"/>
      </w:r>
      <w:r w:rsidR="00AE7E3B">
        <w:rPr>
          <w:noProof/>
        </w:rPr>
        <w:t>7</w:t>
      </w:r>
      <w:r w:rsidR="00B9555F" w:rsidRPr="00A54D83">
        <w:rPr>
          <w:noProof/>
        </w:rPr>
        <w:fldChar w:fldCharType="end"/>
      </w:r>
      <w:bookmarkEnd w:id="123"/>
      <w:r w:rsidRPr="00A54D83">
        <w:tab/>
        <w:t>Waste generation, recycling and recovery rates by jurisdiction, 2008–09</w:t>
      </w:r>
    </w:p>
    <w:tbl>
      <w:tblPr>
        <w:tblW w:w="8134" w:type="dxa"/>
        <w:tblInd w:w="1134" w:type="dxa"/>
        <w:tblBorders>
          <w:bottom w:val="single" w:sz="18" w:space="0" w:color="808080"/>
          <w:insideH w:val="single" w:sz="4" w:space="0" w:color="808080"/>
        </w:tblBorders>
        <w:tblLayout w:type="fixed"/>
        <w:tblCellMar>
          <w:left w:w="0" w:type="dxa"/>
          <w:right w:w="0" w:type="dxa"/>
        </w:tblCellMar>
        <w:tblLook w:val="01E0"/>
      </w:tblPr>
      <w:tblGrid>
        <w:gridCol w:w="1701"/>
        <w:gridCol w:w="709"/>
        <w:gridCol w:w="284"/>
        <w:gridCol w:w="992"/>
        <w:gridCol w:w="992"/>
        <w:gridCol w:w="1134"/>
        <w:gridCol w:w="1118"/>
        <w:gridCol w:w="1134"/>
        <w:gridCol w:w="70"/>
      </w:tblGrid>
      <w:tr w:rsidR="00910AED" w:rsidRPr="00A54D83" w:rsidTr="00634F3D">
        <w:trPr>
          <w:gridAfter w:val="1"/>
          <w:wAfter w:w="70" w:type="dxa"/>
        </w:trPr>
        <w:tc>
          <w:tcPr>
            <w:tcW w:w="1701" w:type="dxa"/>
            <w:vMerge w:val="restart"/>
            <w:tcBorders>
              <w:right w:val="single" w:sz="4" w:space="0" w:color="auto"/>
            </w:tcBorders>
            <w:shd w:val="clear" w:color="auto" w:fill="auto"/>
            <w:vAlign w:val="center"/>
          </w:tcPr>
          <w:bookmarkEnd w:id="124"/>
          <w:p w:rsidR="00910AED" w:rsidRPr="00A54D83" w:rsidRDefault="00910AED" w:rsidP="00C3547A">
            <w:pPr>
              <w:pStyle w:val="TableHeading"/>
              <w:rPr>
                <w:rFonts w:cs="Arial"/>
                <w:kern w:val="28"/>
              </w:rPr>
            </w:pPr>
            <w:r w:rsidRPr="00A54D83">
              <w:rPr>
                <w:rFonts w:cs="Arial"/>
                <w:kern w:val="28"/>
              </w:rPr>
              <w:t>Jurisdiction</w:t>
            </w:r>
          </w:p>
        </w:tc>
        <w:tc>
          <w:tcPr>
            <w:tcW w:w="993" w:type="dxa"/>
            <w:gridSpan w:val="2"/>
            <w:vMerge w:val="restart"/>
            <w:tcBorders>
              <w:top w:val="nil"/>
              <w:left w:val="single" w:sz="4" w:space="0" w:color="auto"/>
              <w:bottom w:val="single" w:sz="4" w:space="0" w:color="808080"/>
            </w:tcBorders>
            <w:shd w:val="clear" w:color="auto" w:fill="auto"/>
            <w:vAlign w:val="bottom"/>
          </w:tcPr>
          <w:p w:rsidR="00910AED" w:rsidRPr="00A54D83" w:rsidRDefault="00910AED" w:rsidP="00634F3D">
            <w:pPr>
              <w:pStyle w:val="TableHeading"/>
              <w:jc w:val="center"/>
              <w:rPr>
                <w:rFonts w:cs="Arial"/>
                <w:kern w:val="28"/>
                <w:vertAlign w:val="superscript"/>
              </w:rPr>
            </w:pPr>
            <w:r w:rsidRPr="00A54D83">
              <w:rPr>
                <w:rFonts w:cs="Arial"/>
                <w:kern w:val="28"/>
              </w:rPr>
              <w:t>Waste generation</w:t>
            </w:r>
            <w:r w:rsidR="00634F3D" w:rsidRPr="00A54D83">
              <w:rPr>
                <w:rFonts w:cs="Arial"/>
                <w:kern w:val="28"/>
                <w:vertAlign w:val="superscript"/>
              </w:rPr>
              <w:t>2</w:t>
            </w:r>
          </w:p>
        </w:tc>
        <w:tc>
          <w:tcPr>
            <w:tcW w:w="5370" w:type="dxa"/>
            <w:gridSpan w:val="5"/>
          </w:tcPr>
          <w:p w:rsidR="00910AED" w:rsidRPr="00A54D83" w:rsidRDefault="00910AED" w:rsidP="00C3547A">
            <w:pPr>
              <w:pStyle w:val="TableHeading"/>
              <w:jc w:val="center"/>
              <w:rPr>
                <w:rFonts w:cs="Arial"/>
                <w:kern w:val="28"/>
              </w:rPr>
            </w:pPr>
            <w:r w:rsidRPr="00A54D83">
              <w:rPr>
                <w:rFonts w:cs="Arial"/>
                <w:kern w:val="28"/>
              </w:rPr>
              <w:t>Destination</w:t>
            </w:r>
          </w:p>
        </w:tc>
      </w:tr>
      <w:tr w:rsidR="00910AED" w:rsidRPr="00A54D83" w:rsidTr="00634F3D">
        <w:trPr>
          <w:gridAfter w:val="1"/>
          <w:wAfter w:w="70" w:type="dxa"/>
        </w:trPr>
        <w:tc>
          <w:tcPr>
            <w:tcW w:w="1701" w:type="dxa"/>
            <w:vMerge/>
            <w:tcBorders>
              <w:right w:val="single" w:sz="4" w:space="0" w:color="auto"/>
            </w:tcBorders>
            <w:shd w:val="clear" w:color="auto" w:fill="auto"/>
          </w:tcPr>
          <w:p w:rsidR="00910AED" w:rsidRPr="00A54D83" w:rsidRDefault="00910AED" w:rsidP="00C3547A">
            <w:pPr>
              <w:pStyle w:val="TableText"/>
              <w:keepNext/>
              <w:rPr>
                <w:rFonts w:cs="Arial"/>
              </w:rPr>
            </w:pPr>
          </w:p>
        </w:tc>
        <w:tc>
          <w:tcPr>
            <w:tcW w:w="993" w:type="dxa"/>
            <w:gridSpan w:val="2"/>
            <w:vMerge/>
            <w:tcBorders>
              <w:top w:val="single" w:sz="4" w:space="0" w:color="808080"/>
              <w:left w:val="single" w:sz="4" w:space="0" w:color="auto"/>
              <w:bottom w:val="single" w:sz="4" w:space="0" w:color="808080"/>
            </w:tcBorders>
            <w:shd w:val="clear" w:color="auto" w:fill="auto"/>
            <w:vAlign w:val="center"/>
          </w:tcPr>
          <w:p w:rsidR="00910AED" w:rsidRPr="00A54D83" w:rsidRDefault="00910AED" w:rsidP="00C3547A">
            <w:pPr>
              <w:pStyle w:val="TableText"/>
              <w:keepNext/>
              <w:jc w:val="center"/>
              <w:rPr>
                <w:rFonts w:cs="Arial"/>
              </w:rPr>
            </w:pPr>
          </w:p>
        </w:tc>
        <w:tc>
          <w:tcPr>
            <w:tcW w:w="992" w:type="dxa"/>
            <w:tcBorders>
              <w:bottom w:val="single" w:sz="4" w:space="0" w:color="808080"/>
            </w:tcBorders>
            <w:shd w:val="clear" w:color="auto" w:fill="auto"/>
            <w:vAlign w:val="center"/>
          </w:tcPr>
          <w:p w:rsidR="00910AED" w:rsidRPr="00A54D83" w:rsidRDefault="00910AED" w:rsidP="00C3547A">
            <w:pPr>
              <w:pStyle w:val="TableHeading"/>
              <w:jc w:val="center"/>
              <w:rPr>
                <w:rFonts w:cs="Arial"/>
                <w:kern w:val="28"/>
              </w:rPr>
            </w:pPr>
            <w:r w:rsidRPr="00A54D83">
              <w:rPr>
                <w:rFonts w:cs="Arial"/>
                <w:kern w:val="28"/>
              </w:rPr>
              <w:t>Disposal</w:t>
            </w:r>
          </w:p>
        </w:tc>
        <w:tc>
          <w:tcPr>
            <w:tcW w:w="992" w:type="dxa"/>
            <w:tcBorders>
              <w:top w:val="single" w:sz="4" w:space="0" w:color="808080"/>
              <w:bottom w:val="single" w:sz="4" w:space="0" w:color="808080"/>
              <w:right w:val="single" w:sz="4" w:space="0" w:color="auto"/>
            </w:tcBorders>
            <w:shd w:val="clear" w:color="auto" w:fill="auto"/>
            <w:vAlign w:val="center"/>
          </w:tcPr>
          <w:p w:rsidR="00910AED" w:rsidRPr="00A54D83" w:rsidRDefault="00910AED" w:rsidP="00C3547A">
            <w:pPr>
              <w:pStyle w:val="TableHeading"/>
              <w:jc w:val="center"/>
              <w:rPr>
                <w:rFonts w:cs="Arial"/>
                <w:kern w:val="28"/>
              </w:rPr>
            </w:pPr>
            <w:r w:rsidRPr="00A54D83">
              <w:rPr>
                <w:rFonts w:cs="Arial"/>
                <w:kern w:val="28"/>
              </w:rPr>
              <w:t>Recycling</w:t>
            </w:r>
          </w:p>
        </w:tc>
        <w:tc>
          <w:tcPr>
            <w:tcW w:w="1134" w:type="dxa"/>
            <w:tcBorders>
              <w:left w:val="single" w:sz="4" w:space="0" w:color="auto"/>
            </w:tcBorders>
            <w:shd w:val="clear" w:color="auto" w:fill="D9D9D9" w:themeFill="background1" w:themeFillShade="D9"/>
            <w:vAlign w:val="center"/>
          </w:tcPr>
          <w:p w:rsidR="00910AED" w:rsidRPr="00A54D83" w:rsidRDefault="00910AED" w:rsidP="00C3547A">
            <w:pPr>
              <w:pStyle w:val="TableHeading"/>
              <w:jc w:val="center"/>
              <w:rPr>
                <w:rFonts w:cs="Arial"/>
                <w:kern w:val="28"/>
              </w:rPr>
            </w:pPr>
            <w:r w:rsidRPr="00A54D83">
              <w:rPr>
                <w:rFonts w:cs="Arial"/>
                <w:kern w:val="28"/>
              </w:rPr>
              <w:t>Recycling rate</w:t>
            </w:r>
            <w:r w:rsidR="00634F3D" w:rsidRPr="00A54D83">
              <w:rPr>
                <w:rFonts w:cs="Arial"/>
                <w:kern w:val="28"/>
                <w:vertAlign w:val="superscript"/>
              </w:rPr>
              <w:t>3</w:t>
            </w:r>
          </w:p>
        </w:tc>
        <w:tc>
          <w:tcPr>
            <w:tcW w:w="1118" w:type="dxa"/>
            <w:vAlign w:val="center"/>
          </w:tcPr>
          <w:p w:rsidR="00910AED" w:rsidRPr="00A54D83" w:rsidRDefault="00910AED" w:rsidP="00C3547A">
            <w:pPr>
              <w:pStyle w:val="TableHeading"/>
              <w:jc w:val="center"/>
              <w:rPr>
                <w:rFonts w:cs="Arial"/>
                <w:kern w:val="28"/>
              </w:rPr>
            </w:pPr>
            <w:r w:rsidRPr="00A54D83">
              <w:rPr>
                <w:rFonts w:cs="Arial"/>
                <w:kern w:val="28"/>
              </w:rPr>
              <w:t>Energy recovery</w:t>
            </w:r>
          </w:p>
        </w:tc>
        <w:tc>
          <w:tcPr>
            <w:tcW w:w="1134" w:type="dxa"/>
            <w:shd w:val="clear" w:color="auto" w:fill="D9D9D9" w:themeFill="background1" w:themeFillShade="D9"/>
            <w:vAlign w:val="center"/>
          </w:tcPr>
          <w:p w:rsidR="00910AED" w:rsidRPr="00A54D83" w:rsidRDefault="00910AED" w:rsidP="00C3547A">
            <w:pPr>
              <w:pStyle w:val="TableHeading"/>
              <w:jc w:val="center"/>
              <w:rPr>
                <w:rFonts w:cs="Arial"/>
                <w:b w:val="0"/>
              </w:rPr>
            </w:pPr>
            <w:r w:rsidRPr="00A54D83">
              <w:rPr>
                <w:rFonts w:cs="Arial"/>
                <w:kern w:val="28"/>
              </w:rPr>
              <w:t>Recovery rate</w:t>
            </w:r>
            <w:r w:rsidR="00634F3D" w:rsidRPr="00A54D83">
              <w:rPr>
                <w:rFonts w:cs="Arial"/>
                <w:kern w:val="28"/>
                <w:vertAlign w:val="superscript"/>
              </w:rPr>
              <w:t>4</w:t>
            </w:r>
          </w:p>
        </w:tc>
      </w:tr>
      <w:tr w:rsidR="00910AED" w:rsidRPr="00A54D83" w:rsidTr="00634F3D">
        <w:trPr>
          <w:gridAfter w:val="1"/>
          <w:wAfter w:w="70" w:type="dxa"/>
        </w:trPr>
        <w:tc>
          <w:tcPr>
            <w:tcW w:w="1701" w:type="dxa"/>
            <w:vMerge/>
            <w:tcBorders>
              <w:right w:val="single" w:sz="4" w:space="0" w:color="auto"/>
            </w:tcBorders>
            <w:shd w:val="clear" w:color="auto" w:fill="auto"/>
          </w:tcPr>
          <w:p w:rsidR="00910AED" w:rsidRPr="00A54D83" w:rsidRDefault="00910AED" w:rsidP="00C3547A">
            <w:pPr>
              <w:pStyle w:val="TableText"/>
              <w:keepNext/>
              <w:rPr>
                <w:rFonts w:cs="Arial"/>
              </w:rPr>
            </w:pPr>
          </w:p>
        </w:tc>
        <w:tc>
          <w:tcPr>
            <w:tcW w:w="2977" w:type="dxa"/>
            <w:gridSpan w:val="4"/>
            <w:tcBorders>
              <w:top w:val="single" w:sz="4" w:space="0" w:color="808080"/>
              <w:left w:val="single" w:sz="4" w:space="0" w:color="auto"/>
              <w:bottom w:val="single" w:sz="4" w:space="0" w:color="808080"/>
              <w:right w:val="single" w:sz="4" w:space="0" w:color="auto"/>
            </w:tcBorders>
            <w:shd w:val="clear" w:color="auto" w:fill="auto"/>
            <w:vAlign w:val="center"/>
          </w:tcPr>
          <w:p w:rsidR="00910AED" w:rsidRPr="00A54D83" w:rsidRDefault="00910AED" w:rsidP="00C3547A">
            <w:pPr>
              <w:pStyle w:val="TableHeading"/>
              <w:jc w:val="center"/>
              <w:rPr>
                <w:rFonts w:cs="Arial"/>
                <w:kern w:val="28"/>
              </w:rPr>
            </w:pPr>
            <w:r w:rsidRPr="00A54D83">
              <w:rPr>
                <w:rFonts w:cs="Arial"/>
                <w:kern w:val="28"/>
              </w:rPr>
              <w:t>kg per capita</w:t>
            </w:r>
            <w:r w:rsidR="00634F3D" w:rsidRPr="00A54D83">
              <w:rPr>
                <w:rFonts w:cs="Arial"/>
                <w:kern w:val="28"/>
                <w:vertAlign w:val="superscript"/>
              </w:rPr>
              <w:t>1</w:t>
            </w:r>
          </w:p>
        </w:tc>
        <w:tc>
          <w:tcPr>
            <w:tcW w:w="1134" w:type="dxa"/>
            <w:tcBorders>
              <w:left w:val="single" w:sz="4" w:space="0" w:color="auto"/>
            </w:tcBorders>
            <w:shd w:val="clear" w:color="auto" w:fill="D9D9D9" w:themeFill="background1" w:themeFillShade="D9"/>
            <w:vAlign w:val="center"/>
          </w:tcPr>
          <w:p w:rsidR="00910AED" w:rsidRPr="00A54D83" w:rsidRDefault="00910AED" w:rsidP="00C3547A">
            <w:pPr>
              <w:pStyle w:val="TableHeading"/>
              <w:jc w:val="center"/>
              <w:rPr>
                <w:rFonts w:cs="Arial"/>
                <w:kern w:val="28"/>
              </w:rPr>
            </w:pPr>
            <w:r w:rsidRPr="00A54D83">
              <w:rPr>
                <w:rFonts w:cs="Arial"/>
                <w:kern w:val="28"/>
              </w:rPr>
              <w:t>(%)</w:t>
            </w:r>
          </w:p>
        </w:tc>
        <w:tc>
          <w:tcPr>
            <w:tcW w:w="1118" w:type="dxa"/>
            <w:vAlign w:val="center"/>
          </w:tcPr>
          <w:p w:rsidR="00910AED" w:rsidRPr="00A54D83" w:rsidRDefault="00910AED" w:rsidP="00C3547A">
            <w:pPr>
              <w:pStyle w:val="TableHeading"/>
              <w:jc w:val="center"/>
              <w:rPr>
                <w:rFonts w:cs="Arial"/>
                <w:kern w:val="28"/>
              </w:rPr>
            </w:pPr>
            <w:r w:rsidRPr="00A54D83">
              <w:rPr>
                <w:rFonts w:cs="Arial"/>
                <w:kern w:val="28"/>
              </w:rPr>
              <w:t>kg per capita</w:t>
            </w:r>
          </w:p>
        </w:tc>
        <w:tc>
          <w:tcPr>
            <w:tcW w:w="1134" w:type="dxa"/>
            <w:shd w:val="clear" w:color="auto" w:fill="D9D9D9" w:themeFill="background1" w:themeFillShade="D9"/>
            <w:vAlign w:val="center"/>
          </w:tcPr>
          <w:p w:rsidR="00910AED" w:rsidRPr="00A54D83" w:rsidRDefault="00910AED" w:rsidP="00C3547A">
            <w:pPr>
              <w:pStyle w:val="TableHeading"/>
              <w:jc w:val="center"/>
              <w:rPr>
                <w:rFonts w:cs="Arial"/>
                <w:kern w:val="28"/>
              </w:rPr>
            </w:pPr>
            <w:r w:rsidRPr="00A54D83">
              <w:rPr>
                <w:rFonts w:cs="Arial"/>
                <w:kern w:val="28"/>
              </w:rPr>
              <w:t>(%)</w:t>
            </w:r>
          </w:p>
        </w:tc>
      </w:tr>
      <w:tr w:rsidR="00476BAA" w:rsidRPr="00A54D83" w:rsidTr="00634F3D">
        <w:trPr>
          <w:gridAfter w:val="1"/>
          <w:wAfter w:w="70" w:type="dxa"/>
        </w:trPr>
        <w:tc>
          <w:tcPr>
            <w:tcW w:w="1701" w:type="dxa"/>
            <w:shd w:val="clear" w:color="auto" w:fill="auto"/>
            <w:vAlign w:val="center"/>
          </w:tcPr>
          <w:p w:rsidR="00476BAA" w:rsidRPr="00A54D83" w:rsidRDefault="00476BAA" w:rsidP="00C3547A">
            <w:pPr>
              <w:pStyle w:val="TableText"/>
              <w:keepNext/>
              <w:rPr>
                <w:rFonts w:cs="Arial"/>
              </w:rPr>
            </w:pPr>
            <w:r w:rsidRPr="00A54D83">
              <w:rPr>
                <w:rFonts w:cs="Arial"/>
              </w:rPr>
              <w:t>NSW</w:t>
            </w:r>
          </w:p>
        </w:tc>
        <w:tc>
          <w:tcPr>
            <w:tcW w:w="709" w:type="dxa"/>
            <w:tcBorders>
              <w:top w:val="single" w:sz="4" w:space="0" w:color="808080"/>
            </w:tcBorders>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2,</w:t>
            </w:r>
            <w:r w:rsidRPr="00476BAA">
              <w:rPr>
                <w:rFonts w:cs="Arial"/>
                <w:color w:val="000000"/>
                <w:szCs w:val="18"/>
              </w:rPr>
              <w:t>290</w:t>
            </w:r>
          </w:p>
        </w:tc>
        <w:tc>
          <w:tcPr>
            <w:tcW w:w="1276" w:type="dxa"/>
            <w:gridSpan w:val="2"/>
            <w:tcBorders>
              <w:top w:val="single" w:sz="4" w:space="0" w:color="808080"/>
            </w:tcBorders>
            <w:shd w:val="clear" w:color="auto" w:fill="auto"/>
            <w:tcMar>
              <w:right w:w="85" w:type="dxa"/>
            </w:tcMar>
            <w:vAlign w:val="center"/>
          </w:tcPr>
          <w:p w:rsidR="00476BAA" w:rsidRPr="00476BAA" w:rsidRDefault="00476BAA" w:rsidP="00C3547A">
            <w:pPr>
              <w:pStyle w:val="TableText"/>
              <w:keepNext/>
              <w:jc w:val="right"/>
              <w:rPr>
                <w:rFonts w:cs="Arial"/>
                <w:szCs w:val="18"/>
              </w:rPr>
            </w:pPr>
            <w:r w:rsidRPr="00476BAA">
              <w:rPr>
                <w:rFonts w:cs="Arial"/>
                <w:color w:val="000000"/>
                <w:szCs w:val="18"/>
              </w:rPr>
              <w:t>940</w:t>
            </w:r>
          </w:p>
        </w:tc>
        <w:tc>
          <w:tcPr>
            <w:tcW w:w="992" w:type="dxa"/>
            <w:tcBorders>
              <w:top w:val="single" w:sz="4" w:space="0" w:color="808080"/>
            </w:tcBorders>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1,</w:t>
            </w:r>
            <w:r w:rsidRPr="00476BAA">
              <w:rPr>
                <w:rFonts w:cs="Arial"/>
                <w:color w:val="000000"/>
                <w:szCs w:val="18"/>
              </w:rPr>
              <w:t>350</w:t>
            </w:r>
          </w:p>
        </w:tc>
        <w:tc>
          <w:tcPr>
            <w:tcW w:w="1134" w:type="dxa"/>
            <w:shd w:val="clear" w:color="auto" w:fill="D9D9D9" w:themeFill="background1" w:themeFillShade="D9"/>
            <w:tcMar>
              <w:right w:w="85" w:type="dxa"/>
            </w:tcMar>
            <w:vAlign w:val="center"/>
          </w:tcPr>
          <w:p w:rsidR="00476BAA" w:rsidRPr="00476BAA" w:rsidRDefault="00476BAA" w:rsidP="001B47AA">
            <w:pPr>
              <w:pStyle w:val="TableText"/>
              <w:keepNext/>
              <w:jc w:val="right"/>
              <w:rPr>
                <w:rFonts w:cs="Arial"/>
                <w:szCs w:val="18"/>
              </w:rPr>
            </w:pPr>
            <w:r w:rsidRPr="00476BAA">
              <w:rPr>
                <w:rFonts w:cs="Arial"/>
                <w:color w:val="000000"/>
                <w:szCs w:val="18"/>
              </w:rPr>
              <w:t>59</w:t>
            </w:r>
            <w:r w:rsidRPr="000B315F">
              <w:rPr>
                <w:color w:val="000000"/>
              </w:rPr>
              <w:t>%</w:t>
            </w:r>
          </w:p>
        </w:tc>
        <w:tc>
          <w:tcPr>
            <w:tcW w:w="1118" w:type="dxa"/>
            <w:tcMar>
              <w:right w:w="85" w:type="dxa"/>
            </w:tcMar>
            <w:vAlign w:val="center"/>
          </w:tcPr>
          <w:p w:rsidR="00476BAA" w:rsidRPr="00476BAA" w:rsidRDefault="00476BAA" w:rsidP="00C3547A">
            <w:pPr>
              <w:pStyle w:val="TableText"/>
              <w:keepNext/>
              <w:jc w:val="right"/>
              <w:rPr>
                <w:rFonts w:cs="Arial"/>
                <w:szCs w:val="18"/>
              </w:rPr>
            </w:pPr>
            <w:r w:rsidRPr="000B315F">
              <w:rPr>
                <w:color w:val="000000"/>
              </w:rPr>
              <w:t>10</w:t>
            </w:r>
          </w:p>
        </w:tc>
        <w:tc>
          <w:tcPr>
            <w:tcW w:w="1134" w:type="dxa"/>
            <w:shd w:val="clear" w:color="auto" w:fill="D9D9D9" w:themeFill="background1" w:themeFillShade="D9"/>
            <w:tcMar>
              <w:right w:w="85" w:type="dxa"/>
            </w:tcMar>
            <w:vAlign w:val="center"/>
          </w:tcPr>
          <w:p w:rsidR="00476BAA" w:rsidRPr="00476BAA" w:rsidRDefault="00476BAA" w:rsidP="001B47AA">
            <w:pPr>
              <w:pStyle w:val="TableText"/>
              <w:keepNext/>
              <w:jc w:val="right"/>
              <w:rPr>
                <w:rFonts w:cs="Arial"/>
                <w:szCs w:val="18"/>
              </w:rPr>
            </w:pPr>
            <w:r w:rsidRPr="00476BAA">
              <w:rPr>
                <w:rFonts w:cs="Arial"/>
                <w:color w:val="000000"/>
                <w:szCs w:val="18"/>
              </w:rPr>
              <w:t>59</w:t>
            </w:r>
            <w:r w:rsidRPr="000B315F">
              <w:rPr>
                <w:color w:val="000000"/>
              </w:rPr>
              <w:t>%</w:t>
            </w:r>
          </w:p>
        </w:tc>
      </w:tr>
      <w:tr w:rsidR="00476BAA" w:rsidRPr="00A54D83" w:rsidTr="00634F3D">
        <w:trPr>
          <w:gridAfter w:val="1"/>
          <w:wAfter w:w="70" w:type="dxa"/>
        </w:trPr>
        <w:tc>
          <w:tcPr>
            <w:tcW w:w="1701" w:type="dxa"/>
            <w:shd w:val="clear" w:color="auto" w:fill="auto"/>
            <w:vAlign w:val="center"/>
          </w:tcPr>
          <w:p w:rsidR="00476BAA" w:rsidRPr="000B315F" w:rsidRDefault="00476BAA" w:rsidP="00C3547A">
            <w:pPr>
              <w:pStyle w:val="TableText"/>
              <w:keepNext/>
              <w:rPr>
                <w:highlight w:val="yellow"/>
              </w:rPr>
            </w:pPr>
            <w:r w:rsidRPr="00A54D83">
              <w:rPr>
                <w:rFonts w:cs="Arial"/>
              </w:rPr>
              <w:t>Vic</w:t>
            </w:r>
          </w:p>
        </w:tc>
        <w:tc>
          <w:tcPr>
            <w:tcW w:w="709" w:type="dxa"/>
            <w:shd w:val="clear" w:color="auto" w:fill="auto"/>
            <w:tcMar>
              <w:right w:w="85" w:type="dxa"/>
            </w:tcMar>
            <w:vAlign w:val="center"/>
          </w:tcPr>
          <w:p w:rsidR="00476BAA" w:rsidRPr="000B315F" w:rsidRDefault="00476BAA" w:rsidP="001B47AA">
            <w:pPr>
              <w:pStyle w:val="TableText"/>
              <w:keepNext/>
              <w:jc w:val="right"/>
              <w:rPr>
                <w:highlight w:val="yellow"/>
              </w:rPr>
            </w:pPr>
            <w:r w:rsidRPr="000B315F">
              <w:rPr>
                <w:color w:val="000000"/>
              </w:rPr>
              <w:t>1,</w:t>
            </w:r>
            <w:r w:rsidRPr="00476BAA">
              <w:rPr>
                <w:rFonts w:cs="Arial"/>
                <w:color w:val="000000"/>
                <w:szCs w:val="18"/>
              </w:rPr>
              <w:t>900</w:t>
            </w:r>
          </w:p>
        </w:tc>
        <w:tc>
          <w:tcPr>
            <w:tcW w:w="1276" w:type="dxa"/>
            <w:gridSpan w:val="2"/>
            <w:shd w:val="clear" w:color="auto" w:fill="auto"/>
            <w:tcMar>
              <w:right w:w="85" w:type="dxa"/>
            </w:tcMar>
            <w:vAlign w:val="center"/>
          </w:tcPr>
          <w:p w:rsidR="00476BAA" w:rsidRPr="000B315F" w:rsidRDefault="00476BAA" w:rsidP="00142405">
            <w:pPr>
              <w:pStyle w:val="TableText"/>
              <w:keepNext/>
              <w:jc w:val="right"/>
              <w:rPr>
                <w:highlight w:val="yellow"/>
              </w:rPr>
            </w:pPr>
            <w:r w:rsidRPr="00476BAA">
              <w:rPr>
                <w:rFonts w:cs="Arial"/>
                <w:color w:val="000000"/>
                <w:szCs w:val="18"/>
              </w:rPr>
              <w:t>870</w:t>
            </w:r>
          </w:p>
        </w:tc>
        <w:tc>
          <w:tcPr>
            <w:tcW w:w="992" w:type="dxa"/>
            <w:shd w:val="clear" w:color="auto" w:fill="auto"/>
            <w:tcMar>
              <w:right w:w="85" w:type="dxa"/>
            </w:tcMar>
            <w:vAlign w:val="center"/>
          </w:tcPr>
          <w:p w:rsidR="00476BAA" w:rsidRPr="000B315F" w:rsidRDefault="00476BAA" w:rsidP="00C3547A">
            <w:pPr>
              <w:pStyle w:val="TableText"/>
              <w:keepNext/>
              <w:jc w:val="right"/>
              <w:rPr>
                <w:highlight w:val="yellow"/>
              </w:rPr>
            </w:pPr>
            <w:r w:rsidRPr="000B315F">
              <w:rPr>
                <w:color w:val="000000"/>
              </w:rPr>
              <w:t>1,010</w:t>
            </w:r>
          </w:p>
        </w:tc>
        <w:tc>
          <w:tcPr>
            <w:tcW w:w="1134" w:type="dxa"/>
            <w:shd w:val="clear" w:color="auto" w:fill="D9D9D9" w:themeFill="background1" w:themeFillShade="D9"/>
            <w:tcMar>
              <w:right w:w="85" w:type="dxa"/>
            </w:tcMar>
            <w:vAlign w:val="center"/>
          </w:tcPr>
          <w:p w:rsidR="00476BAA" w:rsidRPr="000B315F" w:rsidRDefault="00476BAA" w:rsidP="001B47AA">
            <w:pPr>
              <w:pStyle w:val="TableText"/>
              <w:keepNext/>
              <w:jc w:val="right"/>
              <w:rPr>
                <w:highlight w:val="yellow"/>
              </w:rPr>
            </w:pPr>
            <w:r w:rsidRPr="00476BAA">
              <w:rPr>
                <w:rFonts w:cs="Arial"/>
                <w:color w:val="000000"/>
                <w:szCs w:val="18"/>
              </w:rPr>
              <w:t>54</w:t>
            </w:r>
            <w:r w:rsidRPr="000B315F">
              <w:rPr>
                <w:color w:val="000000"/>
              </w:rPr>
              <w:t>%</w:t>
            </w:r>
          </w:p>
        </w:tc>
        <w:tc>
          <w:tcPr>
            <w:tcW w:w="1118" w:type="dxa"/>
            <w:tcMar>
              <w:right w:w="85" w:type="dxa"/>
            </w:tcMar>
            <w:vAlign w:val="center"/>
          </w:tcPr>
          <w:p w:rsidR="00476BAA" w:rsidRPr="000B315F" w:rsidRDefault="00476BAA" w:rsidP="00C3547A">
            <w:pPr>
              <w:pStyle w:val="TableText"/>
              <w:keepNext/>
              <w:jc w:val="right"/>
              <w:rPr>
                <w:highlight w:val="yellow"/>
              </w:rPr>
            </w:pPr>
            <w:r w:rsidRPr="000B315F">
              <w:rPr>
                <w:color w:val="000000"/>
              </w:rPr>
              <w:t>10</w:t>
            </w:r>
          </w:p>
        </w:tc>
        <w:tc>
          <w:tcPr>
            <w:tcW w:w="1134" w:type="dxa"/>
            <w:shd w:val="clear" w:color="auto" w:fill="D9D9D9" w:themeFill="background1" w:themeFillShade="D9"/>
            <w:tcMar>
              <w:right w:w="85" w:type="dxa"/>
            </w:tcMar>
            <w:vAlign w:val="center"/>
          </w:tcPr>
          <w:p w:rsidR="00476BAA" w:rsidRPr="000B315F" w:rsidRDefault="00476BAA" w:rsidP="001B47AA">
            <w:pPr>
              <w:pStyle w:val="TableText"/>
              <w:keepNext/>
              <w:jc w:val="right"/>
              <w:rPr>
                <w:highlight w:val="yellow"/>
              </w:rPr>
            </w:pPr>
            <w:r w:rsidRPr="00476BAA">
              <w:rPr>
                <w:rFonts w:cs="Arial"/>
                <w:color w:val="000000"/>
                <w:szCs w:val="18"/>
              </w:rPr>
              <w:t>54</w:t>
            </w:r>
            <w:r w:rsidRPr="000B315F">
              <w:rPr>
                <w:color w:val="000000"/>
              </w:rPr>
              <w:t>%</w:t>
            </w:r>
          </w:p>
        </w:tc>
      </w:tr>
      <w:tr w:rsidR="00476BAA" w:rsidRPr="00A54D83" w:rsidTr="00634F3D">
        <w:trPr>
          <w:gridAfter w:val="1"/>
          <w:wAfter w:w="70" w:type="dxa"/>
        </w:trPr>
        <w:tc>
          <w:tcPr>
            <w:tcW w:w="1701" w:type="dxa"/>
            <w:shd w:val="clear" w:color="auto" w:fill="auto"/>
            <w:vAlign w:val="center"/>
          </w:tcPr>
          <w:p w:rsidR="00476BAA" w:rsidRPr="00A54D83" w:rsidRDefault="00476BAA" w:rsidP="00C3547A">
            <w:pPr>
              <w:pStyle w:val="TableText"/>
              <w:keepNext/>
              <w:rPr>
                <w:rFonts w:cs="Arial"/>
              </w:rPr>
            </w:pPr>
            <w:r w:rsidRPr="00A54D83">
              <w:rPr>
                <w:rFonts w:cs="Arial"/>
              </w:rPr>
              <w:t>Qld</w:t>
            </w:r>
          </w:p>
        </w:tc>
        <w:tc>
          <w:tcPr>
            <w:tcW w:w="709" w:type="dxa"/>
            <w:shd w:val="clear" w:color="auto" w:fill="auto"/>
            <w:tcMar>
              <w:right w:w="85" w:type="dxa"/>
            </w:tcMar>
            <w:vAlign w:val="center"/>
          </w:tcPr>
          <w:p w:rsidR="00476BAA" w:rsidRPr="00476BAA" w:rsidRDefault="00476BAA" w:rsidP="001B47AA">
            <w:pPr>
              <w:pStyle w:val="TableText"/>
              <w:keepNext/>
              <w:jc w:val="right"/>
              <w:rPr>
                <w:rFonts w:cs="Arial"/>
                <w:szCs w:val="18"/>
              </w:rPr>
            </w:pPr>
            <w:r w:rsidRPr="000B315F">
              <w:rPr>
                <w:color w:val="000000"/>
              </w:rPr>
              <w:t>2,</w:t>
            </w:r>
            <w:r w:rsidRPr="00476BAA">
              <w:rPr>
                <w:rFonts w:cs="Arial"/>
                <w:color w:val="000000"/>
                <w:szCs w:val="18"/>
              </w:rPr>
              <w:t>100</w:t>
            </w:r>
          </w:p>
        </w:tc>
        <w:tc>
          <w:tcPr>
            <w:tcW w:w="1276" w:type="dxa"/>
            <w:gridSpan w:val="2"/>
            <w:shd w:val="clear" w:color="auto" w:fill="auto"/>
            <w:tcMar>
              <w:right w:w="85" w:type="dxa"/>
            </w:tcMar>
            <w:vAlign w:val="center"/>
          </w:tcPr>
          <w:p w:rsidR="00476BAA" w:rsidRPr="00476BAA" w:rsidRDefault="00476BAA" w:rsidP="001B47AA">
            <w:pPr>
              <w:pStyle w:val="TableText"/>
              <w:keepNext/>
              <w:jc w:val="right"/>
              <w:rPr>
                <w:rFonts w:cs="Arial"/>
                <w:szCs w:val="18"/>
              </w:rPr>
            </w:pPr>
            <w:r w:rsidRPr="000B315F">
              <w:rPr>
                <w:color w:val="000000"/>
              </w:rPr>
              <w:t>1,</w:t>
            </w:r>
            <w:r w:rsidRPr="00476BAA">
              <w:rPr>
                <w:rFonts w:cs="Arial"/>
                <w:color w:val="000000"/>
                <w:szCs w:val="18"/>
              </w:rPr>
              <w:t>160</w:t>
            </w:r>
          </w:p>
        </w:tc>
        <w:tc>
          <w:tcPr>
            <w:tcW w:w="992" w:type="dxa"/>
            <w:shd w:val="clear" w:color="auto" w:fill="auto"/>
            <w:tcMar>
              <w:right w:w="85" w:type="dxa"/>
            </w:tcMar>
            <w:vAlign w:val="center"/>
          </w:tcPr>
          <w:p w:rsidR="00476BAA" w:rsidRPr="00476BAA" w:rsidRDefault="00476BAA" w:rsidP="001B47AA">
            <w:pPr>
              <w:pStyle w:val="TableText"/>
              <w:keepNext/>
              <w:jc w:val="right"/>
              <w:rPr>
                <w:rFonts w:cs="Arial"/>
                <w:szCs w:val="18"/>
              </w:rPr>
            </w:pPr>
            <w:r w:rsidRPr="00476BAA">
              <w:rPr>
                <w:rFonts w:cs="Arial"/>
                <w:color w:val="000000"/>
                <w:szCs w:val="18"/>
              </w:rPr>
              <w:t>930</w:t>
            </w:r>
          </w:p>
        </w:tc>
        <w:tc>
          <w:tcPr>
            <w:tcW w:w="1134" w:type="dxa"/>
            <w:shd w:val="clear" w:color="auto" w:fill="D9D9D9" w:themeFill="background1" w:themeFillShade="D9"/>
            <w:tcMar>
              <w:right w:w="85" w:type="dxa"/>
            </w:tcMar>
            <w:vAlign w:val="center"/>
          </w:tcPr>
          <w:p w:rsidR="00476BAA" w:rsidRPr="00476BAA" w:rsidRDefault="00476BAA" w:rsidP="001B47AA">
            <w:pPr>
              <w:pStyle w:val="TableText"/>
              <w:keepNext/>
              <w:jc w:val="right"/>
              <w:rPr>
                <w:rFonts w:cs="Arial"/>
                <w:szCs w:val="18"/>
              </w:rPr>
            </w:pPr>
            <w:r w:rsidRPr="00476BAA">
              <w:rPr>
                <w:rFonts w:cs="Arial"/>
                <w:color w:val="000000"/>
                <w:szCs w:val="18"/>
              </w:rPr>
              <w:t>45</w:t>
            </w:r>
            <w:r w:rsidRPr="000B315F">
              <w:rPr>
                <w:color w:val="000000"/>
              </w:rPr>
              <w:t>%</w:t>
            </w:r>
          </w:p>
        </w:tc>
        <w:tc>
          <w:tcPr>
            <w:tcW w:w="1118" w:type="dxa"/>
            <w:tcMar>
              <w:right w:w="85" w:type="dxa"/>
            </w:tcMar>
            <w:vAlign w:val="center"/>
          </w:tcPr>
          <w:p w:rsidR="00476BAA" w:rsidRPr="00476BAA" w:rsidRDefault="00476BAA" w:rsidP="00C3547A">
            <w:pPr>
              <w:pStyle w:val="TableText"/>
              <w:keepNext/>
              <w:jc w:val="right"/>
              <w:rPr>
                <w:rFonts w:cs="Arial"/>
                <w:szCs w:val="18"/>
              </w:rPr>
            </w:pPr>
            <w:r w:rsidRPr="000B315F">
              <w:rPr>
                <w:color w:val="000000"/>
              </w:rPr>
              <w:t>10</w:t>
            </w:r>
          </w:p>
        </w:tc>
        <w:tc>
          <w:tcPr>
            <w:tcW w:w="1134" w:type="dxa"/>
            <w:shd w:val="clear" w:color="auto" w:fill="D9D9D9" w:themeFill="background1" w:themeFillShade="D9"/>
            <w:tcMar>
              <w:right w:w="85" w:type="dxa"/>
            </w:tcMar>
            <w:vAlign w:val="center"/>
          </w:tcPr>
          <w:p w:rsidR="00476BAA" w:rsidRPr="00476BAA" w:rsidRDefault="00476BAA" w:rsidP="00C3547A">
            <w:pPr>
              <w:pStyle w:val="TableText"/>
              <w:keepNext/>
              <w:jc w:val="right"/>
              <w:rPr>
                <w:rFonts w:cs="Arial"/>
                <w:szCs w:val="18"/>
              </w:rPr>
            </w:pPr>
            <w:r w:rsidRPr="000B315F">
              <w:rPr>
                <w:color w:val="000000"/>
              </w:rPr>
              <w:t>45%</w:t>
            </w:r>
          </w:p>
        </w:tc>
      </w:tr>
      <w:tr w:rsidR="00476BAA" w:rsidRPr="00A54D83" w:rsidTr="00634F3D">
        <w:trPr>
          <w:gridAfter w:val="1"/>
          <w:wAfter w:w="70" w:type="dxa"/>
        </w:trPr>
        <w:tc>
          <w:tcPr>
            <w:tcW w:w="1701" w:type="dxa"/>
            <w:shd w:val="clear" w:color="auto" w:fill="auto"/>
            <w:vAlign w:val="center"/>
          </w:tcPr>
          <w:p w:rsidR="00476BAA" w:rsidRPr="00A54D83" w:rsidRDefault="00476BAA" w:rsidP="00C3547A">
            <w:pPr>
              <w:pStyle w:val="TableText"/>
              <w:keepNext/>
              <w:rPr>
                <w:rFonts w:cs="Arial"/>
              </w:rPr>
            </w:pPr>
            <w:r w:rsidRPr="00A54D83">
              <w:rPr>
                <w:rFonts w:cs="Arial"/>
              </w:rPr>
              <w:t>SA</w:t>
            </w:r>
          </w:p>
        </w:tc>
        <w:tc>
          <w:tcPr>
            <w:tcW w:w="709" w:type="dxa"/>
            <w:shd w:val="clear" w:color="auto" w:fill="auto"/>
            <w:tcMar>
              <w:right w:w="85" w:type="dxa"/>
            </w:tcMar>
            <w:vAlign w:val="center"/>
          </w:tcPr>
          <w:p w:rsidR="00476BAA" w:rsidRPr="00476BAA" w:rsidRDefault="00476BAA" w:rsidP="001B47AA">
            <w:pPr>
              <w:pStyle w:val="TableText"/>
              <w:keepNext/>
              <w:jc w:val="right"/>
              <w:rPr>
                <w:rFonts w:cs="Arial"/>
                <w:szCs w:val="18"/>
              </w:rPr>
            </w:pPr>
            <w:r w:rsidRPr="000B315F">
              <w:rPr>
                <w:color w:val="000000"/>
              </w:rPr>
              <w:t>2,050</w:t>
            </w:r>
          </w:p>
        </w:tc>
        <w:tc>
          <w:tcPr>
            <w:tcW w:w="1276" w:type="dxa"/>
            <w:gridSpan w:val="2"/>
            <w:shd w:val="clear" w:color="auto" w:fill="auto"/>
            <w:tcMar>
              <w:right w:w="85" w:type="dxa"/>
            </w:tcMar>
            <w:vAlign w:val="center"/>
          </w:tcPr>
          <w:p w:rsidR="00476BAA" w:rsidRPr="00476BAA" w:rsidRDefault="00476BAA" w:rsidP="001B47AA">
            <w:pPr>
              <w:pStyle w:val="TableText"/>
              <w:keepNext/>
              <w:jc w:val="right"/>
              <w:rPr>
                <w:rFonts w:cs="Arial"/>
                <w:szCs w:val="18"/>
              </w:rPr>
            </w:pPr>
            <w:r w:rsidRPr="00476BAA">
              <w:rPr>
                <w:rFonts w:cs="Arial"/>
                <w:color w:val="000000"/>
                <w:szCs w:val="18"/>
              </w:rPr>
              <w:t>650</w:t>
            </w:r>
          </w:p>
        </w:tc>
        <w:tc>
          <w:tcPr>
            <w:tcW w:w="992" w:type="dxa"/>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1,340</w:t>
            </w:r>
          </w:p>
        </w:tc>
        <w:tc>
          <w:tcPr>
            <w:tcW w:w="1134" w:type="dxa"/>
            <w:shd w:val="clear" w:color="auto" w:fill="D9D9D9" w:themeFill="background1" w:themeFillShade="D9"/>
            <w:tcMar>
              <w:right w:w="85" w:type="dxa"/>
            </w:tcMar>
            <w:vAlign w:val="center"/>
          </w:tcPr>
          <w:p w:rsidR="00476BAA" w:rsidRPr="00476BAA" w:rsidRDefault="00476BAA" w:rsidP="001B47AA">
            <w:pPr>
              <w:pStyle w:val="TableText"/>
              <w:keepNext/>
              <w:jc w:val="right"/>
              <w:rPr>
                <w:rFonts w:cs="Arial"/>
                <w:szCs w:val="18"/>
              </w:rPr>
            </w:pPr>
            <w:r w:rsidRPr="00476BAA">
              <w:rPr>
                <w:rFonts w:cs="Arial"/>
                <w:color w:val="000000"/>
                <w:szCs w:val="18"/>
              </w:rPr>
              <w:t>67</w:t>
            </w:r>
            <w:r w:rsidRPr="000B315F">
              <w:rPr>
                <w:color w:val="000000"/>
              </w:rPr>
              <w:t>%</w:t>
            </w:r>
          </w:p>
        </w:tc>
        <w:tc>
          <w:tcPr>
            <w:tcW w:w="1118" w:type="dxa"/>
            <w:tcMar>
              <w:right w:w="85" w:type="dxa"/>
            </w:tcMar>
            <w:vAlign w:val="center"/>
          </w:tcPr>
          <w:p w:rsidR="00476BAA" w:rsidRPr="00476BAA" w:rsidRDefault="00476BAA" w:rsidP="00C3547A">
            <w:pPr>
              <w:pStyle w:val="TableText"/>
              <w:keepNext/>
              <w:jc w:val="right"/>
              <w:rPr>
                <w:rFonts w:cs="Arial"/>
                <w:szCs w:val="18"/>
              </w:rPr>
            </w:pPr>
            <w:r w:rsidRPr="000B315F">
              <w:rPr>
                <w:color w:val="000000"/>
              </w:rPr>
              <w:t>60</w:t>
            </w:r>
          </w:p>
        </w:tc>
        <w:tc>
          <w:tcPr>
            <w:tcW w:w="1134" w:type="dxa"/>
            <w:shd w:val="clear" w:color="auto" w:fill="D9D9D9" w:themeFill="background1" w:themeFillShade="D9"/>
            <w:tcMar>
              <w:right w:w="85" w:type="dxa"/>
            </w:tcMar>
            <w:vAlign w:val="center"/>
          </w:tcPr>
          <w:p w:rsidR="00476BAA" w:rsidRPr="00476BAA" w:rsidRDefault="00476BAA" w:rsidP="001B47AA">
            <w:pPr>
              <w:pStyle w:val="TableText"/>
              <w:keepNext/>
              <w:jc w:val="right"/>
              <w:rPr>
                <w:rFonts w:cs="Arial"/>
                <w:szCs w:val="18"/>
              </w:rPr>
            </w:pPr>
            <w:r w:rsidRPr="00476BAA">
              <w:rPr>
                <w:rFonts w:cs="Arial"/>
                <w:color w:val="000000"/>
                <w:szCs w:val="18"/>
              </w:rPr>
              <w:t>68</w:t>
            </w:r>
            <w:r w:rsidRPr="000B315F">
              <w:rPr>
                <w:color w:val="000000"/>
              </w:rPr>
              <w:t>%</w:t>
            </w:r>
          </w:p>
        </w:tc>
      </w:tr>
      <w:tr w:rsidR="00476BAA" w:rsidRPr="00A54D83" w:rsidTr="00634F3D">
        <w:trPr>
          <w:gridAfter w:val="1"/>
          <w:wAfter w:w="70" w:type="dxa"/>
        </w:trPr>
        <w:tc>
          <w:tcPr>
            <w:tcW w:w="1701" w:type="dxa"/>
            <w:shd w:val="clear" w:color="auto" w:fill="auto"/>
            <w:vAlign w:val="center"/>
          </w:tcPr>
          <w:p w:rsidR="00476BAA" w:rsidRPr="00A54D83" w:rsidRDefault="00476BAA" w:rsidP="00C3547A">
            <w:pPr>
              <w:pStyle w:val="TableText"/>
              <w:keepNext/>
              <w:rPr>
                <w:rFonts w:cs="Arial"/>
              </w:rPr>
            </w:pPr>
            <w:r w:rsidRPr="00A54D83">
              <w:rPr>
                <w:rFonts w:cs="Arial"/>
              </w:rPr>
              <w:t>WA</w:t>
            </w:r>
            <w:r w:rsidRPr="00A54D83">
              <w:rPr>
                <w:rFonts w:cs="Arial"/>
                <w:vertAlign w:val="superscript"/>
              </w:rPr>
              <w:t>7</w:t>
            </w:r>
          </w:p>
        </w:tc>
        <w:tc>
          <w:tcPr>
            <w:tcW w:w="709" w:type="dxa"/>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2,670</w:t>
            </w:r>
          </w:p>
        </w:tc>
        <w:tc>
          <w:tcPr>
            <w:tcW w:w="1276" w:type="dxa"/>
            <w:gridSpan w:val="2"/>
            <w:shd w:val="clear" w:color="auto" w:fill="auto"/>
            <w:tcMar>
              <w:right w:w="85" w:type="dxa"/>
            </w:tcMar>
            <w:vAlign w:val="center"/>
          </w:tcPr>
          <w:p w:rsidR="00476BAA" w:rsidRPr="00476BAA" w:rsidRDefault="00476BAA" w:rsidP="0064686A">
            <w:pPr>
              <w:pStyle w:val="TableText"/>
              <w:keepNext/>
              <w:jc w:val="right"/>
              <w:rPr>
                <w:rFonts w:cs="Arial"/>
                <w:szCs w:val="18"/>
              </w:rPr>
            </w:pPr>
            <w:r w:rsidRPr="000B315F">
              <w:rPr>
                <w:color w:val="000000"/>
              </w:rPr>
              <w:t>1,</w:t>
            </w:r>
            <w:r w:rsidRPr="00476BAA">
              <w:rPr>
                <w:rFonts w:cs="Arial"/>
                <w:color w:val="000000"/>
                <w:szCs w:val="18"/>
              </w:rPr>
              <w:t>830</w:t>
            </w:r>
          </w:p>
        </w:tc>
        <w:tc>
          <w:tcPr>
            <w:tcW w:w="992" w:type="dxa"/>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830</w:t>
            </w:r>
          </w:p>
        </w:tc>
        <w:tc>
          <w:tcPr>
            <w:tcW w:w="1134" w:type="dxa"/>
            <w:shd w:val="clear" w:color="auto" w:fill="D9D9D9" w:themeFill="background1" w:themeFillShade="D9"/>
            <w:tcMar>
              <w:right w:w="85" w:type="dxa"/>
            </w:tcMar>
            <w:vAlign w:val="center"/>
          </w:tcPr>
          <w:p w:rsidR="00476BAA" w:rsidRPr="00476BAA" w:rsidRDefault="00476BAA" w:rsidP="00C3547A">
            <w:pPr>
              <w:pStyle w:val="TableText"/>
              <w:keepNext/>
              <w:jc w:val="right"/>
              <w:rPr>
                <w:rFonts w:cs="Arial"/>
                <w:szCs w:val="18"/>
              </w:rPr>
            </w:pPr>
            <w:r w:rsidRPr="000B315F">
              <w:rPr>
                <w:color w:val="000000"/>
              </w:rPr>
              <w:t>31%</w:t>
            </w:r>
          </w:p>
        </w:tc>
        <w:tc>
          <w:tcPr>
            <w:tcW w:w="1118" w:type="dxa"/>
            <w:tcMar>
              <w:right w:w="85" w:type="dxa"/>
            </w:tcMar>
            <w:vAlign w:val="center"/>
          </w:tcPr>
          <w:p w:rsidR="00476BAA" w:rsidRPr="00476BAA" w:rsidRDefault="00476BAA" w:rsidP="00C3547A">
            <w:pPr>
              <w:pStyle w:val="TableText"/>
              <w:keepNext/>
              <w:jc w:val="right"/>
              <w:rPr>
                <w:rFonts w:cs="Arial"/>
                <w:szCs w:val="18"/>
              </w:rPr>
            </w:pPr>
            <w:r w:rsidRPr="000B315F">
              <w:rPr>
                <w:color w:val="000000"/>
              </w:rPr>
              <w:t>10</w:t>
            </w:r>
          </w:p>
        </w:tc>
        <w:tc>
          <w:tcPr>
            <w:tcW w:w="1134" w:type="dxa"/>
            <w:shd w:val="clear" w:color="auto" w:fill="D9D9D9" w:themeFill="background1" w:themeFillShade="D9"/>
            <w:tcMar>
              <w:right w:w="85" w:type="dxa"/>
            </w:tcMar>
            <w:vAlign w:val="center"/>
          </w:tcPr>
          <w:p w:rsidR="00476BAA" w:rsidRPr="00476BAA" w:rsidRDefault="00476BAA" w:rsidP="00C3547A">
            <w:pPr>
              <w:pStyle w:val="TableText"/>
              <w:keepNext/>
              <w:jc w:val="right"/>
              <w:rPr>
                <w:rFonts w:cs="Arial"/>
                <w:szCs w:val="18"/>
              </w:rPr>
            </w:pPr>
            <w:r w:rsidRPr="000B315F">
              <w:rPr>
                <w:color w:val="000000"/>
              </w:rPr>
              <w:t>32%</w:t>
            </w:r>
          </w:p>
        </w:tc>
      </w:tr>
      <w:tr w:rsidR="00476BAA" w:rsidRPr="00A54D83" w:rsidTr="00634F3D">
        <w:trPr>
          <w:gridAfter w:val="1"/>
          <w:wAfter w:w="70" w:type="dxa"/>
        </w:trPr>
        <w:tc>
          <w:tcPr>
            <w:tcW w:w="1701" w:type="dxa"/>
            <w:shd w:val="clear" w:color="auto" w:fill="auto"/>
            <w:vAlign w:val="center"/>
          </w:tcPr>
          <w:p w:rsidR="00476BAA" w:rsidRPr="00A54D83" w:rsidRDefault="00476BAA" w:rsidP="00C3547A">
            <w:pPr>
              <w:pStyle w:val="TableText"/>
              <w:keepNext/>
              <w:rPr>
                <w:rFonts w:cs="Arial"/>
              </w:rPr>
            </w:pPr>
            <w:r w:rsidRPr="00A54D83">
              <w:rPr>
                <w:rFonts w:cs="Arial"/>
              </w:rPr>
              <w:t>Tas</w:t>
            </w:r>
          </w:p>
        </w:tc>
        <w:tc>
          <w:tcPr>
            <w:tcW w:w="709" w:type="dxa"/>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1,060</w:t>
            </w:r>
          </w:p>
        </w:tc>
        <w:tc>
          <w:tcPr>
            <w:tcW w:w="1276" w:type="dxa"/>
            <w:gridSpan w:val="2"/>
            <w:shd w:val="clear" w:color="auto" w:fill="auto"/>
            <w:tcMar>
              <w:right w:w="85" w:type="dxa"/>
            </w:tcMar>
            <w:vAlign w:val="center"/>
          </w:tcPr>
          <w:p w:rsidR="00476BAA" w:rsidRPr="00476BAA" w:rsidRDefault="00476BAA" w:rsidP="0064686A">
            <w:pPr>
              <w:pStyle w:val="TableText"/>
              <w:keepNext/>
              <w:jc w:val="right"/>
              <w:rPr>
                <w:rFonts w:cs="Arial"/>
                <w:szCs w:val="18"/>
              </w:rPr>
            </w:pPr>
            <w:r w:rsidRPr="00476BAA">
              <w:rPr>
                <w:rFonts w:cs="Arial"/>
                <w:color w:val="000000"/>
                <w:szCs w:val="18"/>
              </w:rPr>
              <w:t>890</w:t>
            </w:r>
          </w:p>
        </w:tc>
        <w:tc>
          <w:tcPr>
            <w:tcW w:w="992" w:type="dxa"/>
            <w:shd w:val="clear" w:color="auto" w:fill="auto"/>
            <w:tcMar>
              <w:right w:w="85" w:type="dxa"/>
            </w:tcMar>
            <w:vAlign w:val="center"/>
          </w:tcPr>
          <w:p w:rsidR="00476BAA" w:rsidRPr="00476BAA" w:rsidRDefault="00476BAA" w:rsidP="00C3547A">
            <w:pPr>
              <w:pStyle w:val="TableText"/>
              <w:keepNext/>
              <w:jc w:val="right"/>
              <w:rPr>
                <w:rFonts w:cs="Arial"/>
                <w:szCs w:val="18"/>
              </w:rPr>
            </w:pPr>
            <w:r w:rsidRPr="00476BAA">
              <w:rPr>
                <w:rFonts w:cs="Arial"/>
                <w:color w:val="000000"/>
                <w:szCs w:val="18"/>
              </w:rPr>
              <w:t>150</w:t>
            </w:r>
          </w:p>
        </w:tc>
        <w:tc>
          <w:tcPr>
            <w:tcW w:w="1134" w:type="dxa"/>
            <w:shd w:val="clear" w:color="auto" w:fill="D9D9D9" w:themeFill="background1" w:themeFillShade="D9"/>
            <w:tcMar>
              <w:right w:w="85" w:type="dxa"/>
            </w:tcMar>
            <w:vAlign w:val="center"/>
          </w:tcPr>
          <w:p w:rsidR="00476BAA" w:rsidRPr="00476BAA" w:rsidRDefault="00476BAA" w:rsidP="00C3547A">
            <w:pPr>
              <w:pStyle w:val="TableText"/>
              <w:keepNext/>
              <w:jc w:val="right"/>
              <w:rPr>
                <w:rFonts w:cs="Arial"/>
                <w:szCs w:val="18"/>
              </w:rPr>
            </w:pPr>
            <w:r w:rsidRPr="00476BAA">
              <w:rPr>
                <w:rFonts w:cs="Arial"/>
                <w:color w:val="000000"/>
                <w:szCs w:val="18"/>
              </w:rPr>
              <w:t>15</w:t>
            </w:r>
            <w:r w:rsidRPr="000B315F">
              <w:rPr>
                <w:color w:val="000000"/>
              </w:rPr>
              <w:t>%</w:t>
            </w:r>
          </w:p>
        </w:tc>
        <w:tc>
          <w:tcPr>
            <w:tcW w:w="1118" w:type="dxa"/>
            <w:tcMar>
              <w:right w:w="85" w:type="dxa"/>
            </w:tcMar>
            <w:vAlign w:val="center"/>
          </w:tcPr>
          <w:p w:rsidR="00476BAA" w:rsidRPr="00476BAA" w:rsidRDefault="00476BAA" w:rsidP="00C3547A">
            <w:pPr>
              <w:pStyle w:val="TableText"/>
              <w:keepNext/>
              <w:jc w:val="right"/>
              <w:rPr>
                <w:rFonts w:cs="Arial"/>
                <w:szCs w:val="18"/>
              </w:rPr>
            </w:pPr>
            <w:r w:rsidRPr="000B315F">
              <w:rPr>
                <w:color w:val="000000"/>
              </w:rPr>
              <w:t>20</w:t>
            </w:r>
          </w:p>
        </w:tc>
        <w:tc>
          <w:tcPr>
            <w:tcW w:w="1134" w:type="dxa"/>
            <w:shd w:val="clear" w:color="auto" w:fill="D9D9D9" w:themeFill="background1" w:themeFillShade="D9"/>
            <w:tcMar>
              <w:right w:w="85" w:type="dxa"/>
            </w:tcMar>
            <w:vAlign w:val="center"/>
          </w:tcPr>
          <w:p w:rsidR="00476BAA" w:rsidRPr="00476BAA" w:rsidRDefault="00476BAA" w:rsidP="00C3547A">
            <w:pPr>
              <w:pStyle w:val="TableText"/>
              <w:keepNext/>
              <w:jc w:val="right"/>
              <w:rPr>
                <w:rFonts w:cs="Arial"/>
                <w:szCs w:val="18"/>
              </w:rPr>
            </w:pPr>
            <w:r w:rsidRPr="00476BAA">
              <w:rPr>
                <w:rFonts w:cs="Arial"/>
                <w:color w:val="000000"/>
                <w:szCs w:val="18"/>
              </w:rPr>
              <w:t>16</w:t>
            </w:r>
            <w:r w:rsidRPr="000B315F">
              <w:rPr>
                <w:color w:val="000000"/>
              </w:rPr>
              <w:t>%</w:t>
            </w:r>
          </w:p>
        </w:tc>
      </w:tr>
      <w:tr w:rsidR="00476BAA" w:rsidRPr="00A54D83" w:rsidTr="00634F3D">
        <w:trPr>
          <w:gridAfter w:val="1"/>
          <w:wAfter w:w="70" w:type="dxa"/>
        </w:trPr>
        <w:tc>
          <w:tcPr>
            <w:tcW w:w="1701" w:type="dxa"/>
            <w:shd w:val="clear" w:color="auto" w:fill="auto"/>
            <w:vAlign w:val="center"/>
          </w:tcPr>
          <w:p w:rsidR="00476BAA" w:rsidRPr="00A54D83" w:rsidRDefault="00476BAA" w:rsidP="00C3547A">
            <w:pPr>
              <w:pStyle w:val="TableText"/>
              <w:keepNext/>
              <w:rPr>
                <w:rFonts w:cs="Arial"/>
              </w:rPr>
            </w:pPr>
            <w:r w:rsidRPr="00A54D83">
              <w:rPr>
                <w:rFonts w:cs="Arial"/>
              </w:rPr>
              <w:t>ACT</w:t>
            </w:r>
          </w:p>
        </w:tc>
        <w:tc>
          <w:tcPr>
            <w:tcW w:w="709" w:type="dxa"/>
            <w:shd w:val="clear" w:color="auto" w:fill="auto"/>
            <w:tcMar>
              <w:right w:w="85" w:type="dxa"/>
            </w:tcMar>
            <w:vAlign w:val="center"/>
          </w:tcPr>
          <w:p w:rsidR="00476BAA" w:rsidRPr="00476BAA" w:rsidRDefault="00476BAA" w:rsidP="0064686A">
            <w:pPr>
              <w:pStyle w:val="TableText"/>
              <w:keepNext/>
              <w:jc w:val="right"/>
              <w:rPr>
                <w:rFonts w:cs="Arial"/>
                <w:szCs w:val="18"/>
              </w:rPr>
            </w:pPr>
            <w:r w:rsidRPr="000B315F">
              <w:rPr>
                <w:color w:val="000000"/>
              </w:rPr>
              <w:t>2,</w:t>
            </w:r>
            <w:r w:rsidRPr="00476BAA">
              <w:rPr>
                <w:rFonts w:cs="Arial"/>
                <w:color w:val="000000"/>
                <w:szCs w:val="18"/>
              </w:rPr>
              <w:t>260</w:t>
            </w:r>
          </w:p>
        </w:tc>
        <w:tc>
          <w:tcPr>
            <w:tcW w:w="1276" w:type="dxa"/>
            <w:gridSpan w:val="2"/>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580</w:t>
            </w:r>
          </w:p>
        </w:tc>
        <w:tc>
          <w:tcPr>
            <w:tcW w:w="992" w:type="dxa"/>
            <w:shd w:val="clear" w:color="auto" w:fill="auto"/>
            <w:tcMar>
              <w:right w:w="85" w:type="dxa"/>
            </w:tcMar>
            <w:vAlign w:val="center"/>
          </w:tcPr>
          <w:p w:rsidR="00476BAA" w:rsidRPr="00476BAA" w:rsidRDefault="00476BAA" w:rsidP="0064686A">
            <w:pPr>
              <w:pStyle w:val="TableText"/>
              <w:keepNext/>
              <w:jc w:val="right"/>
              <w:rPr>
                <w:rFonts w:cs="Arial"/>
                <w:szCs w:val="18"/>
              </w:rPr>
            </w:pPr>
            <w:r w:rsidRPr="000B315F">
              <w:rPr>
                <w:color w:val="000000"/>
              </w:rPr>
              <w:t>1,</w:t>
            </w:r>
            <w:r w:rsidRPr="00476BAA">
              <w:rPr>
                <w:rFonts w:cs="Arial"/>
                <w:color w:val="000000"/>
                <w:szCs w:val="18"/>
              </w:rPr>
              <w:t>650</w:t>
            </w:r>
          </w:p>
        </w:tc>
        <w:tc>
          <w:tcPr>
            <w:tcW w:w="1134" w:type="dxa"/>
            <w:shd w:val="clear" w:color="auto" w:fill="D9D9D9" w:themeFill="background1" w:themeFillShade="D9"/>
            <w:tcMar>
              <w:right w:w="85" w:type="dxa"/>
            </w:tcMar>
            <w:vAlign w:val="center"/>
          </w:tcPr>
          <w:p w:rsidR="00476BAA" w:rsidRPr="00476BAA" w:rsidRDefault="00476BAA" w:rsidP="0064686A">
            <w:pPr>
              <w:pStyle w:val="TableText"/>
              <w:keepNext/>
              <w:jc w:val="right"/>
              <w:rPr>
                <w:rFonts w:cs="Arial"/>
                <w:szCs w:val="18"/>
              </w:rPr>
            </w:pPr>
            <w:r w:rsidRPr="00476BAA">
              <w:rPr>
                <w:rFonts w:cs="Arial"/>
                <w:color w:val="000000"/>
                <w:szCs w:val="18"/>
              </w:rPr>
              <w:t>74</w:t>
            </w:r>
            <w:r w:rsidRPr="000B315F">
              <w:rPr>
                <w:color w:val="000000"/>
              </w:rPr>
              <w:t>%</w:t>
            </w:r>
          </w:p>
        </w:tc>
        <w:tc>
          <w:tcPr>
            <w:tcW w:w="1118" w:type="dxa"/>
            <w:tcMar>
              <w:right w:w="85" w:type="dxa"/>
            </w:tcMar>
            <w:vAlign w:val="center"/>
          </w:tcPr>
          <w:p w:rsidR="00476BAA" w:rsidRPr="00476BAA" w:rsidRDefault="00476BAA" w:rsidP="00C3547A">
            <w:pPr>
              <w:pStyle w:val="TableText"/>
              <w:keepNext/>
              <w:jc w:val="right"/>
              <w:rPr>
                <w:rFonts w:cs="Arial"/>
                <w:szCs w:val="18"/>
              </w:rPr>
            </w:pPr>
            <w:r w:rsidRPr="000B315F">
              <w:rPr>
                <w:color w:val="000000"/>
              </w:rPr>
              <w:t>30</w:t>
            </w:r>
          </w:p>
        </w:tc>
        <w:tc>
          <w:tcPr>
            <w:tcW w:w="1134" w:type="dxa"/>
            <w:shd w:val="clear" w:color="auto" w:fill="D9D9D9" w:themeFill="background1" w:themeFillShade="D9"/>
            <w:tcMar>
              <w:right w:w="85" w:type="dxa"/>
            </w:tcMar>
            <w:vAlign w:val="center"/>
          </w:tcPr>
          <w:p w:rsidR="00476BAA" w:rsidRPr="00476BAA" w:rsidRDefault="00476BAA" w:rsidP="0064686A">
            <w:pPr>
              <w:pStyle w:val="TableText"/>
              <w:keepNext/>
              <w:jc w:val="right"/>
              <w:rPr>
                <w:rFonts w:cs="Arial"/>
                <w:szCs w:val="18"/>
              </w:rPr>
            </w:pPr>
            <w:r w:rsidRPr="00476BAA">
              <w:rPr>
                <w:rFonts w:cs="Arial"/>
                <w:color w:val="000000"/>
                <w:szCs w:val="18"/>
              </w:rPr>
              <w:t>74</w:t>
            </w:r>
            <w:r w:rsidRPr="000B315F">
              <w:rPr>
                <w:color w:val="000000"/>
              </w:rPr>
              <w:t>%</w:t>
            </w:r>
          </w:p>
        </w:tc>
      </w:tr>
      <w:tr w:rsidR="00476BAA" w:rsidRPr="00A54D83" w:rsidTr="00634F3D">
        <w:trPr>
          <w:gridAfter w:val="1"/>
          <w:wAfter w:w="70" w:type="dxa"/>
        </w:trPr>
        <w:tc>
          <w:tcPr>
            <w:tcW w:w="1701" w:type="dxa"/>
            <w:tcBorders>
              <w:bottom w:val="single" w:sz="4" w:space="0" w:color="808080"/>
            </w:tcBorders>
            <w:shd w:val="clear" w:color="auto" w:fill="auto"/>
            <w:vAlign w:val="center"/>
          </w:tcPr>
          <w:p w:rsidR="00476BAA" w:rsidRPr="00A54D83" w:rsidRDefault="00476BAA" w:rsidP="00C3547A">
            <w:pPr>
              <w:pStyle w:val="TableText"/>
              <w:keepNext/>
              <w:rPr>
                <w:rFonts w:cs="Arial"/>
              </w:rPr>
            </w:pPr>
            <w:r w:rsidRPr="00A54D83">
              <w:rPr>
                <w:rFonts w:cs="Arial"/>
              </w:rPr>
              <w:t>NT</w:t>
            </w:r>
            <w:r w:rsidRPr="00A54D83">
              <w:rPr>
                <w:rFonts w:cs="Arial"/>
                <w:vertAlign w:val="superscript"/>
              </w:rPr>
              <w:t>7</w:t>
            </w:r>
          </w:p>
        </w:tc>
        <w:tc>
          <w:tcPr>
            <w:tcW w:w="709" w:type="dxa"/>
            <w:tcBorders>
              <w:bottom w:val="single" w:sz="4" w:space="0" w:color="808080"/>
            </w:tcBorders>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1,690</w:t>
            </w:r>
          </w:p>
        </w:tc>
        <w:tc>
          <w:tcPr>
            <w:tcW w:w="1276" w:type="dxa"/>
            <w:gridSpan w:val="2"/>
            <w:tcBorders>
              <w:bottom w:val="single" w:sz="4" w:space="0" w:color="808080"/>
            </w:tcBorders>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1,610</w:t>
            </w:r>
          </w:p>
        </w:tc>
        <w:tc>
          <w:tcPr>
            <w:tcW w:w="992" w:type="dxa"/>
            <w:tcBorders>
              <w:bottom w:val="single" w:sz="4" w:space="0" w:color="808080"/>
            </w:tcBorders>
            <w:shd w:val="clear" w:color="auto" w:fill="auto"/>
            <w:tcMar>
              <w:right w:w="85" w:type="dxa"/>
            </w:tcMar>
            <w:vAlign w:val="center"/>
          </w:tcPr>
          <w:p w:rsidR="00476BAA" w:rsidRPr="00476BAA" w:rsidRDefault="00476BAA" w:rsidP="00C3547A">
            <w:pPr>
              <w:pStyle w:val="TableText"/>
              <w:keepNext/>
              <w:jc w:val="right"/>
              <w:rPr>
                <w:rFonts w:cs="Arial"/>
                <w:szCs w:val="18"/>
              </w:rPr>
            </w:pPr>
            <w:r w:rsidRPr="000B315F">
              <w:rPr>
                <w:color w:val="000000"/>
              </w:rPr>
              <w:t>70</w:t>
            </w:r>
          </w:p>
        </w:tc>
        <w:tc>
          <w:tcPr>
            <w:tcW w:w="1134" w:type="dxa"/>
            <w:tcBorders>
              <w:bottom w:val="single" w:sz="4" w:space="0" w:color="808080"/>
            </w:tcBorders>
            <w:shd w:val="clear" w:color="auto" w:fill="D9D9D9" w:themeFill="background1" w:themeFillShade="D9"/>
            <w:tcMar>
              <w:right w:w="85" w:type="dxa"/>
            </w:tcMar>
            <w:vAlign w:val="center"/>
          </w:tcPr>
          <w:p w:rsidR="00476BAA" w:rsidRPr="00476BAA" w:rsidRDefault="00476BAA" w:rsidP="00C3547A">
            <w:pPr>
              <w:pStyle w:val="TableText"/>
              <w:keepNext/>
              <w:jc w:val="right"/>
              <w:rPr>
                <w:rFonts w:cs="Arial"/>
                <w:szCs w:val="18"/>
              </w:rPr>
            </w:pPr>
            <w:r w:rsidRPr="000B315F">
              <w:rPr>
                <w:color w:val="000000"/>
              </w:rPr>
              <w:t>4%</w:t>
            </w:r>
          </w:p>
        </w:tc>
        <w:tc>
          <w:tcPr>
            <w:tcW w:w="1118" w:type="dxa"/>
            <w:tcBorders>
              <w:bottom w:val="single" w:sz="4" w:space="0" w:color="808080"/>
            </w:tcBorders>
            <w:tcMar>
              <w:right w:w="85" w:type="dxa"/>
            </w:tcMar>
            <w:vAlign w:val="center"/>
          </w:tcPr>
          <w:p w:rsidR="00476BAA" w:rsidRPr="00476BAA" w:rsidRDefault="00476BAA" w:rsidP="00C3547A">
            <w:pPr>
              <w:pStyle w:val="TableText"/>
              <w:keepNext/>
              <w:jc w:val="right"/>
              <w:rPr>
                <w:rFonts w:cs="Arial"/>
                <w:szCs w:val="18"/>
              </w:rPr>
            </w:pPr>
            <w:r w:rsidRPr="000B315F">
              <w:rPr>
                <w:color w:val="000000"/>
              </w:rPr>
              <w:t>10</w:t>
            </w:r>
          </w:p>
        </w:tc>
        <w:tc>
          <w:tcPr>
            <w:tcW w:w="1134" w:type="dxa"/>
            <w:tcBorders>
              <w:bottom w:val="single" w:sz="4" w:space="0" w:color="808080"/>
            </w:tcBorders>
            <w:shd w:val="clear" w:color="auto" w:fill="D9D9D9" w:themeFill="background1" w:themeFillShade="D9"/>
            <w:tcMar>
              <w:right w:w="85" w:type="dxa"/>
            </w:tcMar>
            <w:vAlign w:val="center"/>
          </w:tcPr>
          <w:p w:rsidR="00476BAA" w:rsidRPr="00476BAA" w:rsidRDefault="00476BAA" w:rsidP="00C3547A">
            <w:pPr>
              <w:pStyle w:val="TableText"/>
              <w:keepNext/>
              <w:jc w:val="right"/>
              <w:rPr>
                <w:rFonts w:cs="Arial"/>
                <w:szCs w:val="18"/>
              </w:rPr>
            </w:pPr>
            <w:r w:rsidRPr="000B315F">
              <w:rPr>
                <w:color w:val="000000"/>
              </w:rPr>
              <w:t>5%</w:t>
            </w:r>
          </w:p>
        </w:tc>
      </w:tr>
      <w:tr w:rsidR="00476BAA" w:rsidRPr="00A54D83" w:rsidTr="00634F3D">
        <w:trPr>
          <w:gridAfter w:val="1"/>
          <w:wAfter w:w="70" w:type="dxa"/>
        </w:trPr>
        <w:tc>
          <w:tcPr>
            <w:tcW w:w="1701" w:type="dxa"/>
            <w:tcBorders>
              <w:top w:val="single" w:sz="4" w:space="0" w:color="808080"/>
              <w:bottom w:val="single" w:sz="18" w:space="0" w:color="7F7F7F" w:themeColor="text1" w:themeTint="80"/>
            </w:tcBorders>
            <w:shd w:val="clear" w:color="auto" w:fill="auto"/>
            <w:vAlign w:val="center"/>
          </w:tcPr>
          <w:p w:rsidR="00476BAA" w:rsidRPr="00A54D83" w:rsidRDefault="00476BAA" w:rsidP="00634F3D">
            <w:pPr>
              <w:pStyle w:val="TableText"/>
              <w:keepNext/>
              <w:rPr>
                <w:rFonts w:cs="Arial"/>
                <w:b/>
              </w:rPr>
            </w:pPr>
            <w:r w:rsidRPr="00A54D83">
              <w:rPr>
                <w:rFonts w:cs="Arial"/>
                <w:b/>
              </w:rPr>
              <w:t>National average</w:t>
            </w:r>
            <w:r w:rsidRPr="00A54D83">
              <w:rPr>
                <w:rFonts w:cs="Arial"/>
                <w:b/>
                <w:vertAlign w:val="superscript"/>
              </w:rPr>
              <w:t>5,6</w:t>
            </w:r>
          </w:p>
        </w:tc>
        <w:tc>
          <w:tcPr>
            <w:tcW w:w="709" w:type="dxa"/>
            <w:tcBorders>
              <w:top w:val="single" w:sz="4" w:space="0" w:color="808080"/>
              <w:bottom w:val="single" w:sz="18" w:space="0" w:color="7F7F7F" w:themeColor="text1" w:themeTint="80"/>
            </w:tcBorders>
            <w:shd w:val="clear" w:color="auto" w:fill="auto"/>
            <w:tcMar>
              <w:right w:w="85" w:type="dxa"/>
            </w:tcMar>
            <w:vAlign w:val="center"/>
          </w:tcPr>
          <w:p w:rsidR="00476BAA" w:rsidRPr="00476BAA" w:rsidRDefault="00476BAA" w:rsidP="00C3547A">
            <w:pPr>
              <w:pStyle w:val="TableText"/>
              <w:keepNext/>
              <w:jc w:val="right"/>
              <w:rPr>
                <w:rFonts w:cs="Arial"/>
                <w:b/>
                <w:szCs w:val="18"/>
                <w:highlight w:val="yellow"/>
              </w:rPr>
            </w:pPr>
            <w:r w:rsidRPr="000B315F">
              <w:rPr>
                <w:color w:val="000000"/>
              </w:rPr>
              <w:t>2,140</w:t>
            </w:r>
          </w:p>
        </w:tc>
        <w:tc>
          <w:tcPr>
            <w:tcW w:w="1276" w:type="dxa"/>
            <w:gridSpan w:val="2"/>
            <w:tcBorders>
              <w:top w:val="single" w:sz="4" w:space="0" w:color="808080"/>
              <w:bottom w:val="single" w:sz="18" w:space="0" w:color="7F7F7F" w:themeColor="text1" w:themeTint="80"/>
            </w:tcBorders>
            <w:shd w:val="clear" w:color="auto" w:fill="auto"/>
            <w:tcMar>
              <w:right w:w="85" w:type="dxa"/>
            </w:tcMar>
            <w:vAlign w:val="center"/>
          </w:tcPr>
          <w:p w:rsidR="00476BAA" w:rsidRPr="00476BAA" w:rsidRDefault="00476BAA" w:rsidP="00C3547A">
            <w:pPr>
              <w:pStyle w:val="TableText"/>
              <w:keepNext/>
              <w:jc w:val="right"/>
              <w:rPr>
                <w:rFonts w:cs="Arial"/>
                <w:b/>
                <w:szCs w:val="18"/>
              </w:rPr>
            </w:pPr>
            <w:r w:rsidRPr="000B315F">
              <w:rPr>
                <w:color w:val="000000"/>
              </w:rPr>
              <w:t>1,030</w:t>
            </w:r>
          </w:p>
        </w:tc>
        <w:tc>
          <w:tcPr>
            <w:tcW w:w="992" w:type="dxa"/>
            <w:tcBorders>
              <w:top w:val="single" w:sz="4" w:space="0" w:color="808080"/>
              <w:bottom w:val="single" w:sz="18" w:space="0" w:color="7F7F7F" w:themeColor="text1" w:themeTint="80"/>
            </w:tcBorders>
            <w:shd w:val="clear" w:color="auto" w:fill="auto"/>
            <w:tcMar>
              <w:right w:w="85" w:type="dxa"/>
            </w:tcMar>
            <w:vAlign w:val="center"/>
          </w:tcPr>
          <w:p w:rsidR="00476BAA" w:rsidRPr="00476BAA" w:rsidRDefault="00476BAA" w:rsidP="0064686A">
            <w:pPr>
              <w:pStyle w:val="TableText"/>
              <w:keepNext/>
              <w:jc w:val="right"/>
              <w:rPr>
                <w:rFonts w:cs="Arial"/>
                <w:b/>
                <w:szCs w:val="18"/>
              </w:rPr>
            </w:pPr>
            <w:r w:rsidRPr="000B315F">
              <w:rPr>
                <w:color w:val="000000"/>
              </w:rPr>
              <w:t>1,</w:t>
            </w:r>
            <w:r w:rsidRPr="00476BAA">
              <w:rPr>
                <w:rFonts w:cs="Arial"/>
                <w:color w:val="000000"/>
                <w:szCs w:val="18"/>
              </w:rPr>
              <w:t>090</w:t>
            </w:r>
          </w:p>
        </w:tc>
        <w:tc>
          <w:tcPr>
            <w:tcW w:w="1134" w:type="dxa"/>
            <w:tcBorders>
              <w:top w:val="single" w:sz="4" w:space="0" w:color="808080"/>
              <w:bottom w:val="single" w:sz="18" w:space="0" w:color="7F7F7F" w:themeColor="text1" w:themeTint="80"/>
            </w:tcBorders>
            <w:shd w:val="clear" w:color="auto" w:fill="D9D9D9" w:themeFill="background1" w:themeFillShade="D9"/>
            <w:tcMar>
              <w:right w:w="85" w:type="dxa"/>
            </w:tcMar>
            <w:vAlign w:val="center"/>
          </w:tcPr>
          <w:p w:rsidR="00476BAA" w:rsidRPr="00476BAA" w:rsidRDefault="00476BAA" w:rsidP="0064686A">
            <w:pPr>
              <w:pStyle w:val="TableText"/>
              <w:keepNext/>
              <w:jc w:val="right"/>
              <w:rPr>
                <w:rFonts w:cs="Arial"/>
                <w:szCs w:val="18"/>
              </w:rPr>
            </w:pPr>
            <w:r w:rsidRPr="00476BAA">
              <w:rPr>
                <w:rFonts w:cs="Arial"/>
                <w:color w:val="000000"/>
                <w:szCs w:val="18"/>
              </w:rPr>
              <w:t>51</w:t>
            </w:r>
            <w:r w:rsidRPr="000B315F">
              <w:rPr>
                <w:color w:val="000000"/>
              </w:rPr>
              <w:t>%</w:t>
            </w:r>
          </w:p>
        </w:tc>
        <w:tc>
          <w:tcPr>
            <w:tcW w:w="1118" w:type="dxa"/>
            <w:tcBorders>
              <w:top w:val="single" w:sz="4" w:space="0" w:color="808080"/>
              <w:bottom w:val="single" w:sz="18" w:space="0" w:color="7F7F7F" w:themeColor="text1" w:themeTint="80"/>
            </w:tcBorders>
            <w:tcMar>
              <w:right w:w="85" w:type="dxa"/>
            </w:tcMar>
            <w:vAlign w:val="center"/>
          </w:tcPr>
          <w:p w:rsidR="00476BAA" w:rsidRPr="00476BAA" w:rsidRDefault="00476BAA" w:rsidP="00C3547A">
            <w:pPr>
              <w:pStyle w:val="TableText"/>
              <w:keepNext/>
              <w:jc w:val="right"/>
              <w:rPr>
                <w:rFonts w:cs="Arial"/>
                <w:szCs w:val="18"/>
              </w:rPr>
            </w:pPr>
            <w:r w:rsidRPr="000B315F">
              <w:rPr>
                <w:color w:val="000000"/>
              </w:rPr>
              <w:t>20</w:t>
            </w:r>
          </w:p>
        </w:tc>
        <w:tc>
          <w:tcPr>
            <w:tcW w:w="1134" w:type="dxa"/>
            <w:tcBorders>
              <w:top w:val="single" w:sz="4" w:space="0" w:color="808080"/>
              <w:bottom w:val="single" w:sz="18" w:space="0" w:color="7F7F7F" w:themeColor="text1" w:themeTint="80"/>
            </w:tcBorders>
            <w:shd w:val="clear" w:color="auto" w:fill="D9D9D9" w:themeFill="background1" w:themeFillShade="D9"/>
            <w:tcMar>
              <w:right w:w="85" w:type="dxa"/>
            </w:tcMar>
            <w:vAlign w:val="center"/>
          </w:tcPr>
          <w:p w:rsidR="00476BAA" w:rsidRPr="00476BAA" w:rsidRDefault="00476BAA" w:rsidP="00C3547A">
            <w:pPr>
              <w:pStyle w:val="TableText"/>
              <w:keepNext/>
              <w:jc w:val="right"/>
              <w:rPr>
                <w:rFonts w:cs="Arial"/>
                <w:szCs w:val="18"/>
              </w:rPr>
            </w:pPr>
            <w:r w:rsidRPr="000B315F">
              <w:rPr>
                <w:color w:val="000000"/>
              </w:rPr>
              <w:t>52%</w:t>
            </w:r>
          </w:p>
        </w:tc>
      </w:tr>
      <w:tr w:rsidR="005D6ACF" w:rsidRPr="00A54D83" w:rsidTr="00BB6CFE">
        <w:tc>
          <w:tcPr>
            <w:tcW w:w="8134" w:type="dxa"/>
            <w:gridSpan w:val="9"/>
            <w:tcBorders>
              <w:top w:val="single" w:sz="18" w:space="0" w:color="808080" w:themeColor="background1" w:themeShade="80"/>
              <w:bottom w:val="single" w:sz="4" w:space="0" w:color="808080" w:themeColor="background1" w:themeShade="80"/>
            </w:tcBorders>
          </w:tcPr>
          <w:p w:rsidR="00CB76FB" w:rsidRPr="00A54D83" w:rsidRDefault="00CB76FB" w:rsidP="00CB76FB">
            <w:pPr>
              <w:pStyle w:val="TableText"/>
              <w:spacing w:line="240" w:lineRule="auto"/>
              <w:rPr>
                <w:rFonts w:cs="Arial"/>
                <w:sz w:val="16"/>
                <w:szCs w:val="16"/>
              </w:rPr>
            </w:pPr>
            <w:r w:rsidRPr="00A54D83">
              <w:rPr>
                <w:rFonts w:cs="Arial"/>
                <w:sz w:val="16"/>
                <w:szCs w:val="16"/>
              </w:rPr>
              <w:t>Notes:</w:t>
            </w:r>
          </w:p>
          <w:p w:rsidR="00CB76FB" w:rsidRPr="00A54D83" w:rsidRDefault="00CB76FB" w:rsidP="00CB76FB">
            <w:pPr>
              <w:pStyle w:val="TableText"/>
              <w:spacing w:line="240" w:lineRule="auto"/>
              <w:rPr>
                <w:rFonts w:cs="Arial"/>
                <w:sz w:val="16"/>
                <w:szCs w:val="16"/>
              </w:rPr>
            </w:pPr>
            <w:r w:rsidRPr="00A54D83">
              <w:rPr>
                <w:rFonts w:cs="Arial"/>
                <w:sz w:val="16"/>
                <w:szCs w:val="16"/>
              </w:rPr>
              <w:t xml:space="preserve">1. Population as at 30 June 2009, sourced from: ABS Release 3101-04 - </w:t>
            </w:r>
            <w:r w:rsidR="00DC4A9E" w:rsidRPr="00D578CA">
              <w:rPr>
                <w:rFonts w:cs="Arial"/>
                <w:i/>
                <w:sz w:val="16"/>
                <w:szCs w:val="16"/>
              </w:rPr>
              <w:t>Estimated Resident Population, States and Territories (Number)</w:t>
            </w:r>
            <w:r w:rsidRPr="00A54D83">
              <w:rPr>
                <w:rFonts w:cs="Arial"/>
                <w:sz w:val="16"/>
                <w:szCs w:val="16"/>
              </w:rPr>
              <w:t xml:space="preserve"> (June 2009), Australia.</w:t>
            </w:r>
          </w:p>
          <w:p w:rsidR="00CB76FB" w:rsidRPr="00A54D83" w:rsidRDefault="00CB76FB" w:rsidP="00CB76FB">
            <w:pPr>
              <w:pStyle w:val="TableText"/>
              <w:spacing w:line="240" w:lineRule="auto"/>
              <w:rPr>
                <w:rFonts w:cs="Arial"/>
                <w:sz w:val="16"/>
                <w:szCs w:val="16"/>
              </w:rPr>
            </w:pPr>
            <w:r w:rsidRPr="00A54D83">
              <w:rPr>
                <w:rFonts w:cs="Arial"/>
                <w:sz w:val="16"/>
                <w:szCs w:val="16"/>
              </w:rPr>
              <w:t>2. Assume waste generation = waste disposal(t) + waste recycling (t)+waste energy recovery(t)</w:t>
            </w:r>
            <w:r w:rsidR="00C31AAF">
              <w:rPr>
                <w:rFonts w:cs="Arial"/>
                <w:sz w:val="16"/>
                <w:szCs w:val="16"/>
              </w:rPr>
              <w:t>.</w:t>
            </w:r>
          </w:p>
          <w:p w:rsidR="00CB76FB" w:rsidRPr="00A54D83" w:rsidRDefault="00CB76FB" w:rsidP="00CB76FB">
            <w:pPr>
              <w:pStyle w:val="TableText"/>
              <w:spacing w:line="240" w:lineRule="auto"/>
              <w:rPr>
                <w:rFonts w:cs="Arial"/>
                <w:sz w:val="16"/>
                <w:szCs w:val="16"/>
              </w:rPr>
            </w:pPr>
            <w:r w:rsidRPr="00A54D83">
              <w:rPr>
                <w:rFonts w:cs="Arial"/>
                <w:sz w:val="16"/>
                <w:szCs w:val="16"/>
              </w:rPr>
              <w:t>3. Recycling rate = Recycling / waste generation.</w:t>
            </w:r>
          </w:p>
          <w:p w:rsidR="00CB76FB" w:rsidRPr="00A54D83" w:rsidRDefault="00CB76FB" w:rsidP="00CB76FB">
            <w:pPr>
              <w:pStyle w:val="TableText"/>
              <w:spacing w:line="240" w:lineRule="auto"/>
              <w:rPr>
                <w:rFonts w:cs="Arial"/>
                <w:sz w:val="16"/>
                <w:szCs w:val="16"/>
              </w:rPr>
            </w:pPr>
            <w:r w:rsidRPr="00A54D83">
              <w:rPr>
                <w:rFonts w:cs="Arial"/>
                <w:sz w:val="16"/>
                <w:szCs w:val="16"/>
              </w:rPr>
              <w:t>4. Recovery rate = (Recycling + Energy Recovery) / Waste generation.</w:t>
            </w:r>
          </w:p>
          <w:p w:rsidR="00416F0B" w:rsidRPr="00A54D83" w:rsidRDefault="00CB76FB">
            <w:pPr>
              <w:pStyle w:val="TableText"/>
              <w:spacing w:line="240" w:lineRule="auto"/>
              <w:rPr>
                <w:rFonts w:cs="Arial"/>
                <w:sz w:val="16"/>
                <w:szCs w:val="16"/>
              </w:rPr>
            </w:pPr>
            <w:r w:rsidRPr="00A54D83">
              <w:rPr>
                <w:rFonts w:cs="Arial"/>
                <w:sz w:val="16"/>
                <w:szCs w:val="16"/>
              </w:rPr>
              <w:t xml:space="preserve">5. These national averages present jurisdiction ‘sub-totals’ and hence </w:t>
            </w:r>
            <w:r w:rsidR="005338E9" w:rsidRPr="00A54D83">
              <w:rPr>
                <w:rFonts w:cs="Arial"/>
                <w:sz w:val="16"/>
                <w:szCs w:val="16"/>
                <w:u w:val="single"/>
              </w:rPr>
              <w:t>do not include fly ash</w:t>
            </w:r>
            <w:r w:rsidRPr="00A54D83">
              <w:rPr>
                <w:rFonts w:cs="Arial"/>
                <w:sz w:val="16"/>
                <w:szCs w:val="16"/>
              </w:rPr>
              <w:t>.</w:t>
            </w:r>
          </w:p>
          <w:p w:rsidR="005D6ACF" w:rsidRPr="00A54D83" w:rsidRDefault="00CB76FB" w:rsidP="00DF2DAD">
            <w:pPr>
              <w:pStyle w:val="TableText"/>
              <w:keepNext/>
              <w:spacing w:line="240" w:lineRule="auto"/>
              <w:rPr>
                <w:rFonts w:cs="Arial"/>
                <w:sz w:val="16"/>
                <w:szCs w:val="16"/>
              </w:rPr>
            </w:pPr>
            <w:r w:rsidRPr="00A54D83">
              <w:rPr>
                <w:rFonts w:cs="Arial"/>
                <w:sz w:val="16"/>
                <w:szCs w:val="16"/>
              </w:rPr>
              <w:t>6. All figures have been rounded. Minor discrepancies may occur between the stated totals and the sums of the component items, as totals are calculated using the component item values prior to rounding.</w:t>
            </w:r>
            <w:r w:rsidR="005D6ACF" w:rsidRPr="00A54D83">
              <w:rPr>
                <w:rFonts w:cs="Arial"/>
                <w:sz w:val="16"/>
                <w:szCs w:val="16"/>
              </w:rPr>
              <w:t xml:space="preserve"> </w:t>
            </w:r>
          </w:p>
          <w:p w:rsidR="005D6ACF" w:rsidRPr="00A54D83" w:rsidRDefault="00634F3D" w:rsidP="00CB76FB">
            <w:pPr>
              <w:pStyle w:val="TableText"/>
              <w:keepNext/>
              <w:spacing w:line="240" w:lineRule="auto"/>
              <w:rPr>
                <w:rFonts w:cs="Arial"/>
              </w:rPr>
            </w:pPr>
            <w:r w:rsidRPr="00A54D83">
              <w:rPr>
                <w:rFonts w:cs="Arial"/>
                <w:sz w:val="16"/>
                <w:szCs w:val="16"/>
              </w:rPr>
              <w:t>7.</w:t>
            </w:r>
            <w:r w:rsidR="005D6ACF" w:rsidRPr="00A54D83">
              <w:rPr>
                <w:rFonts w:cs="Arial"/>
                <w:sz w:val="16"/>
                <w:szCs w:val="16"/>
              </w:rPr>
              <w:t xml:space="preserve"> WA </w:t>
            </w:r>
            <w:r w:rsidR="00155327" w:rsidRPr="00A54D83">
              <w:rPr>
                <w:rFonts w:cs="Arial"/>
                <w:sz w:val="16"/>
                <w:szCs w:val="16"/>
              </w:rPr>
              <w:t>and NT d</w:t>
            </w:r>
            <w:r w:rsidR="005D6ACF" w:rsidRPr="00A54D83">
              <w:rPr>
                <w:rFonts w:cs="Arial"/>
                <w:sz w:val="16"/>
                <w:szCs w:val="16"/>
              </w:rPr>
              <w:t>isposal data has been extrapolated from metropolitan disposal data based on the ratio of the metropolitan to non-metropolitan.</w:t>
            </w:r>
          </w:p>
        </w:tc>
      </w:tr>
    </w:tbl>
    <w:p w:rsidR="008C2B07" w:rsidRPr="00C36C8F" w:rsidRDefault="008C2B07" w:rsidP="00DE05C7">
      <w:pPr>
        <w:pStyle w:val="ParaIndent"/>
      </w:pPr>
    </w:p>
    <w:p w:rsidR="00066D25" w:rsidRPr="00C36C8F" w:rsidRDefault="00D776C7" w:rsidP="000413DC">
      <w:pPr>
        <w:pStyle w:val="ParaIndent"/>
        <w:jc w:val="both"/>
      </w:pPr>
      <w:r w:rsidRPr="00C36C8F">
        <w:t>Recovery and recycling</w:t>
      </w:r>
      <w:r w:rsidR="00066D25" w:rsidRPr="00C36C8F">
        <w:t xml:space="preserve"> rates</w:t>
      </w:r>
      <w:r w:rsidR="00257F69" w:rsidRPr="00C36C8F">
        <w:t xml:space="preserve"> (net of residuals and contaminants)</w:t>
      </w:r>
      <w:r w:rsidR="00066D25" w:rsidRPr="00C36C8F">
        <w:t xml:space="preserve"> have been determined as a proportion of total generation. Recovery rates vary from recycling rates as they include energy recovery (related to material recovery) as well as material recovery. Also provided in this table are national average waste generation, recycling and recovery totals, per capita rates and percentage rates (for both recycling and total recovery).</w:t>
      </w:r>
    </w:p>
    <w:p w:rsidR="00DE05C7" w:rsidRPr="00C36C8F" w:rsidRDefault="008C2B07" w:rsidP="000413DC">
      <w:pPr>
        <w:pStyle w:val="ParaIndent"/>
        <w:jc w:val="both"/>
      </w:pPr>
      <w:r w:rsidRPr="00C36C8F">
        <w:t>Figure 4-6 presents this information on a per capita basis, with Figure 4-7 profiling waste generation over three reporting periods being 2002–03, 2006–07 and 2008–09.</w:t>
      </w:r>
    </w:p>
    <w:p w:rsidR="007D0FD2" w:rsidRPr="00C36C8F" w:rsidRDefault="007D0FD2" w:rsidP="00066D25">
      <w:pPr>
        <w:pStyle w:val="ParaIndent"/>
        <w:jc w:val="both"/>
      </w:pPr>
    </w:p>
    <w:p w:rsidR="008C2B07" w:rsidRPr="00C36C8F" w:rsidRDefault="00476BAA" w:rsidP="00DE05C7">
      <w:pPr>
        <w:pStyle w:val="ParaIndent"/>
      </w:pPr>
      <w:r>
        <w:rPr>
          <w:noProof/>
          <w:lang w:eastAsia="en-AU"/>
        </w:rPr>
        <w:drawing>
          <wp:inline distT="0" distB="0" distL="0" distR="0">
            <wp:extent cx="5167842" cy="2871083"/>
            <wp:effectExtent l="0" t="0" r="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2B07" w:rsidRPr="00C36C8F" w:rsidRDefault="007D0FD2" w:rsidP="008C2B07">
      <w:pPr>
        <w:pStyle w:val="Caption"/>
      </w:pPr>
      <w:bookmarkStart w:id="125" w:name="_Ref284591041"/>
      <w:r w:rsidRPr="00C36C8F">
        <w:tab/>
      </w:r>
      <w:r w:rsidR="008C2B07" w:rsidRPr="00C36C8F">
        <w:t xml:space="preserve">Figure </w:t>
      </w:r>
      <w:r w:rsidR="00B9555F" w:rsidRPr="00C36C8F">
        <w:fldChar w:fldCharType="begin"/>
      </w:r>
      <w:r w:rsidR="008C2B07"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008C2B07" w:rsidRPr="00C36C8F">
        <w:t>-</w:t>
      </w:r>
      <w:r w:rsidR="00B9555F" w:rsidRPr="00C36C8F">
        <w:fldChar w:fldCharType="begin"/>
      </w:r>
      <w:r w:rsidR="008C2B07" w:rsidRPr="00C36C8F">
        <w:instrText xml:space="preserve"> SEQ Figure \* Arabic </w:instrText>
      </w:r>
      <w:r w:rsidR="00B9555F" w:rsidRPr="00C36C8F">
        <w:fldChar w:fldCharType="separate"/>
      </w:r>
      <w:r w:rsidR="00AE7E3B">
        <w:rPr>
          <w:noProof/>
        </w:rPr>
        <w:t>6</w:t>
      </w:r>
      <w:r w:rsidR="00B9555F" w:rsidRPr="00C36C8F">
        <w:rPr>
          <w:noProof/>
        </w:rPr>
        <w:fldChar w:fldCharType="end"/>
      </w:r>
      <w:bookmarkEnd w:id="125"/>
      <w:r w:rsidR="008C2B07" w:rsidRPr="00C36C8F">
        <w:tab/>
      </w:r>
      <w:bookmarkStart w:id="126" w:name="OLE_LINK1"/>
      <w:r w:rsidR="008C2B07" w:rsidRPr="00C36C8F">
        <w:t xml:space="preserve">Per </w:t>
      </w:r>
      <w:r w:rsidR="00D776C7" w:rsidRPr="00C36C8F">
        <w:t>c</w:t>
      </w:r>
      <w:r w:rsidR="008C2B07" w:rsidRPr="00C36C8F">
        <w:t xml:space="preserve">apita </w:t>
      </w:r>
      <w:r w:rsidR="00D776C7" w:rsidRPr="00C36C8F">
        <w:t>d</w:t>
      </w:r>
      <w:r w:rsidR="008C2B07" w:rsidRPr="00C36C8F">
        <w:t>isposal, recycling and e</w:t>
      </w:r>
      <w:r w:rsidR="004E55C3">
        <w:t>nergy recovery by jurisdiction</w:t>
      </w:r>
      <w:r w:rsidR="008C2B07" w:rsidRPr="00C36C8F">
        <w:t xml:space="preserve"> 2008–09</w:t>
      </w:r>
      <w:r w:rsidR="004E55C3">
        <w:t xml:space="preserve"> subtotals</w:t>
      </w:r>
      <w:r w:rsidR="008C2B07" w:rsidRPr="00C36C8F">
        <w:t xml:space="preserve"> </w:t>
      </w:r>
      <w:bookmarkEnd w:id="126"/>
    </w:p>
    <w:p w:rsidR="007D0FD2" w:rsidRPr="00C36C8F" w:rsidRDefault="007D0FD2" w:rsidP="007D0FD2">
      <w:pPr>
        <w:pStyle w:val="CaptionFollowOn"/>
      </w:pPr>
    </w:p>
    <w:p w:rsidR="007D0FD2" w:rsidRPr="00C36C8F" w:rsidRDefault="007D0FD2">
      <w:pPr>
        <w:spacing w:after="0" w:line="240" w:lineRule="auto"/>
        <w:ind w:left="0"/>
      </w:pPr>
      <w:r w:rsidRPr="00C36C8F">
        <w:br w:type="page"/>
      </w:r>
    </w:p>
    <w:p w:rsidR="008C2B07" w:rsidRPr="00C36C8F" w:rsidRDefault="00066D25" w:rsidP="000413DC">
      <w:pPr>
        <w:pStyle w:val="ParaIndent"/>
        <w:jc w:val="both"/>
      </w:pPr>
      <w:r w:rsidRPr="00C36C8F">
        <w:t xml:space="preserve">Figure 4-7 presents national generation, disposal, recycling and energy recovery data for the years 2002-03, 2006–07 and 2008–09. Please note that the data for 2002–03 and 2006–07 has been taken directly from the previous </w:t>
      </w:r>
      <w:r w:rsidR="005338E9" w:rsidRPr="00C36C8F">
        <w:rPr>
          <w:i/>
        </w:rPr>
        <w:t>Waste and Recycling in Australia</w:t>
      </w:r>
      <w:r w:rsidRPr="00C36C8F">
        <w:t xml:space="preserve"> reports and has not had the new data compilation method introduced in this report retrospectively applied.</w:t>
      </w:r>
    </w:p>
    <w:p w:rsidR="007D0FD2" w:rsidRPr="00C36C8F" w:rsidRDefault="007D0FD2" w:rsidP="00066D25">
      <w:pPr>
        <w:pStyle w:val="ParaIndent"/>
        <w:jc w:val="both"/>
      </w:pPr>
    </w:p>
    <w:p w:rsidR="00066D25" w:rsidRPr="00C36C8F" w:rsidRDefault="00476BAA" w:rsidP="00DE05C7">
      <w:pPr>
        <w:pStyle w:val="ParaIndent"/>
      </w:pPr>
      <w:r>
        <w:rPr>
          <w:noProof/>
          <w:lang w:eastAsia="en-AU"/>
        </w:rPr>
        <w:drawing>
          <wp:inline distT="0" distB="0" distL="0" distR="0">
            <wp:extent cx="5154083" cy="2952749"/>
            <wp:effectExtent l="0" t="0" r="8890"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6D25" w:rsidRPr="00C36C8F" w:rsidRDefault="00066D25" w:rsidP="007D0FD2">
      <w:pPr>
        <w:pStyle w:val="ParaIndent"/>
        <w:rPr>
          <w:b/>
          <w:color w:val="1F497D" w:themeColor="text2"/>
        </w:rPr>
      </w:pPr>
      <w:bookmarkStart w:id="127" w:name="_Ref284591055"/>
      <w:r w:rsidRPr="00C36C8F">
        <w:rPr>
          <w:b/>
          <w:color w:val="1F497D" w:themeColor="text2"/>
        </w:rPr>
        <w:t xml:space="preserve">Figure </w:t>
      </w:r>
      <w:r w:rsidR="00B9555F" w:rsidRPr="00C36C8F">
        <w:rPr>
          <w:b/>
          <w:color w:val="1F497D" w:themeColor="text2"/>
        </w:rPr>
        <w:fldChar w:fldCharType="begin"/>
      </w:r>
      <w:r w:rsidRPr="00C36C8F">
        <w:rPr>
          <w:b/>
          <w:color w:val="1F497D" w:themeColor="text2"/>
        </w:rPr>
        <w:instrText xml:space="preserve"> STYLEREF "_Heading1" \n </w:instrText>
      </w:r>
      <w:r w:rsidR="00B9555F" w:rsidRPr="00C36C8F">
        <w:rPr>
          <w:b/>
          <w:color w:val="1F497D" w:themeColor="text2"/>
        </w:rPr>
        <w:fldChar w:fldCharType="separate"/>
      </w:r>
      <w:r w:rsidR="00AE7E3B">
        <w:rPr>
          <w:b/>
          <w:noProof/>
          <w:color w:val="1F497D" w:themeColor="text2"/>
        </w:rPr>
        <w:t>4</w:t>
      </w:r>
      <w:r w:rsidR="00B9555F" w:rsidRPr="00C36C8F">
        <w:rPr>
          <w:b/>
          <w:color w:val="1F497D" w:themeColor="text2"/>
        </w:rPr>
        <w:fldChar w:fldCharType="end"/>
      </w:r>
      <w:r w:rsidRPr="00C36C8F">
        <w:rPr>
          <w:b/>
          <w:color w:val="1F497D" w:themeColor="text2"/>
        </w:rPr>
        <w:t>-</w:t>
      </w:r>
      <w:r w:rsidR="00B9555F" w:rsidRPr="00C36C8F">
        <w:rPr>
          <w:b/>
          <w:color w:val="1F497D" w:themeColor="text2"/>
        </w:rPr>
        <w:fldChar w:fldCharType="begin"/>
      </w:r>
      <w:r w:rsidRPr="00C36C8F">
        <w:rPr>
          <w:b/>
          <w:color w:val="1F497D" w:themeColor="text2"/>
        </w:rPr>
        <w:instrText xml:space="preserve"> SEQ Figure \* Arabic </w:instrText>
      </w:r>
      <w:r w:rsidR="00B9555F" w:rsidRPr="00C36C8F">
        <w:rPr>
          <w:b/>
          <w:color w:val="1F497D" w:themeColor="text2"/>
        </w:rPr>
        <w:fldChar w:fldCharType="separate"/>
      </w:r>
      <w:r w:rsidR="00AE7E3B">
        <w:rPr>
          <w:b/>
          <w:noProof/>
          <w:color w:val="1F497D" w:themeColor="text2"/>
        </w:rPr>
        <w:t>7</w:t>
      </w:r>
      <w:r w:rsidR="00B9555F" w:rsidRPr="00C36C8F">
        <w:rPr>
          <w:b/>
          <w:color w:val="1F497D" w:themeColor="text2"/>
        </w:rPr>
        <w:fldChar w:fldCharType="end"/>
      </w:r>
      <w:bookmarkEnd w:id="127"/>
      <w:r w:rsidRPr="00C36C8F">
        <w:rPr>
          <w:b/>
          <w:color w:val="1F497D" w:themeColor="text2"/>
        </w:rPr>
        <w:tab/>
        <w:t>Total waste generation, dispo</w:t>
      </w:r>
      <w:r w:rsidR="00C16F94">
        <w:rPr>
          <w:b/>
          <w:color w:val="1F497D" w:themeColor="text2"/>
        </w:rPr>
        <w:t xml:space="preserve">sal, recycling energy recovery, </w:t>
      </w:r>
      <w:r w:rsidRPr="00C36C8F">
        <w:rPr>
          <w:b/>
          <w:color w:val="1F497D" w:themeColor="text2"/>
        </w:rPr>
        <w:t>2002–03, 2006–07 &amp; 2008–09</w:t>
      </w:r>
      <w:r w:rsidR="00503AAA">
        <w:rPr>
          <w:b/>
          <w:color w:val="1F497D" w:themeColor="text2"/>
        </w:rPr>
        <w:t xml:space="preserve"> subtotals</w:t>
      </w:r>
    </w:p>
    <w:p w:rsidR="007D0FD2" w:rsidRPr="00C36C8F" w:rsidRDefault="007D0FD2" w:rsidP="007D0FD2">
      <w:pPr>
        <w:pStyle w:val="TableText"/>
        <w:keepNext/>
        <w:spacing w:before="0" w:after="0"/>
        <w:ind w:left="1134"/>
        <w:jc w:val="both"/>
        <w:rPr>
          <w:sz w:val="16"/>
          <w:szCs w:val="16"/>
        </w:rPr>
      </w:pPr>
      <w:r w:rsidRPr="00C36C8F">
        <w:rPr>
          <w:sz w:val="16"/>
          <w:szCs w:val="16"/>
        </w:rPr>
        <w:t xml:space="preserve">2002-03 data is as per </w:t>
      </w:r>
      <w:r w:rsidRPr="00C36C8F">
        <w:rPr>
          <w:i/>
          <w:sz w:val="16"/>
          <w:szCs w:val="16"/>
        </w:rPr>
        <w:t>Waste and Recycling in Australia</w:t>
      </w:r>
      <w:r w:rsidRPr="00C36C8F">
        <w:rPr>
          <w:sz w:val="16"/>
          <w:szCs w:val="16"/>
        </w:rPr>
        <w:t>, 2009, which excludes Tasmanian and NT data.</w:t>
      </w:r>
    </w:p>
    <w:p w:rsidR="007D0FD2" w:rsidRPr="00C36C8F" w:rsidRDefault="007D0FD2" w:rsidP="007D0FD2">
      <w:pPr>
        <w:pStyle w:val="TableText"/>
        <w:keepNext/>
        <w:spacing w:before="0" w:after="0"/>
        <w:ind w:left="1134"/>
        <w:jc w:val="both"/>
        <w:rPr>
          <w:sz w:val="16"/>
          <w:szCs w:val="16"/>
        </w:rPr>
      </w:pPr>
      <w:r w:rsidRPr="00C36C8F">
        <w:rPr>
          <w:sz w:val="16"/>
          <w:szCs w:val="16"/>
        </w:rPr>
        <w:t xml:space="preserve">2006-07 data is as per </w:t>
      </w:r>
      <w:r w:rsidRPr="00C36C8F">
        <w:rPr>
          <w:i/>
          <w:sz w:val="16"/>
          <w:szCs w:val="16"/>
        </w:rPr>
        <w:t>Waste and Recycling in Australia</w:t>
      </w:r>
      <w:r w:rsidRPr="00C36C8F">
        <w:rPr>
          <w:sz w:val="16"/>
          <w:szCs w:val="16"/>
        </w:rPr>
        <w:t>, 2009.</w:t>
      </w:r>
    </w:p>
    <w:p w:rsidR="007D0FD2" w:rsidRPr="00C36C8F" w:rsidRDefault="007D0FD2" w:rsidP="007D0FD2">
      <w:pPr>
        <w:pStyle w:val="TableText"/>
        <w:keepNext/>
        <w:spacing w:before="0" w:after="0"/>
        <w:ind w:left="1134"/>
        <w:jc w:val="both"/>
        <w:rPr>
          <w:sz w:val="16"/>
          <w:szCs w:val="16"/>
        </w:rPr>
      </w:pPr>
      <w:r w:rsidRPr="00C36C8F">
        <w:rPr>
          <w:sz w:val="16"/>
          <w:szCs w:val="16"/>
        </w:rPr>
        <w:t>2008-09 “Subtotal” excludes fly ash data.</w:t>
      </w:r>
    </w:p>
    <w:p w:rsidR="007D0FD2" w:rsidRPr="00C36C8F" w:rsidRDefault="007D0FD2" w:rsidP="007D0FD2">
      <w:pPr>
        <w:pStyle w:val="TableText"/>
        <w:keepNext/>
        <w:spacing w:before="0" w:after="0"/>
        <w:ind w:left="1134"/>
        <w:jc w:val="both"/>
        <w:rPr>
          <w:sz w:val="16"/>
          <w:szCs w:val="16"/>
        </w:rPr>
      </w:pPr>
      <w:r w:rsidRPr="00C36C8F">
        <w:rPr>
          <w:sz w:val="16"/>
          <w:szCs w:val="16"/>
        </w:rPr>
        <w:t>2008-09 “Total” includes fly ash data.</w:t>
      </w:r>
    </w:p>
    <w:p w:rsidR="007D0FD2" w:rsidRPr="00C36C8F" w:rsidRDefault="007D0FD2" w:rsidP="007D0FD2">
      <w:pPr>
        <w:pStyle w:val="ParaIndent"/>
      </w:pPr>
    </w:p>
    <w:p w:rsidR="00D2328A" w:rsidRPr="00C36C8F" w:rsidRDefault="00B9555F" w:rsidP="00737EB3">
      <w:pPr>
        <w:pStyle w:val="TableText"/>
        <w:keepNext/>
        <w:spacing w:before="0" w:after="0"/>
        <w:ind w:left="1134"/>
        <w:jc w:val="both"/>
      </w:pPr>
      <w:fldSimple w:instr=" REF _Ref287946392 \h  \* MERGEFORMAT ">
        <w:r w:rsidR="00AE7E3B" w:rsidRPr="00C36C8F">
          <w:t xml:space="preserve">Figure </w:t>
        </w:r>
        <w:r w:rsidR="00AE7E3B">
          <w:rPr>
            <w:noProof/>
          </w:rPr>
          <w:t>4</w:t>
        </w:r>
        <w:r w:rsidR="00AE7E3B" w:rsidRPr="00C36C8F">
          <w:rPr>
            <w:noProof/>
          </w:rPr>
          <w:t>-</w:t>
        </w:r>
        <w:r w:rsidR="00AE7E3B">
          <w:rPr>
            <w:noProof/>
          </w:rPr>
          <w:t>8</w:t>
        </w:r>
      </w:fldSimple>
      <w:r w:rsidR="002119DB" w:rsidRPr="00C36C8F">
        <w:t xml:space="preserve"> </w:t>
      </w:r>
      <w:r w:rsidR="00C3547A" w:rsidRPr="00C36C8F">
        <w:t xml:space="preserve">and </w:t>
      </w:r>
      <w:fldSimple w:instr=" REF _Ref287946394 \h  \* MERGEFORMAT ">
        <w:r w:rsidR="00AE7E3B" w:rsidRPr="00C36C8F">
          <w:t xml:space="preserve">Figure </w:t>
        </w:r>
        <w:r w:rsidR="00AE7E3B">
          <w:rPr>
            <w:noProof/>
          </w:rPr>
          <w:t>4</w:t>
        </w:r>
        <w:r w:rsidR="00AE7E3B" w:rsidRPr="00C36C8F">
          <w:rPr>
            <w:noProof/>
          </w:rPr>
          <w:t>-</w:t>
        </w:r>
        <w:r w:rsidR="00AE7E3B">
          <w:rPr>
            <w:noProof/>
          </w:rPr>
          <w:t>9</w:t>
        </w:r>
      </w:fldSimple>
      <w:r w:rsidR="00C3547A" w:rsidRPr="00C36C8F">
        <w:t xml:space="preserve"> present</w:t>
      </w:r>
      <w:r w:rsidR="007701BF" w:rsidRPr="00C36C8F">
        <w:t xml:space="preserve"> waste generation and disposal to landfill for the period 2002</w:t>
      </w:r>
      <w:r w:rsidR="00312CC0" w:rsidRPr="00C36C8F">
        <w:rPr>
          <w:rFonts w:cs="Arial"/>
        </w:rPr>
        <w:t>–</w:t>
      </w:r>
      <w:r w:rsidR="007701BF" w:rsidRPr="00C36C8F">
        <w:t>03 to 2008</w:t>
      </w:r>
      <w:r w:rsidR="00312CC0" w:rsidRPr="00C36C8F">
        <w:rPr>
          <w:rFonts w:cs="Arial"/>
        </w:rPr>
        <w:t>–</w:t>
      </w:r>
      <w:r w:rsidR="007701BF" w:rsidRPr="00C36C8F">
        <w:t xml:space="preserve">09. Data for 2002–03 and 2006–07 has been taken directly from the previous </w:t>
      </w:r>
      <w:r w:rsidR="007701BF" w:rsidRPr="00C36C8F">
        <w:rPr>
          <w:i/>
        </w:rPr>
        <w:t xml:space="preserve">Waste and Recycling in Australia </w:t>
      </w:r>
      <w:r w:rsidR="007701BF" w:rsidRPr="00C36C8F">
        <w:t>reports.</w:t>
      </w:r>
    </w:p>
    <w:tbl>
      <w:tblPr>
        <w:tblW w:w="0" w:type="auto"/>
        <w:tblInd w:w="1242" w:type="dxa"/>
        <w:tblLayout w:type="fixed"/>
        <w:tblCellMar>
          <w:left w:w="0" w:type="dxa"/>
          <w:right w:w="0" w:type="dxa"/>
        </w:tblCellMar>
        <w:tblLook w:val="0000"/>
      </w:tblPr>
      <w:tblGrid>
        <w:gridCol w:w="8505"/>
      </w:tblGrid>
      <w:tr w:rsidR="00D2328A" w:rsidRPr="00C36C8F" w:rsidTr="000B315F">
        <w:trPr>
          <w:trHeight w:val="4535"/>
        </w:trPr>
        <w:tc>
          <w:tcPr>
            <w:tcW w:w="8505" w:type="dxa"/>
          </w:tcPr>
          <w:p w:rsidR="00D2328A" w:rsidRPr="00C36C8F" w:rsidRDefault="00476BAA" w:rsidP="00D2328A">
            <w:pPr>
              <w:pStyle w:val="Heading40"/>
              <w:tabs>
                <w:tab w:val="clear" w:pos="1134"/>
                <w:tab w:val="left" w:pos="0"/>
              </w:tabs>
              <w:ind w:left="0"/>
            </w:pPr>
            <w:r>
              <w:rPr>
                <w:noProof/>
                <w:lang w:eastAsia="en-AU"/>
              </w:rPr>
              <w:drawing>
                <wp:inline distT="0" distB="0" distL="0" distR="0">
                  <wp:extent cx="5154084" cy="3005667"/>
                  <wp:effectExtent l="0" t="0" r="889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D2328A" w:rsidRPr="00C36C8F" w:rsidTr="0070337A">
        <w:tblPrEx>
          <w:tblCellMar>
            <w:left w:w="108" w:type="dxa"/>
            <w:right w:w="108" w:type="dxa"/>
          </w:tblCellMar>
        </w:tblPrEx>
        <w:trPr>
          <w:trHeight w:val="437"/>
        </w:trPr>
        <w:tc>
          <w:tcPr>
            <w:tcW w:w="8505" w:type="dxa"/>
          </w:tcPr>
          <w:p w:rsidR="00D2328A" w:rsidRPr="00C36C8F" w:rsidRDefault="00D2328A" w:rsidP="0070337A">
            <w:pPr>
              <w:pStyle w:val="Caption"/>
              <w:spacing w:before="0" w:after="0"/>
            </w:pPr>
            <w:bookmarkStart w:id="128" w:name="_Ref287946392"/>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8</w:t>
            </w:r>
            <w:r w:rsidR="00B9555F" w:rsidRPr="00C36C8F">
              <w:rPr>
                <w:noProof/>
              </w:rPr>
              <w:fldChar w:fldCharType="end"/>
            </w:r>
            <w:bookmarkEnd w:id="128"/>
            <w:r w:rsidRPr="00C36C8F">
              <w:tab/>
            </w:r>
            <w:r w:rsidR="00CA4E65" w:rsidRPr="00C36C8F">
              <w:t>Per capita</w:t>
            </w:r>
            <w:r w:rsidR="00FD6314" w:rsidRPr="00C36C8F">
              <w:t xml:space="preserve"> wa</w:t>
            </w:r>
            <w:r w:rsidR="00C16F94">
              <w:t xml:space="preserve">ste generation by jurisdiction, </w:t>
            </w:r>
            <w:r w:rsidR="00FD6314" w:rsidRPr="00C36C8F">
              <w:t>2002–03 to</w:t>
            </w:r>
            <w:r w:rsidRPr="00C36C8F">
              <w:t xml:space="preserve"> 2008–09</w:t>
            </w:r>
            <w:r w:rsidR="00503AAA">
              <w:t xml:space="preserve"> subtotals</w:t>
            </w:r>
          </w:p>
        </w:tc>
      </w:tr>
      <w:tr w:rsidR="00D2328A" w:rsidRPr="00C36C8F" w:rsidTr="000B315F">
        <w:tblPrEx>
          <w:tblCellMar>
            <w:left w:w="108" w:type="dxa"/>
            <w:right w:w="108" w:type="dxa"/>
          </w:tblCellMar>
        </w:tblPrEx>
        <w:tc>
          <w:tcPr>
            <w:tcW w:w="8505" w:type="dxa"/>
          </w:tcPr>
          <w:p w:rsidR="00573712" w:rsidRPr="00C36C8F" w:rsidRDefault="00573712" w:rsidP="00066D25">
            <w:pPr>
              <w:pStyle w:val="TableText"/>
              <w:spacing w:line="240" w:lineRule="auto"/>
              <w:jc w:val="both"/>
              <w:rPr>
                <w:sz w:val="16"/>
                <w:szCs w:val="16"/>
              </w:rPr>
            </w:pPr>
            <w:r w:rsidRPr="00C36C8F">
              <w:rPr>
                <w:sz w:val="16"/>
                <w:szCs w:val="16"/>
              </w:rPr>
              <w:t xml:space="preserve">2002–03 data is as per </w:t>
            </w:r>
            <w:r w:rsidR="005338E9" w:rsidRPr="00C36C8F">
              <w:rPr>
                <w:i/>
                <w:sz w:val="16"/>
                <w:szCs w:val="16"/>
              </w:rPr>
              <w:t>Waste and Recycling in Australia</w:t>
            </w:r>
            <w:r w:rsidR="00257F69" w:rsidRPr="00C36C8F">
              <w:rPr>
                <w:sz w:val="16"/>
                <w:szCs w:val="16"/>
              </w:rPr>
              <w:t xml:space="preserve"> </w:t>
            </w:r>
            <w:r w:rsidRPr="00C36C8F">
              <w:rPr>
                <w:sz w:val="16"/>
                <w:szCs w:val="16"/>
              </w:rPr>
              <w:t>2009, which excludes Tas and NT data.</w:t>
            </w:r>
          </w:p>
          <w:p w:rsidR="00573712" w:rsidRPr="00C36C8F" w:rsidRDefault="00573712" w:rsidP="00066D25">
            <w:pPr>
              <w:pStyle w:val="TableText"/>
              <w:spacing w:line="240" w:lineRule="auto"/>
              <w:jc w:val="both"/>
              <w:rPr>
                <w:sz w:val="16"/>
                <w:szCs w:val="16"/>
              </w:rPr>
            </w:pPr>
            <w:r w:rsidRPr="00C36C8F">
              <w:rPr>
                <w:sz w:val="16"/>
                <w:szCs w:val="16"/>
              </w:rPr>
              <w:t xml:space="preserve">2006–07 data is as per </w:t>
            </w:r>
            <w:r w:rsidR="005338E9" w:rsidRPr="00C36C8F">
              <w:rPr>
                <w:i/>
                <w:sz w:val="16"/>
                <w:szCs w:val="16"/>
              </w:rPr>
              <w:t>Waste and Recycling in Australia</w:t>
            </w:r>
            <w:r w:rsidRPr="00C36C8F">
              <w:rPr>
                <w:sz w:val="16"/>
                <w:szCs w:val="16"/>
              </w:rPr>
              <w:t xml:space="preserve"> 2009.</w:t>
            </w:r>
          </w:p>
          <w:p w:rsidR="00573712" w:rsidRPr="00C36C8F" w:rsidRDefault="00573712" w:rsidP="00066D25">
            <w:pPr>
              <w:pStyle w:val="TableText"/>
              <w:spacing w:line="240" w:lineRule="auto"/>
              <w:jc w:val="both"/>
              <w:rPr>
                <w:sz w:val="16"/>
                <w:szCs w:val="16"/>
              </w:rPr>
            </w:pPr>
            <w:r w:rsidRPr="00C36C8F">
              <w:rPr>
                <w:sz w:val="16"/>
                <w:szCs w:val="16"/>
              </w:rPr>
              <w:t>2008–</w:t>
            </w:r>
            <w:r w:rsidR="00CB2605" w:rsidRPr="00C36C8F">
              <w:rPr>
                <w:sz w:val="16"/>
                <w:szCs w:val="16"/>
              </w:rPr>
              <w:t xml:space="preserve">09 data </w:t>
            </w:r>
            <w:r w:rsidRPr="00C36C8F">
              <w:rPr>
                <w:sz w:val="16"/>
                <w:szCs w:val="16"/>
              </w:rPr>
              <w:t>exclude</w:t>
            </w:r>
            <w:r w:rsidR="00CB2605" w:rsidRPr="00C36C8F">
              <w:rPr>
                <w:sz w:val="16"/>
                <w:szCs w:val="16"/>
              </w:rPr>
              <w:t>s fly ash</w:t>
            </w:r>
            <w:r w:rsidRPr="00C36C8F">
              <w:rPr>
                <w:sz w:val="16"/>
                <w:szCs w:val="16"/>
              </w:rPr>
              <w:t>.</w:t>
            </w:r>
          </w:p>
          <w:p w:rsidR="00D2328A" w:rsidRPr="00C36C8F" w:rsidRDefault="00437CAD" w:rsidP="00066D25">
            <w:pPr>
              <w:pStyle w:val="TableText"/>
              <w:spacing w:line="240" w:lineRule="auto"/>
              <w:jc w:val="both"/>
              <w:rPr>
                <w:sz w:val="16"/>
                <w:szCs w:val="16"/>
              </w:rPr>
            </w:pPr>
            <w:r w:rsidRPr="00C36C8F">
              <w:rPr>
                <w:sz w:val="16"/>
                <w:szCs w:val="16"/>
              </w:rPr>
              <w:t>Data for other years are estimates based on</w:t>
            </w:r>
            <w:r w:rsidR="00573712" w:rsidRPr="00C36C8F">
              <w:rPr>
                <w:sz w:val="16"/>
                <w:szCs w:val="16"/>
              </w:rPr>
              <w:t xml:space="preserve"> linear interpolation.</w:t>
            </w:r>
          </w:p>
        </w:tc>
      </w:tr>
      <w:tr w:rsidR="00D2328A" w:rsidRPr="00C36C8F" w:rsidTr="000B315F">
        <w:trPr>
          <w:trHeight w:val="4802"/>
        </w:trPr>
        <w:tc>
          <w:tcPr>
            <w:tcW w:w="8505" w:type="dxa"/>
          </w:tcPr>
          <w:p w:rsidR="00D2328A" w:rsidRPr="00C36C8F" w:rsidRDefault="00476BAA" w:rsidP="00D2328A">
            <w:pPr>
              <w:pStyle w:val="Heading40"/>
              <w:tabs>
                <w:tab w:val="clear" w:pos="1134"/>
                <w:tab w:val="left" w:pos="0"/>
              </w:tabs>
              <w:ind w:left="0"/>
            </w:pPr>
            <w:r>
              <w:rPr>
                <w:noProof/>
                <w:lang w:eastAsia="en-AU"/>
              </w:rPr>
              <w:drawing>
                <wp:inline distT="0" distB="0" distL="0" distR="0">
                  <wp:extent cx="5154084" cy="3005667"/>
                  <wp:effectExtent l="0" t="0" r="8890" b="44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D2328A" w:rsidRPr="00C36C8F" w:rsidTr="0070337A">
        <w:tblPrEx>
          <w:tblCellMar>
            <w:left w:w="108" w:type="dxa"/>
            <w:right w:w="108" w:type="dxa"/>
          </w:tblCellMar>
        </w:tblPrEx>
        <w:trPr>
          <w:trHeight w:val="462"/>
        </w:trPr>
        <w:tc>
          <w:tcPr>
            <w:tcW w:w="8505" w:type="dxa"/>
          </w:tcPr>
          <w:p w:rsidR="00D2328A" w:rsidRPr="00C36C8F" w:rsidRDefault="00D2328A" w:rsidP="0070337A">
            <w:pPr>
              <w:pStyle w:val="Caption"/>
              <w:spacing w:before="0"/>
            </w:pPr>
            <w:bookmarkStart w:id="129" w:name="_Ref287946394"/>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9</w:t>
            </w:r>
            <w:r w:rsidR="00B9555F" w:rsidRPr="00C36C8F">
              <w:rPr>
                <w:noProof/>
              </w:rPr>
              <w:fldChar w:fldCharType="end"/>
            </w:r>
            <w:bookmarkEnd w:id="129"/>
            <w:r w:rsidRPr="00C36C8F">
              <w:tab/>
            </w:r>
            <w:r w:rsidR="00CA4E65" w:rsidRPr="00C36C8F">
              <w:t>Per capita w</w:t>
            </w:r>
            <w:r w:rsidRPr="00C36C8F">
              <w:t>aste disposal by jurisdiction 2002–03 to 2008–09</w:t>
            </w:r>
            <w:r w:rsidR="00503AAA">
              <w:t xml:space="preserve"> subtotals</w:t>
            </w:r>
          </w:p>
        </w:tc>
      </w:tr>
      <w:tr w:rsidR="00D2328A" w:rsidRPr="00C36C8F" w:rsidTr="000B315F">
        <w:tblPrEx>
          <w:tblCellMar>
            <w:left w:w="108" w:type="dxa"/>
            <w:right w:w="108" w:type="dxa"/>
          </w:tblCellMar>
        </w:tblPrEx>
        <w:tc>
          <w:tcPr>
            <w:tcW w:w="8505" w:type="dxa"/>
          </w:tcPr>
          <w:p w:rsidR="00F9555C" w:rsidRPr="00C36C8F" w:rsidRDefault="00F9555C" w:rsidP="00737EB3">
            <w:pPr>
              <w:pStyle w:val="TableText"/>
              <w:spacing w:line="240" w:lineRule="auto"/>
              <w:jc w:val="both"/>
              <w:rPr>
                <w:sz w:val="16"/>
                <w:szCs w:val="16"/>
              </w:rPr>
            </w:pPr>
            <w:r w:rsidRPr="00C36C8F">
              <w:rPr>
                <w:sz w:val="16"/>
                <w:szCs w:val="16"/>
              </w:rPr>
              <w:t xml:space="preserve">2002-03 data is as per </w:t>
            </w:r>
            <w:r w:rsidR="005338E9" w:rsidRPr="00C36C8F">
              <w:rPr>
                <w:i/>
                <w:sz w:val="16"/>
                <w:szCs w:val="16"/>
              </w:rPr>
              <w:t>Waste and Recycling in Australia</w:t>
            </w:r>
            <w:r w:rsidRPr="00C36C8F">
              <w:rPr>
                <w:sz w:val="16"/>
                <w:szCs w:val="16"/>
              </w:rPr>
              <w:t xml:space="preserve"> 2009, which excludes Tas and NT data.</w:t>
            </w:r>
          </w:p>
          <w:p w:rsidR="00F9555C" w:rsidRPr="00C36C8F" w:rsidRDefault="00F9555C" w:rsidP="00737EB3">
            <w:pPr>
              <w:pStyle w:val="TableText"/>
              <w:spacing w:line="240" w:lineRule="auto"/>
              <w:jc w:val="both"/>
              <w:rPr>
                <w:sz w:val="16"/>
                <w:szCs w:val="16"/>
              </w:rPr>
            </w:pPr>
            <w:r w:rsidRPr="00C36C8F">
              <w:rPr>
                <w:sz w:val="16"/>
                <w:szCs w:val="16"/>
              </w:rPr>
              <w:t xml:space="preserve">2006-07 data is as per </w:t>
            </w:r>
            <w:r w:rsidR="005338E9" w:rsidRPr="00C36C8F">
              <w:rPr>
                <w:i/>
                <w:sz w:val="16"/>
                <w:szCs w:val="16"/>
              </w:rPr>
              <w:t>Waste and Recycling in Australia</w:t>
            </w:r>
            <w:r w:rsidRPr="00C36C8F">
              <w:rPr>
                <w:sz w:val="16"/>
                <w:szCs w:val="16"/>
              </w:rPr>
              <w:t xml:space="preserve"> 2009.</w:t>
            </w:r>
          </w:p>
          <w:p w:rsidR="00CB2605" w:rsidRPr="00C36C8F" w:rsidRDefault="00CB2605" w:rsidP="00737EB3">
            <w:pPr>
              <w:pStyle w:val="TableText"/>
              <w:spacing w:line="240" w:lineRule="auto"/>
              <w:jc w:val="both"/>
              <w:rPr>
                <w:sz w:val="16"/>
                <w:szCs w:val="16"/>
              </w:rPr>
            </w:pPr>
            <w:r w:rsidRPr="00C36C8F">
              <w:rPr>
                <w:sz w:val="16"/>
                <w:szCs w:val="16"/>
              </w:rPr>
              <w:t>2008–09 data excludes fly ash.</w:t>
            </w:r>
          </w:p>
          <w:p w:rsidR="00FD6314" w:rsidRPr="00C36C8F" w:rsidRDefault="00F9555C" w:rsidP="00737EB3">
            <w:pPr>
              <w:pStyle w:val="TableText"/>
              <w:spacing w:line="240" w:lineRule="auto"/>
              <w:jc w:val="both"/>
              <w:rPr>
                <w:sz w:val="16"/>
                <w:szCs w:val="16"/>
              </w:rPr>
            </w:pPr>
            <w:r w:rsidRPr="00C36C8F">
              <w:rPr>
                <w:sz w:val="16"/>
                <w:szCs w:val="16"/>
              </w:rPr>
              <w:t>Data for</w:t>
            </w:r>
            <w:r w:rsidR="00C3547A" w:rsidRPr="00C36C8F">
              <w:rPr>
                <w:sz w:val="16"/>
                <w:szCs w:val="16"/>
              </w:rPr>
              <w:t xml:space="preserve"> other years are estimates based on</w:t>
            </w:r>
            <w:r w:rsidRPr="00C36C8F">
              <w:rPr>
                <w:sz w:val="16"/>
                <w:szCs w:val="16"/>
              </w:rPr>
              <w:t xml:space="preserve"> linear interpolation.</w:t>
            </w:r>
          </w:p>
        </w:tc>
      </w:tr>
    </w:tbl>
    <w:p w:rsidR="007575A0" w:rsidRPr="00C36C8F" w:rsidRDefault="00B9555F" w:rsidP="00737EB3">
      <w:pPr>
        <w:pStyle w:val="ParaIndent"/>
        <w:spacing w:before="240"/>
        <w:jc w:val="both"/>
      </w:pPr>
      <w:r w:rsidRPr="00C36C8F">
        <w:fldChar w:fldCharType="begin"/>
      </w:r>
      <w:r w:rsidR="0016356F" w:rsidRPr="00C36C8F">
        <w:instrText xml:space="preserve"> REF _Ref300795116 \h </w:instrText>
      </w:r>
      <w:r w:rsidRPr="00C36C8F">
        <w:fldChar w:fldCharType="separate"/>
      </w:r>
      <w:r w:rsidR="00AE7E3B" w:rsidRPr="00C36C8F">
        <w:t xml:space="preserve">Table </w:t>
      </w:r>
      <w:r w:rsidR="00AE7E3B">
        <w:rPr>
          <w:noProof/>
        </w:rPr>
        <w:t>4</w:t>
      </w:r>
      <w:r w:rsidR="00AE7E3B" w:rsidRPr="00C36C8F">
        <w:t>-</w:t>
      </w:r>
      <w:r w:rsidR="00AE7E3B">
        <w:rPr>
          <w:noProof/>
        </w:rPr>
        <w:t>8</w:t>
      </w:r>
      <w:r w:rsidRPr="00C36C8F">
        <w:fldChar w:fldCharType="end"/>
      </w:r>
      <w:r w:rsidR="0016356F" w:rsidRPr="00C36C8F">
        <w:t xml:space="preserve"> and </w:t>
      </w:r>
      <w:r w:rsidRPr="00C36C8F">
        <w:fldChar w:fldCharType="begin"/>
      </w:r>
      <w:r w:rsidR="004F4AFB" w:rsidRPr="00C36C8F">
        <w:instrText xml:space="preserve"> REF _Ref301350583 \h </w:instrText>
      </w:r>
      <w:r w:rsidRPr="00C36C8F">
        <w:fldChar w:fldCharType="separate"/>
      </w:r>
      <w:r w:rsidR="00AE7E3B" w:rsidRPr="00C36C8F">
        <w:t xml:space="preserve">Figure </w:t>
      </w:r>
      <w:r w:rsidR="00AE7E3B">
        <w:rPr>
          <w:noProof/>
        </w:rPr>
        <w:t>4</w:t>
      </w:r>
      <w:r w:rsidR="00AE7E3B" w:rsidRPr="00C36C8F">
        <w:t>-</w:t>
      </w:r>
      <w:r w:rsidR="00AE7E3B">
        <w:rPr>
          <w:noProof/>
        </w:rPr>
        <w:t>10</w:t>
      </w:r>
      <w:r w:rsidRPr="00C36C8F">
        <w:fldChar w:fldCharType="end"/>
      </w:r>
      <w:r w:rsidR="004F4AFB" w:rsidRPr="00C36C8F">
        <w:t xml:space="preserve"> </w:t>
      </w:r>
      <w:r w:rsidR="007575A0" w:rsidRPr="00C36C8F">
        <w:t>presents gross state product ($GSP) per tonne of waste generation, by jurisdiction.</w:t>
      </w:r>
    </w:p>
    <w:p w:rsidR="0016356F" w:rsidRPr="00C36C8F" w:rsidRDefault="0016356F" w:rsidP="0016356F">
      <w:pPr>
        <w:pStyle w:val="Caption"/>
        <w:tabs>
          <w:tab w:val="left" w:pos="7275"/>
        </w:tabs>
      </w:pPr>
      <w:bookmarkStart w:id="130" w:name="_Ref300795116"/>
      <w:r w:rsidRPr="00C36C8F">
        <w:t xml:space="preserve">Table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Table \* Arabic </w:instrText>
      </w:r>
      <w:r w:rsidR="00B9555F" w:rsidRPr="00C36C8F">
        <w:fldChar w:fldCharType="separate"/>
      </w:r>
      <w:r w:rsidR="00AE7E3B">
        <w:rPr>
          <w:noProof/>
        </w:rPr>
        <w:t>8</w:t>
      </w:r>
      <w:r w:rsidR="00B9555F" w:rsidRPr="00C36C8F">
        <w:rPr>
          <w:noProof/>
        </w:rPr>
        <w:fldChar w:fldCharType="end"/>
      </w:r>
      <w:bookmarkEnd w:id="130"/>
      <w:r w:rsidRPr="00C36C8F">
        <w:tab/>
        <w:t>$GSP</w:t>
      </w:r>
      <w:r w:rsidR="00941310" w:rsidRPr="00C36C8F">
        <w:rPr>
          <w:rStyle w:val="FootnoteReference"/>
        </w:rPr>
        <w:footnoteReference w:id="15"/>
      </w:r>
      <w:r w:rsidRPr="00C36C8F">
        <w:t xml:space="preserve"> and waste generation, by jurisdiction, 2008-09</w:t>
      </w:r>
    </w:p>
    <w:tbl>
      <w:tblPr>
        <w:tblW w:w="6380" w:type="dxa"/>
        <w:tblInd w:w="1560" w:type="dxa"/>
        <w:tblBorders>
          <w:bottom w:val="single" w:sz="18" w:space="0" w:color="808080"/>
          <w:insideH w:val="single" w:sz="4" w:space="0" w:color="808080"/>
        </w:tblBorders>
        <w:tblLayout w:type="fixed"/>
        <w:tblCellMar>
          <w:left w:w="0" w:type="dxa"/>
          <w:right w:w="0" w:type="dxa"/>
        </w:tblCellMar>
        <w:tblLook w:val="01E0"/>
      </w:tblPr>
      <w:tblGrid>
        <w:gridCol w:w="1595"/>
        <w:gridCol w:w="1595"/>
        <w:gridCol w:w="1595"/>
        <w:gridCol w:w="1595"/>
      </w:tblGrid>
      <w:tr w:rsidR="0016356F" w:rsidRPr="00C36C8F" w:rsidTr="00624715">
        <w:tc>
          <w:tcPr>
            <w:tcW w:w="1595" w:type="dxa"/>
            <w:vMerge w:val="restart"/>
            <w:tcBorders>
              <w:right w:val="nil"/>
            </w:tcBorders>
            <w:shd w:val="clear" w:color="auto" w:fill="auto"/>
            <w:vAlign w:val="center"/>
          </w:tcPr>
          <w:p w:rsidR="0016356F" w:rsidRPr="00C36C8F" w:rsidRDefault="0016356F" w:rsidP="0016356F">
            <w:pPr>
              <w:pStyle w:val="TableHeading"/>
              <w:keepLines/>
              <w:spacing w:line="240" w:lineRule="auto"/>
              <w:jc w:val="center"/>
              <w:rPr>
                <w:kern w:val="28"/>
              </w:rPr>
            </w:pPr>
            <w:r w:rsidRPr="00C36C8F">
              <w:t>Jurisdiction</w:t>
            </w:r>
          </w:p>
        </w:tc>
        <w:tc>
          <w:tcPr>
            <w:tcW w:w="1595"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16356F" w:rsidRPr="00C36C8F" w:rsidRDefault="0016356F" w:rsidP="0016356F">
            <w:pPr>
              <w:pStyle w:val="TableHeading"/>
              <w:keepLines/>
              <w:spacing w:line="240" w:lineRule="auto"/>
              <w:jc w:val="center"/>
              <w:rPr>
                <w:kern w:val="28"/>
              </w:rPr>
            </w:pPr>
            <w:r w:rsidRPr="00C36C8F">
              <w:t>Total $GSP</w:t>
            </w:r>
          </w:p>
        </w:tc>
        <w:tc>
          <w:tcPr>
            <w:tcW w:w="1595" w:type="dxa"/>
            <w:tcBorders>
              <w:left w:val="single" w:sz="8" w:space="0" w:color="808080" w:themeColor="background1" w:themeShade="80"/>
              <w:right w:val="single" w:sz="8" w:space="0" w:color="808080" w:themeColor="background1" w:themeShade="80"/>
            </w:tcBorders>
            <w:shd w:val="clear" w:color="auto" w:fill="auto"/>
            <w:vAlign w:val="center"/>
          </w:tcPr>
          <w:p w:rsidR="0016356F" w:rsidRPr="00C36C8F" w:rsidRDefault="0016356F" w:rsidP="0016356F">
            <w:pPr>
              <w:pStyle w:val="TableHeading"/>
              <w:keepLines/>
              <w:spacing w:line="240" w:lineRule="auto"/>
              <w:jc w:val="center"/>
              <w:rPr>
                <w:kern w:val="28"/>
              </w:rPr>
            </w:pPr>
            <w:r w:rsidRPr="00C36C8F">
              <w:t>Generation</w:t>
            </w:r>
          </w:p>
        </w:tc>
        <w:tc>
          <w:tcPr>
            <w:tcW w:w="1595" w:type="dxa"/>
            <w:tcBorders>
              <w:left w:val="single" w:sz="8" w:space="0" w:color="808080" w:themeColor="background1" w:themeShade="80"/>
              <w:right w:val="single" w:sz="8" w:space="0" w:color="808080" w:themeColor="background1" w:themeShade="80"/>
            </w:tcBorders>
            <w:shd w:val="clear" w:color="auto" w:fill="auto"/>
            <w:vAlign w:val="center"/>
          </w:tcPr>
          <w:p w:rsidR="0016356F" w:rsidRPr="00C36C8F" w:rsidRDefault="0016356F" w:rsidP="0016356F">
            <w:pPr>
              <w:pStyle w:val="TableHeading"/>
              <w:keepLines/>
              <w:spacing w:line="240" w:lineRule="auto"/>
              <w:jc w:val="center"/>
              <w:rPr>
                <w:kern w:val="28"/>
              </w:rPr>
            </w:pPr>
            <w:r w:rsidRPr="00C36C8F">
              <w:t>Per tonne GSP</w:t>
            </w:r>
          </w:p>
        </w:tc>
      </w:tr>
      <w:tr w:rsidR="0016356F" w:rsidRPr="00C36C8F" w:rsidTr="00624715">
        <w:tc>
          <w:tcPr>
            <w:tcW w:w="1595" w:type="dxa"/>
            <w:vMerge/>
            <w:tcBorders>
              <w:bottom w:val="single" w:sz="4" w:space="0" w:color="808080"/>
              <w:right w:val="nil"/>
            </w:tcBorders>
            <w:shd w:val="clear" w:color="auto" w:fill="auto"/>
            <w:vAlign w:val="center"/>
          </w:tcPr>
          <w:p w:rsidR="0016356F" w:rsidRPr="00C36C8F" w:rsidRDefault="0016356F" w:rsidP="0016356F">
            <w:pPr>
              <w:pStyle w:val="TableHeading"/>
              <w:keepLines/>
              <w:spacing w:line="240" w:lineRule="auto"/>
              <w:jc w:val="center"/>
              <w:rPr>
                <w:kern w:val="28"/>
              </w:rPr>
            </w:pPr>
          </w:p>
        </w:tc>
        <w:tc>
          <w:tcPr>
            <w:tcW w:w="1595"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16356F" w:rsidRPr="00C36C8F" w:rsidRDefault="0016356F" w:rsidP="0016356F">
            <w:pPr>
              <w:pStyle w:val="TableHeading"/>
              <w:keepLines/>
              <w:spacing w:line="240" w:lineRule="auto"/>
              <w:jc w:val="center"/>
              <w:rPr>
                <w:kern w:val="28"/>
              </w:rPr>
            </w:pPr>
            <w:r w:rsidRPr="00C36C8F">
              <w:t>$million</w:t>
            </w:r>
          </w:p>
        </w:tc>
        <w:tc>
          <w:tcPr>
            <w:tcW w:w="1595" w:type="dxa"/>
            <w:tcBorders>
              <w:left w:val="single" w:sz="8" w:space="0" w:color="808080" w:themeColor="background1" w:themeShade="80"/>
              <w:right w:val="single" w:sz="8" w:space="0" w:color="808080" w:themeColor="background1" w:themeShade="80"/>
            </w:tcBorders>
            <w:shd w:val="clear" w:color="auto" w:fill="auto"/>
            <w:vAlign w:val="center"/>
          </w:tcPr>
          <w:p w:rsidR="0016356F" w:rsidRPr="00C36C8F" w:rsidRDefault="0016356F" w:rsidP="0016356F">
            <w:pPr>
              <w:pStyle w:val="TableHeading"/>
              <w:keepLines/>
              <w:spacing w:line="240" w:lineRule="auto"/>
              <w:jc w:val="center"/>
              <w:rPr>
                <w:kern w:val="28"/>
              </w:rPr>
            </w:pPr>
            <w:r w:rsidRPr="00C36C8F">
              <w:t>tonnes</w:t>
            </w:r>
          </w:p>
        </w:tc>
        <w:tc>
          <w:tcPr>
            <w:tcW w:w="1595" w:type="dxa"/>
            <w:tcBorders>
              <w:left w:val="single" w:sz="8" w:space="0" w:color="808080" w:themeColor="background1" w:themeShade="80"/>
              <w:right w:val="single" w:sz="8" w:space="0" w:color="808080" w:themeColor="background1" w:themeShade="80"/>
            </w:tcBorders>
            <w:shd w:val="clear" w:color="auto" w:fill="auto"/>
            <w:vAlign w:val="center"/>
          </w:tcPr>
          <w:p w:rsidR="0016356F" w:rsidRPr="00C36C8F" w:rsidRDefault="0016356F" w:rsidP="0016356F">
            <w:pPr>
              <w:pStyle w:val="TableHeading"/>
              <w:keepLines/>
              <w:spacing w:line="240" w:lineRule="auto"/>
              <w:jc w:val="center"/>
              <w:rPr>
                <w:kern w:val="28"/>
              </w:rPr>
            </w:pPr>
            <w:r w:rsidRPr="00C36C8F">
              <w:t>$GSP/tonne</w:t>
            </w:r>
          </w:p>
        </w:tc>
      </w:tr>
      <w:tr w:rsidR="00476BAA" w:rsidRPr="00C36C8F" w:rsidTr="00476BAA">
        <w:tc>
          <w:tcPr>
            <w:tcW w:w="1595" w:type="dxa"/>
            <w:tcBorders>
              <w:top w:val="single" w:sz="4" w:space="0" w:color="808080"/>
              <w:bottom w:val="single" w:sz="4" w:space="0" w:color="808080"/>
              <w:right w:val="nil"/>
            </w:tcBorders>
            <w:shd w:val="clear" w:color="auto" w:fill="auto"/>
            <w:vAlign w:val="center"/>
          </w:tcPr>
          <w:p w:rsidR="00476BAA" w:rsidRPr="00C36C8F" w:rsidRDefault="00476BAA" w:rsidP="0016356F">
            <w:pPr>
              <w:pStyle w:val="TableText"/>
              <w:keepNext/>
              <w:keepLines/>
              <w:spacing w:line="240" w:lineRule="auto"/>
              <w:ind w:left="426"/>
            </w:pPr>
            <w:r w:rsidRPr="00C36C8F">
              <w:t>NSW</w:t>
            </w:r>
          </w:p>
        </w:tc>
        <w:tc>
          <w:tcPr>
            <w:tcW w:w="1595"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395,000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6065E3">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16,</w:t>
            </w:r>
            <w:r w:rsidRPr="00476BAA">
              <w:rPr>
                <w:rFonts w:cs="Arial"/>
                <w:color w:val="000000"/>
                <w:szCs w:val="18"/>
              </w:rPr>
              <w:t>290</w:t>
            </w:r>
            <w:r w:rsidRPr="000B315F">
              <w:rPr>
                <w:color w:val="000000"/>
              </w:rPr>
              <w:t xml:space="preserve">,000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6065E3">
            <w:pPr>
              <w:pStyle w:val="TableText"/>
              <w:keepNext/>
              <w:keepLines/>
              <w:spacing w:line="240" w:lineRule="auto"/>
              <w:jc w:val="right"/>
              <w:rPr>
                <w:rFonts w:cs="Arial"/>
                <w:szCs w:val="18"/>
              </w:rPr>
            </w:pPr>
            <w:r w:rsidRPr="00476BAA">
              <w:rPr>
                <w:rFonts w:cs="Arial"/>
                <w:color w:val="000000"/>
                <w:szCs w:val="18"/>
              </w:rPr>
              <w:t>24,200</w:t>
            </w:r>
            <w:r w:rsidRPr="000B315F">
              <w:rPr>
                <w:color w:val="000000"/>
              </w:rPr>
              <w:t xml:space="preserve"> </w:t>
            </w:r>
          </w:p>
        </w:tc>
      </w:tr>
      <w:tr w:rsidR="00476BAA" w:rsidRPr="00C36C8F" w:rsidTr="00476BAA">
        <w:tc>
          <w:tcPr>
            <w:tcW w:w="1595" w:type="dxa"/>
            <w:tcBorders>
              <w:top w:val="single" w:sz="4" w:space="0" w:color="808080"/>
              <w:bottom w:val="single" w:sz="4" w:space="0" w:color="808080"/>
              <w:right w:val="nil"/>
            </w:tcBorders>
            <w:shd w:val="clear" w:color="auto" w:fill="auto"/>
            <w:vAlign w:val="center"/>
          </w:tcPr>
          <w:p w:rsidR="00476BAA" w:rsidRPr="00C36C8F" w:rsidRDefault="00476BAA" w:rsidP="0016356F">
            <w:pPr>
              <w:pStyle w:val="TableText"/>
              <w:keepNext/>
              <w:keepLines/>
              <w:spacing w:line="240" w:lineRule="auto"/>
              <w:ind w:left="426"/>
            </w:pPr>
            <w:r w:rsidRPr="00C36C8F">
              <w:t>Vic</w:t>
            </w:r>
          </w:p>
        </w:tc>
        <w:tc>
          <w:tcPr>
            <w:tcW w:w="1595"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288,000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6065E3">
            <w:pPr>
              <w:pStyle w:val="TableText"/>
              <w:keepNext/>
              <w:keepLines/>
              <w:spacing w:line="240" w:lineRule="auto"/>
              <w:jc w:val="right"/>
              <w:rPr>
                <w:rFonts w:cs="Arial"/>
                <w:szCs w:val="18"/>
              </w:rPr>
            </w:pPr>
            <w:r w:rsidRPr="000B315F">
              <w:rPr>
                <w:color w:val="000000"/>
              </w:rPr>
              <w:t xml:space="preserve"> </w:t>
            </w:r>
            <w:r w:rsidRPr="00476BAA">
              <w:rPr>
                <w:rFonts w:cs="Arial"/>
                <w:color w:val="000000"/>
                <w:szCs w:val="18"/>
              </w:rPr>
              <w:t xml:space="preserve">  10,293</w:t>
            </w:r>
            <w:r w:rsidRPr="000B315F">
              <w:rPr>
                <w:color w:val="000000"/>
              </w:rPr>
              <w:t xml:space="preserve">,000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6065E3">
            <w:pPr>
              <w:pStyle w:val="TableText"/>
              <w:keepNext/>
              <w:keepLines/>
              <w:spacing w:line="240" w:lineRule="auto"/>
              <w:jc w:val="right"/>
              <w:rPr>
                <w:rFonts w:cs="Arial"/>
                <w:szCs w:val="18"/>
              </w:rPr>
            </w:pPr>
            <w:r w:rsidRPr="00476BAA">
              <w:rPr>
                <w:rFonts w:cs="Arial"/>
                <w:color w:val="000000"/>
                <w:szCs w:val="18"/>
              </w:rPr>
              <w:t>27,900</w:t>
            </w:r>
            <w:r w:rsidRPr="000B315F">
              <w:rPr>
                <w:color w:val="000000"/>
              </w:rPr>
              <w:t xml:space="preserve"> </w:t>
            </w:r>
          </w:p>
        </w:tc>
      </w:tr>
      <w:tr w:rsidR="00476BAA" w:rsidRPr="00C36C8F" w:rsidTr="00476BAA">
        <w:tc>
          <w:tcPr>
            <w:tcW w:w="1595" w:type="dxa"/>
            <w:tcBorders>
              <w:top w:val="single" w:sz="4" w:space="0" w:color="808080"/>
              <w:bottom w:val="single" w:sz="4" w:space="0" w:color="808080"/>
              <w:right w:val="nil"/>
            </w:tcBorders>
            <w:shd w:val="clear" w:color="auto" w:fill="auto"/>
            <w:vAlign w:val="center"/>
          </w:tcPr>
          <w:p w:rsidR="00476BAA" w:rsidRPr="00C36C8F" w:rsidRDefault="00476BAA" w:rsidP="0016356F">
            <w:pPr>
              <w:pStyle w:val="TableText"/>
              <w:keepNext/>
              <w:keepLines/>
              <w:spacing w:line="240" w:lineRule="auto"/>
              <w:ind w:left="426"/>
            </w:pPr>
            <w:r w:rsidRPr="00C36C8F">
              <w:t>Qld</w:t>
            </w:r>
          </w:p>
        </w:tc>
        <w:tc>
          <w:tcPr>
            <w:tcW w:w="1595"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251,000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6065E3">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9,</w:t>
            </w:r>
            <w:r w:rsidRPr="00476BAA">
              <w:rPr>
                <w:rFonts w:cs="Arial"/>
                <w:color w:val="000000"/>
                <w:szCs w:val="18"/>
              </w:rPr>
              <w:t>245</w:t>
            </w:r>
            <w:r w:rsidRPr="000B315F">
              <w:rPr>
                <w:color w:val="000000"/>
              </w:rPr>
              <w:t xml:space="preserve">,000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476BAA">
            <w:pPr>
              <w:pStyle w:val="TableText"/>
              <w:keepNext/>
              <w:keepLines/>
              <w:spacing w:line="240" w:lineRule="auto"/>
              <w:jc w:val="right"/>
              <w:rPr>
                <w:rFonts w:cs="Arial"/>
                <w:szCs w:val="18"/>
              </w:rPr>
            </w:pPr>
            <w:r w:rsidRPr="000B315F">
              <w:rPr>
                <w:color w:val="000000"/>
              </w:rPr>
              <w:t xml:space="preserve"> 27,</w:t>
            </w:r>
            <w:r w:rsidRPr="00476BAA">
              <w:rPr>
                <w:rFonts w:cs="Arial"/>
                <w:color w:val="000000"/>
                <w:szCs w:val="18"/>
              </w:rPr>
              <w:t>100</w:t>
            </w:r>
            <w:r w:rsidRPr="000B315F">
              <w:rPr>
                <w:color w:val="000000"/>
              </w:rPr>
              <w:t xml:space="preserve"> </w:t>
            </w:r>
          </w:p>
        </w:tc>
      </w:tr>
      <w:tr w:rsidR="00476BAA" w:rsidRPr="00C36C8F" w:rsidTr="00476BAA">
        <w:tc>
          <w:tcPr>
            <w:tcW w:w="1595" w:type="dxa"/>
            <w:tcBorders>
              <w:top w:val="single" w:sz="4" w:space="0" w:color="808080"/>
              <w:bottom w:val="single" w:sz="4" w:space="0" w:color="808080"/>
              <w:right w:val="nil"/>
            </w:tcBorders>
            <w:shd w:val="clear" w:color="auto" w:fill="auto"/>
            <w:vAlign w:val="center"/>
          </w:tcPr>
          <w:p w:rsidR="00476BAA" w:rsidRPr="00C36C8F" w:rsidRDefault="00476BAA" w:rsidP="0016356F">
            <w:pPr>
              <w:pStyle w:val="TableText"/>
              <w:keepNext/>
              <w:keepLines/>
              <w:spacing w:line="240" w:lineRule="auto"/>
              <w:ind w:left="426"/>
            </w:pPr>
            <w:r w:rsidRPr="00C36C8F">
              <w:t>SA</w:t>
            </w:r>
          </w:p>
        </w:tc>
        <w:tc>
          <w:tcPr>
            <w:tcW w:w="1595"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77,000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6065E3">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3,</w:t>
            </w:r>
            <w:r w:rsidRPr="00476BAA">
              <w:rPr>
                <w:rFonts w:cs="Arial"/>
                <w:color w:val="000000"/>
                <w:szCs w:val="18"/>
              </w:rPr>
              <w:t>332</w:t>
            </w:r>
            <w:r w:rsidRPr="000B315F">
              <w:rPr>
                <w:color w:val="000000"/>
              </w:rPr>
              <w:t xml:space="preserve">,000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476BAA">
            <w:pPr>
              <w:pStyle w:val="TableText"/>
              <w:keepNext/>
              <w:keepLines/>
              <w:spacing w:line="240" w:lineRule="auto"/>
              <w:jc w:val="right"/>
              <w:rPr>
                <w:rFonts w:cs="Arial"/>
                <w:szCs w:val="18"/>
              </w:rPr>
            </w:pPr>
            <w:r w:rsidRPr="000B315F">
              <w:rPr>
                <w:color w:val="000000"/>
              </w:rPr>
              <w:t xml:space="preserve"> 23,</w:t>
            </w:r>
            <w:r w:rsidRPr="00476BAA">
              <w:rPr>
                <w:rFonts w:cs="Arial"/>
                <w:color w:val="000000"/>
                <w:szCs w:val="18"/>
              </w:rPr>
              <w:t>200</w:t>
            </w:r>
            <w:r w:rsidRPr="000B315F">
              <w:rPr>
                <w:color w:val="000000"/>
              </w:rPr>
              <w:t xml:space="preserve"> </w:t>
            </w:r>
          </w:p>
        </w:tc>
      </w:tr>
      <w:tr w:rsidR="00476BAA" w:rsidRPr="00C36C8F" w:rsidTr="00476BAA">
        <w:tc>
          <w:tcPr>
            <w:tcW w:w="1595" w:type="dxa"/>
            <w:tcBorders>
              <w:top w:val="single" w:sz="4" w:space="0" w:color="808080"/>
              <w:bottom w:val="single" w:sz="4" w:space="0" w:color="808080"/>
              <w:right w:val="nil"/>
            </w:tcBorders>
            <w:shd w:val="clear" w:color="auto" w:fill="auto"/>
            <w:vAlign w:val="center"/>
          </w:tcPr>
          <w:p w:rsidR="00476BAA" w:rsidRPr="00C36C8F" w:rsidRDefault="00476BAA" w:rsidP="0016356F">
            <w:pPr>
              <w:pStyle w:val="TableText"/>
              <w:keepNext/>
              <w:keepLines/>
              <w:spacing w:line="240" w:lineRule="auto"/>
              <w:ind w:left="426"/>
            </w:pPr>
            <w:r w:rsidRPr="00C36C8F">
              <w:t>WA</w:t>
            </w:r>
          </w:p>
        </w:tc>
        <w:tc>
          <w:tcPr>
            <w:tcW w:w="1595"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180,000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6065E3">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5,</w:t>
            </w:r>
            <w:r w:rsidRPr="00476BAA">
              <w:rPr>
                <w:rFonts w:cs="Arial"/>
                <w:color w:val="000000"/>
                <w:szCs w:val="18"/>
              </w:rPr>
              <w:t>977</w:t>
            </w:r>
            <w:r w:rsidRPr="000B315F">
              <w:rPr>
                <w:color w:val="000000"/>
              </w:rPr>
              <w:t xml:space="preserve">,000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476BAA">
            <w:pPr>
              <w:pStyle w:val="TableText"/>
              <w:keepNext/>
              <w:keepLines/>
              <w:spacing w:line="240" w:lineRule="auto"/>
              <w:jc w:val="right"/>
              <w:rPr>
                <w:rFonts w:cs="Arial"/>
                <w:szCs w:val="18"/>
              </w:rPr>
            </w:pPr>
            <w:r w:rsidRPr="000B315F">
              <w:rPr>
                <w:color w:val="000000"/>
              </w:rPr>
              <w:t xml:space="preserve"> 30,</w:t>
            </w:r>
            <w:r w:rsidRPr="00476BAA">
              <w:rPr>
                <w:rFonts w:cs="Arial"/>
                <w:color w:val="000000"/>
                <w:szCs w:val="18"/>
              </w:rPr>
              <w:t>100</w:t>
            </w:r>
            <w:r w:rsidRPr="000B315F">
              <w:rPr>
                <w:color w:val="000000"/>
              </w:rPr>
              <w:t xml:space="preserve"> </w:t>
            </w:r>
          </w:p>
        </w:tc>
      </w:tr>
      <w:tr w:rsidR="00476BAA" w:rsidRPr="00C36C8F" w:rsidTr="00476BAA">
        <w:tc>
          <w:tcPr>
            <w:tcW w:w="1595" w:type="dxa"/>
            <w:tcBorders>
              <w:top w:val="single" w:sz="4" w:space="0" w:color="808080"/>
              <w:bottom w:val="single" w:sz="4" w:space="0" w:color="808080"/>
              <w:right w:val="nil"/>
            </w:tcBorders>
            <w:shd w:val="clear" w:color="auto" w:fill="auto"/>
            <w:vAlign w:val="center"/>
          </w:tcPr>
          <w:p w:rsidR="00476BAA" w:rsidRPr="00C36C8F" w:rsidRDefault="00476BAA" w:rsidP="0016356F">
            <w:pPr>
              <w:pStyle w:val="TableText"/>
              <w:keepNext/>
              <w:keepLines/>
              <w:spacing w:line="240" w:lineRule="auto"/>
              <w:ind w:left="426"/>
            </w:pPr>
            <w:r w:rsidRPr="00C36C8F">
              <w:t>Tas</w:t>
            </w:r>
          </w:p>
        </w:tc>
        <w:tc>
          <w:tcPr>
            <w:tcW w:w="1595"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22,000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E03E4B">
            <w:pPr>
              <w:pStyle w:val="TableText"/>
              <w:keepNext/>
              <w:keepLines/>
              <w:spacing w:line="240" w:lineRule="auto"/>
              <w:jc w:val="right"/>
              <w:rPr>
                <w:rFonts w:cs="Arial"/>
                <w:szCs w:val="18"/>
              </w:rPr>
            </w:pPr>
            <w:r w:rsidRPr="000B315F">
              <w:rPr>
                <w:color w:val="000000"/>
              </w:rPr>
              <w:t xml:space="preserve"> </w:t>
            </w:r>
            <w:r w:rsidRPr="00476BAA">
              <w:rPr>
                <w:rFonts w:cs="Arial"/>
                <w:color w:val="000000"/>
                <w:szCs w:val="18"/>
              </w:rPr>
              <w:t xml:space="preserve">       535</w:t>
            </w:r>
            <w:r w:rsidRPr="000B315F">
              <w:rPr>
                <w:color w:val="000000"/>
              </w:rPr>
              <w:t xml:space="preserve">,000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476BAA">
            <w:pPr>
              <w:pStyle w:val="TableText"/>
              <w:keepNext/>
              <w:keepLines/>
              <w:spacing w:line="240" w:lineRule="auto"/>
              <w:jc w:val="right"/>
              <w:rPr>
                <w:rFonts w:cs="Arial"/>
                <w:szCs w:val="18"/>
              </w:rPr>
            </w:pPr>
            <w:r w:rsidRPr="000B315F">
              <w:rPr>
                <w:color w:val="000000"/>
              </w:rPr>
              <w:t xml:space="preserve"> 41,</w:t>
            </w:r>
            <w:r w:rsidRPr="00476BAA">
              <w:rPr>
                <w:rFonts w:cs="Arial"/>
                <w:color w:val="000000"/>
                <w:szCs w:val="18"/>
              </w:rPr>
              <w:t>600</w:t>
            </w:r>
            <w:r w:rsidRPr="000B315F">
              <w:rPr>
                <w:color w:val="000000"/>
              </w:rPr>
              <w:t xml:space="preserve"> </w:t>
            </w:r>
          </w:p>
        </w:tc>
      </w:tr>
      <w:tr w:rsidR="00476BAA" w:rsidRPr="00C36C8F" w:rsidTr="00476BAA">
        <w:tc>
          <w:tcPr>
            <w:tcW w:w="1595" w:type="dxa"/>
            <w:tcBorders>
              <w:top w:val="single" w:sz="4" w:space="0" w:color="808080"/>
              <w:bottom w:val="single" w:sz="4" w:space="0" w:color="808080"/>
              <w:right w:val="nil"/>
            </w:tcBorders>
            <w:shd w:val="clear" w:color="auto" w:fill="auto"/>
            <w:vAlign w:val="center"/>
          </w:tcPr>
          <w:p w:rsidR="00476BAA" w:rsidRPr="00C36C8F" w:rsidRDefault="00476BAA" w:rsidP="0016356F">
            <w:pPr>
              <w:pStyle w:val="TableText"/>
              <w:keepNext/>
              <w:keepLines/>
              <w:spacing w:line="240" w:lineRule="auto"/>
              <w:ind w:left="426"/>
            </w:pPr>
            <w:r w:rsidRPr="00C36C8F">
              <w:t>ACT</w:t>
            </w:r>
          </w:p>
        </w:tc>
        <w:tc>
          <w:tcPr>
            <w:tcW w:w="1595"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szCs w:val="18"/>
              </w:rPr>
            </w:pPr>
            <w:r w:rsidRPr="00476BAA">
              <w:rPr>
                <w:rFonts w:cs="Arial"/>
                <w:color w:val="000000"/>
                <w:szCs w:val="18"/>
              </w:rPr>
              <w:t xml:space="preserve">         </w:t>
            </w:r>
            <w:r w:rsidRPr="000B315F">
              <w:rPr>
                <w:color w:val="000000"/>
              </w:rPr>
              <w:t xml:space="preserve"> 26,000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E03E4B">
            <w:pPr>
              <w:pStyle w:val="TableText"/>
              <w:keepNext/>
              <w:keepLines/>
              <w:spacing w:line="240" w:lineRule="auto"/>
              <w:jc w:val="right"/>
              <w:rPr>
                <w:rFonts w:cs="Arial"/>
                <w:szCs w:val="18"/>
              </w:rPr>
            </w:pPr>
            <w:r w:rsidRPr="000B315F">
              <w:rPr>
                <w:color w:val="000000"/>
              </w:rPr>
              <w:t xml:space="preserve"> </w:t>
            </w:r>
            <w:r w:rsidRPr="00476BAA">
              <w:rPr>
                <w:rFonts w:cs="Arial"/>
                <w:color w:val="000000"/>
                <w:szCs w:val="18"/>
              </w:rPr>
              <w:t xml:space="preserve">       792</w:t>
            </w:r>
            <w:r w:rsidRPr="000B315F">
              <w:rPr>
                <w:color w:val="000000"/>
              </w:rPr>
              <w:t xml:space="preserve">,000 </w:t>
            </w:r>
          </w:p>
        </w:tc>
        <w:tc>
          <w:tcPr>
            <w:tcW w:w="1595"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476BAA">
            <w:pPr>
              <w:pStyle w:val="TableText"/>
              <w:keepNext/>
              <w:keepLines/>
              <w:spacing w:line="240" w:lineRule="auto"/>
              <w:jc w:val="right"/>
              <w:rPr>
                <w:rFonts w:cs="Arial"/>
                <w:szCs w:val="18"/>
              </w:rPr>
            </w:pPr>
            <w:r w:rsidRPr="000B315F">
              <w:rPr>
                <w:color w:val="000000"/>
              </w:rPr>
              <w:t xml:space="preserve"> </w:t>
            </w:r>
            <w:r w:rsidRPr="00476BAA">
              <w:rPr>
                <w:rFonts w:cs="Arial"/>
                <w:color w:val="000000"/>
                <w:szCs w:val="18"/>
              </w:rPr>
              <w:t>32</w:t>
            </w:r>
            <w:r w:rsidRPr="000B315F">
              <w:rPr>
                <w:color w:val="000000"/>
              </w:rPr>
              <w:t xml:space="preserve">,500 </w:t>
            </w:r>
          </w:p>
        </w:tc>
      </w:tr>
      <w:tr w:rsidR="00476BAA" w:rsidRPr="00C36C8F" w:rsidTr="00476BAA">
        <w:tc>
          <w:tcPr>
            <w:tcW w:w="1595" w:type="dxa"/>
            <w:tcBorders>
              <w:top w:val="single" w:sz="4" w:space="0" w:color="808080"/>
              <w:bottom w:val="single" w:sz="18" w:space="0" w:color="808080" w:themeColor="background1" w:themeShade="80"/>
              <w:right w:val="nil"/>
            </w:tcBorders>
            <w:shd w:val="clear" w:color="auto" w:fill="auto"/>
            <w:vAlign w:val="center"/>
          </w:tcPr>
          <w:p w:rsidR="00476BAA" w:rsidRPr="00C36C8F" w:rsidRDefault="00476BAA" w:rsidP="0016356F">
            <w:pPr>
              <w:pStyle w:val="TableText"/>
              <w:keepNext/>
              <w:keepLines/>
              <w:spacing w:line="240" w:lineRule="auto"/>
              <w:ind w:left="426"/>
            </w:pPr>
            <w:r w:rsidRPr="00C36C8F">
              <w:t>NT</w:t>
            </w:r>
          </w:p>
        </w:tc>
        <w:tc>
          <w:tcPr>
            <w:tcW w:w="1595"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b/>
                <w:szCs w:val="18"/>
              </w:rPr>
            </w:pPr>
            <w:r w:rsidRPr="00476BAA">
              <w:rPr>
                <w:rFonts w:cs="Arial"/>
                <w:color w:val="000000"/>
                <w:szCs w:val="18"/>
              </w:rPr>
              <w:t xml:space="preserve">         </w:t>
            </w:r>
            <w:r w:rsidRPr="000B315F">
              <w:rPr>
                <w:color w:val="000000"/>
              </w:rPr>
              <w:t xml:space="preserve"> 17,000 </w:t>
            </w:r>
          </w:p>
        </w:tc>
        <w:tc>
          <w:tcPr>
            <w:tcW w:w="1595"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E03E4B">
            <w:pPr>
              <w:pStyle w:val="TableText"/>
              <w:keepNext/>
              <w:keepLines/>
              <w:spacing w:line="240" w:lineRule="auto"/>
              <w:jc w:val="right"/>
              <w:rPr>
                <w:rFonts w:cs="Arial"/>
                <w:b/>
                <w:szCs w:val="18"/>
              </w:rPr>
            </w:pPr>
            <w:r w:rsidRPr="000B315F">
              <w:rPr>
                <w:color w:val="000000"/>
              </w:rPr>
              <w:t xml:space="preserve"> </w:t>
            </w:r>
            <w:r w:rsidRPr="00476BAA">
              <w:rPr>
                <w:rFonts w:cs="Arial"/>
                <w:color w:val="000000"/>
                <w:szCs w:val="18"/>
              </w:rPr>
              <w:t xml:space="preserve">       381</w:t>
            </w:r>
            <w:r w:rsidRPr="000B315F">
              <w:rPr>
                <w:color w:val="000000"/>
              </w:rPr>
              <w:t xml:space="preserve">,000 </w:t>
            </w:r>
          </w:p>
        </w:tc>
        <w:tc>
          <w:tcPr>
            <w:tcW w:w="1595"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b/>
                <w:szCs w:val="18"/>
              </w:rPr>
            </w:pPr>
            <w:r w:rsidRPr="000B315F">
              <w:rPr>
                <w:color w:val="000000"/>
              </w:rPr>
              <w:t>43,</w:t>
            </w:r>
            <w:r w:rsidRPr="00476BAA">
              <w:rPr>
                <w:rFonts w:cs="Arial"/>
                <w:color w:val="000000"/>
                <w:szCs w:val="18"/>
              </w:rPr>
              <w:t>700</w:t>
            </w:r>
            <w:r w:rsidRPr="000B315F">
              <w:rPr>
                <w:color w:val="000000"/>
              </w:rPr>
              <w:t xml:space="preserve"> </w:t>
            </w:r>
          </w:p>
        </w:tc>
      </w:tr>
      <w:tr w:rsidR="00476BAA" w:rsidRPr="00C36C8F" w:rsidTr="00476BAA">
        <w:tc>
          <w:tcPr>
            <w:tcW w:w="1595" w:type="dxa"/>
            <w:tcBorders>
              <w:top w:val="single" w:sz="4" w:space="0" w:color="808080"/>
              <w:bottom w:val="single" w:sz="18" w:space="0" w:color="7F7F7F" w:themeColor="text1" w:themeTint="80"/>
              <w:right w:val="nil"/>
            </w:tcBorders>
            <w:shd w:val="clear" w:color="auto" w:fill="auto"/>
            <w:vAlign w:val="center"/>
          </w:tcPr>
          <w:p w:rsidR="00476BAA" w:rsidRPr="00C36C8F" w:rsidRDefault="00476BAA" w:rsidP="0016356F">
            <w:pPr>
              <w:pStyle w:val="TableText"/>
              <w:keepNext/>
              <w:keepLines/>
              <w:spacing w:line="240" w:lineRule="auto"/>
              <w:ind w:left="426"/>
            </w:pPr>
            <w:r w:rsidRPr="00C36C8F">
              <w:t>National</w:t>
            </w:r>
          </w:p>
        </w:tc>
        <w:tc>
          <w:tcPr>
            <w:tcW w:w="1595"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476BAA" w:rsidRDefault="00476BAA" w:rsidP="0016356F">
            <w:pPr>
              <w:pStyle w:val="TableText"/>
              <w:keepNext/>
              <w:keepLines/>
              <w:spacing w:line="240" w:lineRule="auto"/>
              <w:jc w:val="right"/>
              <w:rPr>
                <w:rFonts w:cs="Arial"/>
                <w:b/>
                <w:szCs w:val="18"/>
              </w:rPr>
            </w:pPr>
            <w:r w:rsidRPr="00476BAA">
              <w:rPr>
                <w:rFonts w:cs="Arial"/>
                <w:color w:val="000000"/>
                <w:szCs w:val="18"/>
              </w:rPr>
              <w:t xml:space="preserve">    </w:t>
            </w:r>
            <w:r w:rsidRPr="000B315F">
              <w:rPr>
                <w:color w:val="000000"/>
              </w:rPr>
              <w:t xml:space="preserve"> 1,255,000 </w:t>
            </w:r>
          </w:p>
        </w:tc>
        <w:tc>
          <w:tcPr>
            <w:tcW w:w="1595"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476BAA" w:rsidRDefault="00476BAA" w:rsidP="00E03E4B">
            <w:pPr>
              <w:pStyle w:val="TableText"/>
              <w:keepNext/>
              <w:keepLines/>
              <w:spacing w:line="240" w:lineRule="auto"/>
              <w:jc w:val="right"/>
              <w:rPr>
                <w:rFonts w:cs="Arial"/>
                <w:b/>
                <w:szCs w:val="18"/>
              </w:rPr>
            </w:pPr>
            <w:r w:rsidRPr="00476BAA">
              <w:rPr>
                <w:rFonts w:cs="Arial"/>
                <w:color w:val="000000"/>
                <w:szCs w:val="18"/>
              </w:rPr>
              <w:t xml:space="preserve">  </w:t>
            </w:r>
            <w:r w:rsidRPr="000B315F">
              <w:rPr>
                <w:color w:val="000000"/>
              </w:rPr>
              <w:t xml:space="preserve"> 46,</w:t>
            </w:r>
            <w:r w:rsidRPr="00476BAA">
              <w:rPr>
                <w:rFonts w:cs="Arial"/>
                <w:color w:val="000000"/>
                <w:szCs w:val="18"/>
              </w:rPr>
              <w:t>844</w:t>
            </w:r>
            <w:r w:rsidRPr="000B315F">
              <w:rPr>
                <w:color w:val="000000"/>
              </w:rPr>
              <w:t xml:space="preserve">,000 </w:t>
            </w:r>
          </w:p>
        </w:tc>
        <w:tc>
          <w:tcPr>
            <w:tcW w:w="1595"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476BAA" w:rsidRDefault="00476BAA" w:rsidP="00476BAA">
            <w:pPr>
              <w:pStyle w:val="TableText"/>
              <w:keepNext/>
              <w:keepLines/>
              <w:spacing w:line="240" w:lineRule="auto"/>
              <w:jc w:val="right"/>
              <w:rPr>
                <w:rFonts w:cs="Arial"/>
                <w:b/>
                <w:szCs w:val="18"/>
              </w:rPr>
            </w:pPr>
            <w:r w:rsidRPr="000B315F">
              <w:rPr>
                <w:color w:val="000000"/>
              </w:rPr>
              <w:t xml:space="preserve"> 26,800 </w:t>
            </w:r>
          </w:p>
        </w:tc>
      </w:tr>
    </w:tbl>
    <w:p w:rsidR="0016356F" w:rsidRPr="00C36C8F" w:rsidRDefault="0016356F" w:rsidP="00941310">
      <w:pPr>
        <w:pStyle w:val="ParaIndent"/>
        <w:spacing w:before="120"/>
        <w:ind w:left="1560"/>
      </w:pPr>
      <w:r w:rsidRPr="00C36C8F">
        <w:rPr>
          <w:sz w:val="16"/>
          <w:szCs w:val="16"/>
        </w:rPr>
        <w:t>$GSP and tonnage values have been rounded. Minor discrepancies may occur between the stated totals and the sums of the component items, as totals are calculated using the component item values prior to rounding.</w:t>
      </w:r>
    </w:p>
    <w:tbl>
      <w:tblPr>
        <w:tblW w:w="0" w:type="auto"/>
        <w:tblInd w:w="1242" w:type="dxa"/>
        <w:tblLayout w:type="fixed"/>
        <w:tblCellMar>
          <w:left w:w="0" w:type="dxa"/>
          <w:right w:w="0" w:type="dxa"/>
        </w:tblCellMar>
        <w:tblLook w:val="0000"/>
      </w:tblPr>
      <w:tblGrid>
        <w:gridCol w:w="8505"/>
      </w:tblGrid>
      <w:tr w:rsidR="007575A0" w:rsidRPr="00C36C8F" w:rsidTr="000B315F">
        <w:trPr>
          <w:trHeight w:val="4802"/>
        </w:trPr>
        <w:tc>
          <w:tcPr>
            <w:tcW w:w="8505" w:type="dxa"/>
          </w:tcPr>
          <w:p w:rsidR="007575A0" w:rsidRPr="00C36C8F" w:rsidRDefault="00476BAA" w:rsidP="007575A0">
            <w:pPr>
              <w:pStyle w:val="Heading40"/>
              <w:tabs>
                <w:tab w:val="clear" w:pos="1134"/>
                <w:tab w:val="left" w:pos="0"/>
              </w:tabs>
              <w:spacing w:before="0" w:after="0" w:line="240" w:lineRule="auto"/>
              <w:ind w:left="0"/>
            </w:pPr>
            <w:r>
              <w:rPr>
                <w:noProof/>
                <w:lang w:eastAsia="en-AU"/>
              </w:rPr>
              <w:drawing>
                <wp:inline distT="0" distB="0" distL="0" distR="0">
                  <wp:extent cx="5164667" cy="3144309"/>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575A0" w:rsidRPr="00C36C8F" w:rsidTr="0070337A">
        <w:tblPrEx>
          <w:tblCellMar>
            <w:left w:w="108" w:type="dxa"/>
            <w:right w:w="108" w:type="dxa"/>
          </w:tblCellMar>
        </w:tblPrEx>
        <w:trPr>
          <w:trHeight w:val="377"/>
        </w:trPr>
        <w:tc>
          <w:tcPr>
            <w:tcW w:w="8505" w:type="dxa"/>
          </w:tcPr>
          <w:p w:rsidR="007575A0" w:rsidRPr="00C36C8F" w:rsidRDefault="007575A0" w:rsidP="007575A0">
            <w:pPr>
              <w:pStyle w:val="Caption"/>
              <w:spacing w:before="0" w:after="0"/>
            </w:pPr>
            <w:bookmarkStart w:id="131" w:name="_Ref301350583"/>
            <w:bookmarkStart w:id="132" w:name="_Ref301350531"/>
            <w:r w:rsidRPr="00C36C8F">
              <w:t xml:space="preserve">Figure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Figure \* Arabic </w:instrText>
            </w:r>
            <w:r w:rsidR="00B9555F" w:rsidRPr="00C36C8F">
              <w:fldChar w:fldCharType="separate"/>
            </w:r>
            <w:r w:rsidR="00AE7E3B">
              <w:rPr>
                <w:noProof/>
              </w:rPr>
              <w:t>10</w:t>
            </w:r>
            <w:r w:rsidR="00B9555F" w:rsidRPr="00C36C8F">
              <w:rPr>
                <w:noProof/>
              </w:rPr>
              <w:fldChar w:fldCharType="end"/>
            </w:r>
            <w:bookmarkEnd w:id="131"/>
            <w:r w:rsidRPr="00C36C8F">
              <w:tab/>
              <w:t>$GSP per tonne of waste generated, by jurisdiction, 2008-09</w:t>
            </w:r>
            <w:bookmarkEnd w:id="132"/>
          </w:p>
        </w:tc>
      </w:tr>
      <w:tr w:rsidR="007575A0" w:rsidRPr="00C36C8F" w:rsidTr="000B315F">
        <w:tblPrEx>
          <w:tblCellMar>
            <w:left w:w="108" w:type="dxa"/>
            <w:right w:w="108" w:type="dxa"/>
          </w:tblCellMar>
        </w:tblPrEx>
        <w:tc>
          <w:tcPr>
            <w:tcW w:w="8505" w:type="dxa"/>
          </w:tcPr>
          <w:p w:rsidR="007575A0" w:rsidRPr="00C36C8F" w:rsidRDefault="007575A0" w:rsidP="00737EB3">
            <w:pPr>
              <w:pStyle w:val="TableText"/>
              <w:spacing w:line="240" w:lineRule="auto"/>
              <w:jc w:val="both"/>
              <w:rPr>
                <w:sz w:val="16"/>
                <w:szCs w:val="16"/>
              </w:rPr>
            </w:pPr>
            <w:r w:rsidRPr="00C36C8F">
              <w:rPr>
                <w:sz w:val="16"/>
                <w:szCs w:val="16"/>
              </w:rPr>
              <w:t xml:space="preserve">Gross State Product ($GSP) data (year ending 30 June 2009) accessed from ABS Release </w:t>
            </w:r>
            <w:r w:rsidRPr="00C36C8F">
              <w:rPr>
                <w:i/>
                <w:sz w:val="16"/>
                <w:szCs w:val="16"/>
              </w:rPr>
              <w:t>5220.0 Australian National Accounts: State Accounts</w:t>
            </w:r>
            <w:r w:rsidRPr="00C36C8F">
              <w:rPr>
                <w:sz w:val="16"/>
                <w:szCs w:val="16"/>
              </w:rPr>
              <w:t>.</w:t>
            </w:r>
          </w:p>
          <w:p w:rsidR="00EB3021" w:rsidRPr="00C36C8F" w:rsidRDefault="00EB3021" w:rsidP="00737EB3">
            <w:pPr>
              <w:pStyle w:val="TableText"/>
              <w:spacing w:line="240" w:lineRule="auto"/>
              <w:jc w:val="both"/>
              <w:rPr>
                <w:sz w:val="16"/>
                <w:szCs w:val="16"/>
              </w:rPr>
            </w:pPr>
          </w:p>
          <w:p w:rsidR="00EB3021" w:rsidRPr="00C36C8F" w:rsidRDefault="00B9555F" w:rsidP="00941310">
            <w:pPr>
              <w:pStyle w:val="ParaIndent"/>
              <w:ind w:left="0"/>
              <w:jc w:val="both"/>
              <w:rPr>
                <w:sz w:val="16"/>
                <w:szCs w:val="16"/>
              </w:rPr>
            </w:pPr>
            <w:fldSimple w:instr=" REF _Ref284591121 \h  \* MERGEFORMAT ">
              <w:r w:rsidR="00AE7E3B" w:rsidRPr="00C36C8F">
                <w:t xml:space="preserve">Table </w:t>
              </w:r>
              <w:r w:rsidR="00AE7E3B">
                <w:rPr>
                  <w:noProof/>
                </w:rPr>
                <w:t>4</w:t>
              </w:r>
              <w:r w:rsidR="00AE7E3B" w:rsidRPr="00C36C8F">
                <w:rPr>
                  <w:noProof/>
                </w:rPr>
                <w:t>-</w:t>
              </w:r>
              <w:r w:rsidR="00AE7E3B">
                <w:rPr>
                  <w:noProof/>
                </w:rPr>
                <w:t>9</w:t>
              </w:r>
            </w:fldSimple>
            <w:r w:rsidR="00EB3021" w:rsidRPr="00C36C8F">
              <w:t xml:space="preserve">, below, addresses waste generation, recycling and recovery rates by material category. Similarly to </w:t>
            </w:r>
            <w:fldSimple w:instr=" REF _Ref284590995 \h  \* MERGEFORMAT ">
              <w:r w:rsidR="00AE7E3B" w:rsidRPr="00A54D83">
                <w:t xml:space="preserve">Table </w:t>
              </w:r>
              <w:r w:rsidR="00AE7E3B">
                <w:rPr>
                  <w:noProof/>
                </w:rPr>
                <w:t>4</w:t>
              </w:r>
              <w:r w:rsidR="00AE7E3B" w:rsidRPr="00A54D83">
                <w:rPr>
                  <w:noProof/>
                </w:rPr>
                <w:t>-</w:t>
              </w:r>
              <w:r w:rsidR="00AE7E3B">
                <w:rPr>
                  <w:noProof/>
                </w:rPr>
                <w:t>7</w:t>
              </w:r>
            </w:fldSimple>
            <w:r w:rsidR="00EB3021" w:rsidRPr="00C36C8F">
              <w:t xml:space="preserve"> recovery rates vary from the recycling rates as they include energy as well as material recovery. The recovery rate has been determined as a proportion of total generation. </w:t>
            </w:r>
          </w:p>
        </w:tc>
      </w:tr>
    </w:tbl>
    <w:p w:rsidR="00F86247" w:rsidRDefault="00F86247" w:rsidP="00DE05C7">
      <w:pPr>
        <w:pStyle w:val="ParaIndent"/>
      </w:pPr>
      <w:r>
        <w:t xml:space="preserve">The following tables provide </w:t>
      </w:r>
      <w:r w:rsidR="00B81272">
        <w:t xml:space="preserve">a summary of key information </w:t>
      </w:r>
      <w:r w:rsidR="00C16F94">
        <w:t xml:space="preserve">for each jurisdiction </w:t>
      </w:r>
      <w:r w:rsidR="00B81272">
        <w:t>regarding generation, recovery and disposal by material type, and by source sector</w:t>
      </w:r>
      <w:r w:rsidR="00C16F94">
        <w:t>. The tables are:</w:t>
      </w:r>
    </w:p>
    <w:p w:rsidR="00B81272" w:rsidRDefault="00B9555F" w:rsidP="00DE05C7">
      <w:pPr>
        <w:pStyle w:val="ParaIndent"/>
      </w:pPr>
      <w:r>
        <w:fldChar w:fldCharType="begin"/>
      </w:r>
      <w:r w:rsidR="00B81272">
        <w:instrText xml:space="preserve"> REF _Ref325020561 \h </w:instrText>
      </w:r>
      <w:r>
        <w:fldChar w:fldCharType="separate"/>
      </w:r>
      <w:r w:rsidR="00AE7E3B" w:rsidRPr="00C36C8F">
        <w:t xml:space="preserve">Table </w:t>
      </w:r>
      <w:r w:rsidR="00AE7E3B">
        <w:rPr>
          <w:noProof/>
        </w:rPr>
        <w:t>4</w:t>
      </w:r>
      <w:r w:rsidR="00AE7E3B" w:rsidRPr="00C36C8F">
        <w:t>-</w:t>
      </w:r>
      <w:r w:rsidR="00AE7E3B">
        <w:rPr>
          <w:noProof/>
        </w:rPr>
        <w:t>9</w:t>
      </w:r>
      <w:r w:rsidR="00AE7E3B" w:rsidRPr="00C36C8F">
        <w:tab/>
        <w:t>Waste generation, recycling and recov</w:t>
      </w:r>
      <w:r w:rsidR="00AE7E3B">
        <w:t>ery rates by material category,</w:t>
      </w:r>
      <w:r w:rsidR="00AE7E3B" w:rsidRPr="00C36C8F">
        <w:t xml:space="preserve"> 2008–09</w:t>
      </w:r>
      <w:r>
        <w:fldChar w:fldCharType="end"/>
      </w:r>
    </w:p>
    <w:p w:rsidR="00B81272" w:rsidRDefault="00B9555F" w:rsidP="00DE05C7">
      <w:pPr>
        <w:pStyle w:val="ParaIndent"/>
      </w:pPr>
      <w:r>
        <w:fldChar w:fldCharType="begin"/>
      </w:r>
      <w:r w:rsidR="00B81272">
        <w:instrText xml:space="preserve"> REF _Ref325020570 \h </w:instrText>
      </w:r>
      <w:r>
        <w:fldChar w:fldCharType="separate"/>
      </w:r>
      <w:r w:rsidR="00AE7E3B" w:rsidRPr="00C36C8F">
        <w:t xml:space="preserve">Table </w:t>
      </w:r>
      <w:r w:rsidR="00AE7E3B">
        <w:rPr>
          <w:noProof/>
        </w:rPr>
        <w:t>4</w:t>
      </w:r>
      <w:r w:rsidR="00AE7E3B" w:rsidRPr="00C36C8F">
        <w:t>-</w:t>
      </w:r>
      <w:r w:rsidR="00AE7E3B">
        <w:rPr>
          <w:noProof/>
        </w:rPr>
        <w:t>10</w:t>
      </w:r>
      <w:r w:rsidR="00AE7E3B" w:rsidRPr="00C36C8F">
        <w:tab/>
        <w:t xml:space="preserve">Recycling, by </w:t>
      </w:r>
      <w:r w:rsidR="00AE7E3B">
        <w:t xml:space="preserve">material category and </w:t>
      </w:r>
      <w:r w:rsidR="00AE7E3B" w:rsidRPr="00C36C8F">
        <w:t>jurisdiction, 2008–09</w:t>
      </w:r>
      <w:r>
        <w:fldChar w:fldCharType="end"/>
      </w:r>
    </w:p>
    <w:p w:rsidR="00B81272" w:rsidRDefault="00B9555F" w:rsidP="00DE05C7">
      <w:pPr>
        <w:pStyle w:val="ParaIndent"/>
      </w:pPr>
      <w:r>
        <w:fldChar w:fldCharType="begin"/>
      </w:r>
      <w:r w:rsidR="00B81272">
        <w:instrText xml:space="preserve"> REF _Ref325020575 \h </w:instrText>
      </w:r>
      <w:r>
        <w:fldChar w:fldCharType="separate"/>
      </w:r>
      <w:r w:rsidR="00AE7E3B" w:rsidRPr="00C36C8F">
        <w:t xml:space="preserve">Table </w:t>
      </w:r>
      <w:r w:rsidR="00AE7E3B">
        <w:rPr>
          <w:noProof/>
        </w:rPr>
        <w:t>4</w:t>
      </w:r>
      <w:r w:rsidR="00AE7E3B" w:rsidRPr="00C36C8F">
        <w:t>-</w:t>
      </w:r>
      <w:r w:rsidR="00AE7E3B">
        <w:rPr>
          <w:noProof/>
        </w:rPr>
        <w:t>11</w:t>
      </w:r>
      <w:r w:rsidR="00AE7E3B" w:rsidRPr="00C36C8F">
        <w:tab/>
      </w:r>
      <w:r w:rsidR="00AE7E3B">
        <w:t>Waste generation and disposal,</w:t>
      </w:r>
      <w:r w:rsidR="00AE7E3B" w:rsidRPr="00C36C8F">
        <w:t xml:space="preserve"> by </w:t>
      </w:r>
      <w:r w:rsidR="00AE7E3B">
        <w:t>source sector and jurisdiction</w:t>
      </w:r>
      <w:r w:rsidR="00AE7E3B" w:rsidRPr="00C36C8F">
        <w:t>, 2008–09</w:t>
      </w:r>
      <w:r>
        <w:fldChar w:fldCharType="end"/>
      </w:r>
    </w:p>
    <w:p w:rsidR="00B81272" w:rsidRDefault="00B9555F" w:rsidP="00DE05C7">
      <w:pPr>
        <w:pStyle w:val="ParaIndent"/>
      </w:pPr>
      <w:r>
        <w:fldChar w:fldCharType="begin"/>
      </w:r>
      <w:r w:rsidR="00B81272">
        <w:instrText xml:space="preserve"> REF _Ref325020583 \h </w:instrText>
      </w:r>
      <w:r>
        <w:fldChar w:fldCharType="separate"/>
      </w:r>
      <w:r w:rsidR="00AE7E3B" w:rsidRPr="00C36C8F">
        <w:t xml:space="preserve">Table </w:t>
      </w:r>
      <w:r w:rsidR="00AE7E3B">
        <w:rPr>
          <w:noProof/>
        </w:rPr>
        <w:t>4</w:t>
      </w:r>
      <w:r w:rsidR="00AE7E3B" w:rsidRPr="00C36C8F">
        <w:t>-</w:t>
      </w:r>
      <w:r w:rsidR="00AE7E3B">
        <w:rPr>
          <w:noProof/>
        </w:rPr>
        <w:t>12</w:t>
      </w:r>
      <w:r w:rsidR="00AE7E3B" w:rsidRPr="00C36C8F">
        <w:tab/>
      </w:r>
      <w:r w:rsidR="00AE7E3B">
        <w:t>Recycling and energy recovery,</w:t>
      </w:r>
      <w:r w:rsidR="00AE7E3B" w:rsidRPr="00C36C8F">
        <w:t xml:space="preserve"> by </w:t>
      </w:r>
      <w:r w:rsidR="00AE7E3B">
        <w:t>source sector and jurisdiction</w:t>
      </w:r>
      <w:r w:rsidR="00AE7E3B" w:rsidRPr="00C36C8F">
        <w:t>, 2008–09</w:t>
      </w:r>
      <w:r>
        <w:fldChar w:fldCharType="end"/>
      </w:r>
      <w:r w:rsidR="00A4207A">
        <w:t>.</w:t>
      </w:r>
    </w:p>
    <w:p w:rsidR="00F86247" w:rsidRDefault="00F86247" w:rsidP="00DE05C7">
      <w:pPr>
        <w:pStyle w:val="ParaIndent"/>
      </w:pPr>
    </w:p>
    <w:p w:rsidR="00F86247" w:rsidRPr="00C36C8F" w:rsidRDefault="00F86247" w:rsidP="00DE05C7">
      <w:pPr>
        <w:pStyle w:val="ParaIndent"/>
      </w:pPr>
    </w:p>
    <w:p w:rsidR="007575A0" w:rsidRPr="00C36C8F" w:rsidRDefault="007575A0" w:rsidP="00DE05C7">
      <w:pPr>
        <w:pStyle w:val="ParaIndent"/>
        <w:sectPr w:rsidR="007575A0" w:rsidRPr="00C36C8F" w:rsidSect="00860B52">
          <w:pgSz w:w="11907" w:h="16840" w:code="9"/>
          <w:pgMar w:top="1134" w:right="1134" w:bottom="1134" w:left="1134" w:header="567" w:footer="567" w:gutter="0"/>
          <w:cols w:space="708"/>
          <w:docGrid w:linePitch="360"/>
        </w:sectPr>
      </w:pPr>
    </w:p>
    <w:p w:rsidR="00DE05C7" w:rsidRPr="00C36C8F" w:rsidRDefault="00DE05C7" w:rsidP="00DE05C7">
      <w:pPr>
        <w:pStyle w:val="Caption"/>
      </w:pPr>
      <w:bookmarkStart w:id="133" w:name="_Ref284591121"/>
      <w:bookmarkStart w:id="134" w:name="_Ref325020561"/>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9</w:t>
      </w:r>
      <w:r w:rsidR="00B9555F" w:rsidRPr="00C36C8F">
        <w:rPr>
          <w:noProof/>
        </w:rPr>
        <w:fldChar w:fldCharType="end"/>
      </w:r>
      <w:bookmarkEnd w:id="133"/>
      <w:r w:rsidRPr="00C36C8F">
        <w:tab/>
        <w:t>Waste generation, recycling and recov</w:t>
      </w:r>
      <w:r w:rsidR="00B81272">
        <w:t>ery rates by material category,</w:t>
      </w:r>
      <w:r w:rsidRPr="00C36C8F">
        <w:t xml:space="preserve"> 2008–09</w:t>
      </w:r>
      <w:bookmarkEnd w:id="134"/>
    </w:p>
    <w:tbl>
      <w:tblPr>
        <w:tblW w:w="14603" w:type="dxa"/>
        <w:tblBorders>
          <w:bottom w:val="single" w:sz="18" w:space="0" w:color="808080"/>
          <w:insideH w:val="single" w:sz="4" w:space="0" w:color="808080"/>
        </w:tblBorders>
        <w:tblLayout w:type="fixed"/>
        <w:tblCellMar>
          <w:left w:w="0" w:type="dxa"/>
          <w:right w:w="0" w:type="dxa"/>
        </w:tblCellMar>
        <w:tblLook w:val="01E0"/>
      </w:tblPr>
      <w:tblGrid>
        <w:gridCol w:w="1692"/>
        <w:gridCol w:w="7"/>
        <w:gridCol w:w="1837"/>
        <w:gridCol w:w="1846"/>
        <w:gridCol w:w="1845"/>
        <w:gridCol w:w="1843"/>
        <w:gridCol w:w="1843"/>
        <w:gridCol w:w="1845"/>
        <w:gridCol w:w="1845"/>
      </w:tblGrid>
      <w:tr w:rsidR="00283837" w:rsidRPr="00C36C8F" w:rsidTr="00D94EF8">
        <w:tc>
          <w:tcPr>
            <w:tcW w:w="3536" w:type="dxa"/>
            <w:gridSpan w:val="3"/>
            <w:vMerge w:val="restart"/>
            <w:tcBorders>
              <w:right w:val="single" w:sz="8" w:space="0" w:color="808080" w:themeColor="background1" w:themeShade="80"/>
            </w:tcBorders>
            <w:shd w:val="clear" w:color="auto" w:fill="auto"/>
            <w:vAlign w:val="center"/>
          </w:tcPr>
          <w:p w:rsidR="00283837" w:rsidRPr="00C36C8F" w:rsidRDefault="00283837" w:rsidP="00D94EF8">
            <w:pPr>
              <w:pStyle w:val="TableHeading"/>
              <w:jc w:val="center"/>
              <w:rPr>
                <w:kern w:val="28"/>
              </w:rPr>
            </w:pPr>
          </w:p>
        </w:tc>
        <w:tc>
          <w:tcPr>
            <w:tcW w:w="1846" w:type="dxa"/>
            <w:vMerge w:val="restart"/>
            <w:tcBorders>
              <w:top w:val="nil"/>
              <w:left w:val="single" w:sz="8" w:space="0" w:color="808080" w:themeColor="background1" w:themeShade="80"/>
              <w:right w:val="single" w:sz="8" w:space="0" w:color="808080" w:themeColor="background1" w:themeShade="80"/>
            </w:tcBorders>
            <w:shd w:val="clear" w:color="auto" w:fill="auto"/>
            <w:vAlign w:val="center"/>
          </w:tcPr>
          <w:p w:rsidR="00283837" w:rsidRPr="00C36C8F" w:rsidRDefault="00283837" w:rsidP="00D77275">
            <w:pPr>
              <w:pStyle w:val="TableHeading"/>
              <w:jc w:val="center"/>
              <w:rPr>
                <w:kern w:val="28"/>
              </w:rPr>
            </w:pPr>
            <w:r w:rsidRPr="00C36C8F">
              <w:rPr>
                <w:kern w:val="28"/>
              </w:rPr>
              <w:t>Waste generation</w:t>
            </w:r>
          </w:p>
        </w:tc>
        <w:tc>
          <w:tcPr>
            <w:tcW w:w="9221" w:type="dxa"/>
            <w:gridSpan w:val="5"/>
            <w:tcBorders>
              <w:top w:val="nil"/>
            </w:tcBorders>
          </w:tcPr>
          <w:p w:rsidR="00283837" w:rsidRPr="00C36C8F" w:rsidRDefault="00283837" w:rsidP="00D77275">
            <w:pPr>
              <w:pStyle w:val="TableHeading"/>
              <w:jc w:val="center"/>
              <w:rPr>
                <w:kern w:val="28"/>
              </w:rPr>
            </w:pPr>
            <w:r w:rsidRPr="00C36C8F">
              <w:rPr>
                <w:kern w:val="28"/>
              </w:rPr>
              <w:t>Destination</w:t>
            </w:r>
          </w:p>
        </w:tc>
      </w:tr>
      <w:tr w:rsidR="00283837" w:rsidRPr="00C36C8F" w:rsidTr="00D94EF8">
        <w:tc>
          <w:tcPr>
            <w:tcW w:w="3536" w:type="dxa"/>
            <w:gridSpan w:val="3"/>
            <w:vMerge/>
            <w:tcBorders>
              <w:right w:val="single" w:sz="8" w:space="0" w:color="808080" w:themeColor="background1" w:themeShade="80"/>
            </w:tcBorders>
            <w:shd w:val="clear" w:color="auto" w:fill="auto"/>
          </w:tcPr>
          <w:p w:rsidR="00283837" w:rsidRPr="00C36C8F" w:rsidRDefault="00283837" w:rsidP="00D77275">
            <w:pPr>
              <w:pStyle w:val="TableText"/>
              <w:jc w:val="center"/>
            </w:pPr>
          </w:p>
        </w:tc>
        <w:tc>
          <w:tcPr>
            <w:tcW w:w="1846" w:type="dxa"/>
            <w:vMerge/>
            <w:tcBorders>
              <w:left w:val="single" w:sz="8" w:space="0" w:color="808080" w:themeColor="background1" w:themeShade="80"/>
              <w:right w:val="single" w:sz="8" w:space="0" w:color="808080" w:themeColor="background1" w:themeShade="80"/>
            </w:tcBorders>
            <w:shd w:val="clear" w:color="auto" w:fill="auto"/>
            <w:vAlign w:val="center"/>
          </w:tcPr>
          <w:p w:rsidR="00283837" w:rsidRPr="00C36C8F" w:rsidRDefault="00283837" w:rsidP="00D77275">
            <w:pPr>
              <w:pStyle w:val="TableText"/>
              <w:jc w:val="center"/>
            </w:pPr>
          </w:p>
        </w:tc>
        <w:tc>
          <w:tcPr>
            <w:tcW w:w="1845" w:type="dxa"/>
            <w:tcBorders>
              <w:left w:val="single" w:sz="8" w:space="0" w:color="808080" w:themeColor="background1" w:themeShade="80"/>
              <w:right w:val="single" w:sz="8" w:space="0" w:color="808080" w:themeColor="background1" w:themeShade="80"/>
            </w:tcBorders>
            <w:shd w:val="clear" w:color="auto" w:fill="auto"/>
            <w:vAlign w:val="center"/>
          </w:tcPr>
          <w:p w:rsidR="00283837" w:rsidRPr="00C36C8F" w:rsidRDefault="00283837" w:rsidP="00D77275">
            <w:pPr>
              <w:pStyle w:val="TableHeading"/>
              <w:jc w:val="center"/>
              <w:rPr>
                <w:kern w:val="28"/>
              </w:rPr>
            </w:pPr>
            <w:r w:rsidRPr="00C36C8F">
              <w:rPr>
                <w:kern w:val="28"/>
              </w:rPr>
              <w:t>Disposal</w:t>
            </w:r>
          </w:p>
        </w:tc>
        <w:tc>
          <w:tcPr>
            <w:tcW w:w="1843" w:type="dxa"/>
            <w:tcBorders>
              <w:left w:val="single" w:sz="8" w:space="0" w:color="808080" w:themeColor="background1" w:themeShade="80"/>
              <w:right w:val="single" w:sz="8" w:space="0" w:color="808080" w:themeColor="background1" w:themeShade="80"/>
            </w:tcBorders>
            <w:shd w:val="clear" w:color="auto" w:fill="auto"/>
            <w:vAlign w:val="center"/>
          </w:tcPr>
          <w:p w:rsidR="00283837" w:rsidRPr="00C36C8F" w:rsidRDefault="00283837" w:rsidP="00D77275">
            <w:pPr>
              <w:pStyle w:val="TableHeading"/>
              <w:jc w:val="center"/>
              <w:rPr>
                <w:kern w:val="28"/>
              </w:rPr>
            </w:pPr>
            <w:r w:rsidRPr="00C36C8F">
              <w:rPr>
                <w:kern w:val="28"/>
              </w:rPr>
              <w:t>Recycling</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Pr>
          <w:p w:rsidR="00283837" w:rsidRPr="00C36C8F" w:rsidRDefault="00283837" w:rsidP="00D77275">
            <w:pPr>
              <w:pStyle w:val="TableHeading"/>
              <w:jc w:val="center"/>
              <w:rPr>
                <w:kern w:val="28"/>
              </w:rPr>
            </w:pPr>
            <w:r w:rsidRPr="00C36C8F">
              <w:rPr>
                <w:kern w:val="28"/>
              </w:rPr>
              <w:t>Recycling rate</w:t>
            </w:r>
          </w:p>
        </w:tc>
        <w:tc>
          <w:tcPr>
            <w:tcW w:w="1845" w:type="dxa"/>
            <w:tcBorders>
              <w:left w:val="single" w:sz="8" w:space="0" w:color="808080" w:themeColor="background1" w:themeShade="80"/>
              <w:right w:val="single" w:sz="8" w:space="0" w:color="808080" w:themeColor="background1" w:themeShade="80"/>
            </w:tcBorders>
            <w:vAlign w:val="center"/>
          </w:tcPr>
          <w:p w:rsidR="00283837" w:rsidRPr="00C36C8F" w:rsidRDefault="00283837" w:rsidP="00D77275">
            <w:pPr>
              <w:pStyle w:val="TableHeading"/>
              <w:jc w:val="center"/>
              <w:rPr>
                <w:kern w:val="28"/>
              </w:rPr>
            </w:pPr>
            <w:r w:rsidRPr="00C36C8F">
              <w:rPr>
                <w:kern w:val="28"/>
              </w:rPr>
              <w:t>Energy recovery</w:t>
            </w:r>
          </w:p>
        </w:tc>
        <w:tc>
          <w:tcPr>
            <w:tcW w:w="1845" w:type="dxa"/>
            <w:tcBorders>
              <w:left w:val="single" w:sz="8" w:space="0" w:color="808080" w:themeColor="background1" w:themeShade="80"/>
            </w:tcBorders>
            <w:shd w:val="clear" w:color="auto" w:fill="D9D9D9" w:themeFill="background1" w:themeFillShade="D9"/>
            <w:vAlign w:val="center"/>
          </w:tcPr>
          <w:p w:rsidR="00283837" w:rsidRPr="00C36C8F" w:rsidRDefault="00283837" w:rsidP="00AF4660">
            <w:pPr>
              <w:pStyle w:val="TableHeading"/>
              <w:jc w:val="center"/>
              <w:rPr>
                <w:kern w:val="28"/>
              </w:rPr>
            </w:pPr>
            <w:r w:rsidRPr="00C36C8F">
              <w:rPr>
                <w:kern w:val="28"/>
              </w:rPr>
              <w:t>Recovery rate</w:t>
            </w:r>
          </w:p>
        </w:tc>
      </w:tr>
      <w:tr w:rsidR="00D94EF8" w:rsidRPr="00C36C8F" w:rsidTr="0070337A">
        <w:tc>
          <w:tcPr>
            <w:tcW w:w="1701" w:type="dxa"/>
            <w:gridSpan w:val="2"/>
            <w:shd w:val="clear" w:color="auto" w:fill="auto"/>
          </w:tcPr>
          <w:p w:rsidR="00D94EF8" w:rsidRPr="00C36C8F" w:rsidRDefault="00D94EF8" w:rsidP="003B428C">
            <w:pPr>
              <w:pStyle w:val="TableHeading"/>
              <w:jc w:val="center"/>
            </w:pPr>
            <w:r w:rsidRPr="00C36C8F">
              <w:t>Ma</w:t>
            </w:r>
            <w:r w:rsidR="003B428C" w:rsidRPr="00C36C8F">
              <w:t>terial Category</w:t>
            </w:r>
          </w:p>
        </w:tc>
        <w:tc>
          <w:tcPr>
            <w:tcW w:w="1835" w:type="dxa"/>
            <w:tcBorders>
              <w:right w:val="single" w:sz="8" w:space="0" w:color="808080" w:themeColor="background1" w:themeShade="80"/>
            </w:tcBorders>
            <w:shd w:val="clear" w:color="auto" w:fill="auto"/>
          </w:tcPr>
          <w:p w:rsidR="00D94EF8" w:rsidRPr="00C36C8F" w:rsidRDefault="003B428C" w:rsidP="00D94EF8">
            <w:pPr>
              <w:pStyle w:val="TableHeading"/>
              <w:jc w:val="center"/>
            </w:pPr>
            <w:r w:rsidRPr="00C36C8F">
              <w:t>Material Type</w:t>
            </w:r>
          </w:p>
        </w:tc>
        <w:tc>
          <w:tcPr>
            <w:tcW w:w="1846" w:type="dxa"/>
            <w:tcBorders>
              <w:left w:val="single" w:sz="8" w:space="0" w:color="808080" w:themeColor="background1" w:themeShade="80"/>
              <w:right w:val="single" w:sz="8" w:space="0" w:color="808080" w:themeColor="background1" w:themeShade="80"/>
            </w:tcBorders>
            <w:shd w:val="clear" w:color="auto" w:fill="auto"/>
            <w:vAlign w:val="center"/>
          </w:tcPr>
          <w:p w:rsidR="00D94EF8" w:rsidRPr="00C36C8F" w:rsidRDefault="00E75476" w:rsidP="00D94EF8">
            <w:pPr>
              <w:pStyle w:val="TableHeading"/>
              <w:jc w:val="center"/>
            </w:pPr>
            <w:r>
              <w:t>T</w:t>
            </w:r>
            <w:r w:rsidR="00D94EF8" w:rsidRPr="00C36C8F">
              <w:t>onnes</w:t>
            </w:r>
          </w:p>
        </w:tc>
        <w:tc>
          <w:tcPr>
            <w:tcW w:w="1845" w:type="dxa"/>
            <w:tcBorders>
              <w:left w:val="single" w:sz="8" w:space="0" w:color="808080" w:themeColor="background1" w:themeShade="80"/>
              <w:right w:val="single" w:sz="8" w:space="0" w:color="808080" w:themeColor="background1" w:themeShade="80"/>
            </w:tcBorders>
            <w:shd w:val="clear" w:color="auto" w:fill="auto"/>
            <w:vAlign w:val="center"/>
          </w:tcPr>
          <w:p w:rsidR="00D94EF8" w:rsidRPr="00C36C8F" w:rsidRDefault="00E75476" w:rsidP="00D94EF8">
            <w:pPr>
              <w:pStyle w:val="TableHeading"/>
              <w:jc w:val="center"/>
            </w:pPr>
            <w:r>
              <w:t>T</w:t>
            </w:r>
            <w:r w:rsidR="00D94EF8" w:rsidRPr="00C36C8F">
              <w:t>onnes</w:t>
            </w:r>
          </w:p>
        </w:tc>
        <w:tc>
          <w:tcPr>
            <w:tcW w:w="1843" w:type="dxa"/>
            <w:tcBorders>
              <w:left w:val="single" w:sz="8" w:space="0" w:color="808080" w:themeColor="background1" w:themeShade="80"/>
              <w:right w:val="single" w:sz="8" w:space="0" w:color="808080" w:themeColor="background1" w:themeShade="80"/>
            </w:tcBorders>
            <w:shd w:val="clear" w:color="auto" w:fill="auto"/>
            <w:vAlign w:val="center"/>
          </w:tcPr>
          <w:p w:rsidR="00D94EF8" w:rsidRPr="00C36C8F" w:rsidRDefault="00E75476" w:rsidP="00D77275">
            <w:pPr>
              <w:pStyle w:val="TableHeading"/>
              <w:jc w:val="center"/>
              <w:rPr>
                <w:kern w:val="28"/>
              </w:rPr>
            </w:pPr>
            <w:r>
              <w:t>T</w:t>
            </w:r>
            <w:r w:rsidR="00D94EF8" w:rsidRPr="00C36C8F">
              <w:t>onnes</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Pr>
          <w:p w:rsidR="00D94EF8" w:rsidRPr="00C36C8F" w:rsidRDefault="00D94EF8" w:rsidP="00D77275">
            <w:pPr>
              <w:pStyle w:val="TableHeading"/>
              <w:jc w:val="center"/>
              <w:rPr>
                <w:kern w:val="28"/>
              </w:rPr>
            </w:pPr>
            <w:r w:rsidRPr="00C36C8F">
              <w:rPr>
                <w:kern w:val="28"/>
              </w:rPr>
              <w:t>%</w:t>
            </w:r>
          </w:p>
        </w:tc>
        <w:tc>
          <w:tcPr>
            <w:tcW w:w="1845" w:type="dxa"/>
            <w:tcBorders>
              <w:left w:val="single" w:sz="8" w:space="0" w:color="808080" w:themeColor="background1" w:themeShade="80"/>
              <w:right w:val="single" w:sz="8" w:space="0" w:color="808080" w:themeColor="background1" w:themeShade="80"/>
            </w:tcBorders>
            <w:vAlign w:val="center"/>
          </w:tcPr>
          <w:p w:rsidR="00D94EF8" w:rsidRPr="00C36C8F" w:rsidRDefault="00E75476" w:rsidP="00D77275">
            <w:pPr>
              <w:pStyle w:val="TableHeading"/>
              <w:jc w:val="center"/>
              <w:rPr>
                <w:kern w:val="28"/>
              </w:rPr>
            </w:pPr>
            <w:r>
              <w:t>T</w:t>
            </w:r>
            <w:r w:rsidR="00D94EF8" w:rsidRPr="00C36C8F">
              <w:t>onnes</w:t>
            </w:r>
          </w:p>
        </w:tc>
        <w:tc>
          <w:tcPr>
            <w:tcW w:w="1845" w:type="dxa"/>
            <w:tcBorders>
              <w:left w:val="single" w:sz="8" w:space="0" w:color="808080" w:themeColor="background1" w:themeShade="80"/>
            </w:tcBorders>
            <w:shd w:val="clear" w:color="auto" w:fill="D9D9D9" w:themeFill="background1" w:themeFillShade="D9"/>
            <w:vAlign w:val="center"/>
          </w:tcPr>
          <w:p w:rsidR="00D94EF8" w:rsidRPr="00C36C8F" w:rsidRDefault="00D94EF8" w:rsidP="00AF4660">
            <w:pPr>
              <w:pStyle w:val="TableHeading"/>
              <w:jc w:val="center"/>
              <w:rPr>
                <w:kern w:val="28"/>
              </w:rPr>
            </w:pPr>
            <w:r w:rsidRPr="00C36C8F">
              <w:rPr>
                <w:kern w:val="28"/>
              </w:rPr>
              <w:t>%</w:t>
            </w:r>
          </w:p>
        </w:tc>
      </w:tr>
      <w:tr w:rsidR="00476BAA" w:rsidRPr="00C36C8F" w:rsidTr="00D94EF8">
        <w:tc>
          <w:tcPr>
            <w:tcW w:w="1693" w:type="dxa"/>
            <w:shd w:val="clear" w:color="auto" w:fill="auto"/>
          </w:tcPr>
          <w:p w:rsidR="00476BAA" w:rsidRPr="00C36C8F" w:rsidRDefault="00476BAA" w:rsidP="00D77275">
            <w:pPr>
              <w:pStyle w:val="TableText"/>
            </w:pPr>
            <w:r w:rsidRPr="00C36C8F">
              <w:t>Masonry materials</w:t>
            </w:r>
          </w:p>
        </w:tc>
        <w:tc>
          <w:tcPr>
            <w:tcW w:w="1843" w:type="dxa"/>
            <w:gridSpan w:val="2"/>
            <w:tcBorders>
              <w:right w:val="single" w:sz="8" w:space="0" w:color="808080" w:themeColor="background1" w:themeShade="80"/>
            </w:tcBorders>
          </w:tcPr>
          <w:p w:rsidR="00476BAA" w:rsidRPr="00C36C8F" w:rsidRDefault="00476BAA" w:rsidP="00D77275">
            <w:pPr>
              <w:pStyle w:val="TableText"/>
            </w:pP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0B315F">
              <w:rPr>
                <w:color w:val="000000"/>
              </w:rPr>
              <w:t>16,</w:t>
            </w:r>
            <w:r w:rsidRPr="00476BAA">
              <w:rPr>
                <w:rFonts w:cs="Arial"/>
                <w:color w:val="000000"/>
                <w:szCs w:val="18"/>
              </w:rPr>
              <w:t>933,900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E03E4B">
            <w:pPr>
              <w:pStyle w:val="TableText"/>
              <w:jc w:val="right"/>
              <w:rPr>
                <w:rFonts w:cs="Arial"/>
                <w:szCs w:val="18"/>
              </w:rPr>
            </w:pPr>
            <w:r w:rsidRPr="000B315F">
              <w:rPr>
                <w:color w:val="000000"/>
              </w:rPr>
              <w:t>6,</w:t>
            </w:r>
            <w:r w:rsidRPr="00476BAA">
              <w:rPr>
                <w:rFonts w:cs="Arial"/>
                <w:color w:val="000000"/>
                <w:szCs w:val="18"/>
              </w:rPr>
              <w:t>834</w:t>
            </w:r>
            <w:r w:rsidRPr="000B315F">
              <w:rPr>
                <w:color w:val="000000"/>
              </w:rPr>
              <w:t>,400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0B315F">
              <w:rPr>
                <w:color w:val="000000"/>
              </w:rPr>
              <w:t>10,</w:t>
            </w:r>
            <w:r w:rsidRPr="00476BAA">
              <w:rPr>
                <w:rFonts w:cs="Arial"/>
                <w:color w:val="000000"/>
                <w:szCs w:val="18"/>
              </w:rPr>
              <w:t>096,500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E03E4B">
            <w:pPr>
              <w:pStyle w:val="TableText"/>
              <w:jc w:val="right"/>
              <w:rPr>
                <w:rFonts w:cs="Arial"/>
                <w:szCs w:val="18"/>
              </w:rPr>
            </w:pPr>
            <w:r w:rsidRPr="00476BAA">
              <w:rPr>
                <w:rFonts w:cs="Arial"/>
                <w:color w:val="000000"/>
                <w:szCs w:val="18"/>
              </w:rPr>
              <w:t>60</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3,000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E03E4B">
            <w:pPr>
              <w:pStyle w:val="TableText"/>
              <w:jc w:val="right"/>
              <w:rPr>
                <w:rFonts w:cs="Arial"/>
                <w:szCs w:val="18"/>
              </w:rPr>
            </w:pPr>
            <w:r w:rsidRPr="00476BAA">
              <w:rPr>
                <w:rFonts w:cs="Arial"/>
                <w:color w:val="000000"/>
                <w:szCs w:val="18"/>
              </w:rPr>
              <w:t>60</w:t>
            </w:r>
            <w:r w:rsidRPr="000B315F">
              <w:rPr>
                <w:color w:val="000000"/>
              </w:rPr>
              <w:t>%</w:t>
            </w:r>
          </w:p>
        </w:tc>
      </w:tr>
      <w:tr w:rsidR="00476BAA" w:rsidRPr="00C36C8F" w:rsidTr="00D94EF8">
        <w:tc>
          <w:tcPr>
            <w:tcW w:w="1693" w:type="dxa"/>
            <w:shd w:val="clear" w:color="auto" w:fill="auto"/>
          </w:tcPr>
          <w:p w:rsidR="00476BAA" w:rsidRPr="00C36C8F" w:rsidRDefault="00476BAA" w:rsidP="00D77275">
            <w:pPr>
              <w:pStyle w:val="TableText"/>
            </w:pPr>
            <w:r w:rsidRPr="00C36C8F">
              <w:t>Metals</w:t>
            </w:r>
          </w:p>
        </w:tc>
        <w:tc>
          <w:tcPr>
            <w:tcW w:w="1843" w:type="dxa"/>
            <w:gridSpan w:val="2"/>
            <w:tcBorders>
              <w:right w:val="single" w:sz="8" w:space="0" w:color="808080" w:themeColor="background1" w:themeShade="80"/>
            </w:tcBorders>
          </w:tcPr>
          <w:p w:rsidR="00476BAA" w:rsidRPr="00C36C8F" w:rsidRDefault="00476BAA" w:rsidP="00D77275">
            <w:pPr>
              <w:pStyle w:val="TableText"/>
            </w:pP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4,649,100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476BAA">
              <w:rPr>
                <w:rFonts w:cs="Arial"/>
                <w:color w:val="000000"/>
                <w:szCs w:val="18"/>
              </w:rPr>
              <w:t>527,000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0B315F">
              <w:rPr>
                <w:color w:val="000000"/>
              </w:rPr>
              <w:t>4,</w:t>
            </w:r>
            <w:r w:rsidRPr="00476BAA">
              <w:rPr>
                <w:rFonts w:cs="Arial"/>
                <w:color w:val="000000"/>
                <w:szCs w:val="18"/>
              </w:rPr>
              <w:t>122,100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DB342A">
            <w:pPr>
              <w:pStyle w:val="TableText"/>
              <w:jc w:val="right"/>
              <w:rPr>
                <w:rFonts w:cs="Arial"/>
                <w:szCs w:val="18"/>
              </w:rPr>
            </w:pPr>
            <w:r w:rsidRPr="00476BAA">
              <w:rPr>
                <w:rFonts w:cs="Arial"/>
                <w:color w:val="000000"/>
                <w:szCs w:val="18"/>
              </w:rPr>
              <w:t>89</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DB342A">
            <w:pPr>
              <w:pStyle w:val="TableText"/>
              <w:jc w:val="right"/>
              <w:rPr>
                <w:rFonts w:cs="Arial"/>
                <w:szCs w:val="18"/>
              </w:rPr>
            </w:pPr>
            <w:r w:rsidRPr="00476BAA">
              <w:rPr>
                <w:rFonts w:cs="Arial"/>
                <w:color w:val="000000"/>
                <w:szCs w:val="18"/>
              </w:rPr>
              <w:t>89</w:t>
            </w:r>
            <w:r w:rsidRPr="000B315F">
              <w:rPr>
                <w:color w:val="000000"/>
              </w:rPr>
              <w:t>%</w:t>
            </w:r>
          </w:p>
        </w:tc>
      </w:tr>
      <w:tr w:rsidR="00476BAA" w:rsidRPr="00C36C8F" w:rsidTr="00D94EF8">
        <w:tc>
          <w:tcPr>
            <w:tcW w:w="1693" w:type="dxa"/>
            <w:shd w:val="clear" w:color="auto" w:fill="auto"/>
          </w:tcPr>
          <w:p w:rsidR="00476BAA" w:rsidRPr="00C36C8F" w:rsidRDefault="00476BAA" w:rsidP="00D77275">
            <w:pPr>
              <w:pStyle w:val="TableText"/>
            </w:pPr>
            <w:r w:rsidRPr="00C36C8F">
              <w:t>Organics</w:t>
            </w:r>
          </w:p>
        </w:tc>
        <w:tc>
          <w:tcPr>
            <w:tcW w:w="1843" w:type="dxa"/>
            <w:gridSpan w:val="2"/>
            <w:tcBorders>
              <w:right w:val="single" w:sz="8" w:space="0" w:color="808080" w:themeColor="background1" w:themeShade="80"/>
            </w:tcBorders>
          </w:tcPr>
          <w:p w:rsidR="00476BAA" w:rsidRPr="00C36C8F" w:rsidRDefault="00476BAA" w:rsidP="00D77275">
            <w:pPr>
              <w:pStyle w:val="TableText"/>
            </w:pP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B36A6">
            <w:pPr>
              <w:pStyle w:val="TableText"/>
              <w:jc w:val="right"/>
              <w:rPr>
                <w:rFonts w:cs="Arial"/>
                <w:szCs w:val="18"/>
              </w:rPr>
            </w:pPr>
            <w:r w:rsidRPr="000B315F">
              <w:rPr>
                <w:color w:val="000000"/>
              </w:rPr>
              <w:t>11,</w:t>
            </w:r>
            <w:r w:rsidRPr="00476BAA">
              <w:rPr>
                <w:rFonts w:cs="Arial"/>
                <w:color w:val="000000"/>
                <w:szCs w:val="18"/>
              </w:rPr>
              <w:t>336,900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B36A6">
            <w:pPr>
              <w:pStyle w:val="TableText"/>
              <w:jc w:val="right"/>
              <w:rPr>
                <w:rFonts w:cs="Arial"/>
                <w:szCs w:val="18"/>
              </w:rPr>
            </w:pPr>
            <w:r w:rsidRPr="000B315F">
              <w:rPr>
                <w:color w:val="000000"/>
              </w:rPr>
              <w:t>7,</w:t>
            </w:r>
            <w:r w:rsidRPr="00476BAA">
              <w:rPr>
                <w:rFonts w:cs="Arial"/>
                <w:color w:val="000000"/>
                <w:szCs w:val="18"/>
              </w:rPr>
              <w:t>263,800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0B315F">
              <w:rPr>
                <w:color w:val="000000"/>
              </w:rPr>
              <w:t>3,752,700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B36A6">
            <w:pPr>
              <w:pStyle w:val="TableText"/>
              <w:jc w:val="right"/>
              <w:rPr>
                <w:rFonts w:cs="Arial"/>
                <w:szCs w:val="18"/>
              </w:rPr>
            </w:pPr>
            <w:r w:rsidRPr="00476BAA">
              <w:rPr>
                <w:rFonts w:cs="Arial"/>
                <w:color w:val="000000"/>
                <w:szCs w:val="18"/>
              </w:rPr>
              <w:t>34</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320,400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B36A6">
            <w:pPr>
              <w:pStyle w:val="TableText"/>
              <w:jc w:val="right"/>
              <w:rPr>
                <w:rFonts w:cs="Arial"/>
                <w:szCs w:val="18"/>
              </w:rPr>
            </w:pPr>
            <w:r w:rsidRPr="00476BAA">
              <w:rPr>
                <w:rFonts w:cs="Arial"/>
                <w:color w:val="000000"/>
                <w:szCs w:val="18"/>
              </w:rPr>
              <w:t>36</w:t>
            </w:r>
            <w:r w:rsidRPr="000B315F">
              <w:rPr>
                <w:color w:val="000000"/>
              </w:rPr>
              <w:t>%</w:t>
            </w:r>
          </w:p>
        </w:tc>
      </w:tr>
      <w:tr w:rsidR="00476BAA" w:rsidRPr="00C36C8F" w:rsidTr="00D94EF8">
        <w:tc>
          <w:tcPr>
            <w:tcW w:w="1693" w:type="dxa"/>
            <w:shd w:val="clear" w:color="auto" w:fill="auto"/>
          </w:tcPr>
          <w:p w:rsidR="00476BAA" w:rsidRPr="00C36C8F" w:rsidRDefault="00476BAA" w:rsidP="00D77275">
            <w:pPr>
              <w:pStyle w:val="TableText"/>
            </w:pPr>
            <w:r w:rsidRPr="00C36C8F">
              <w:t>Paper &amp; cardboard</w:t>
            </w:r>
          </w:p>
        </w:tc>
        <w:tc>
          <w:tcPr>
            <w:tcW w:w="1843" w:type="dxa"/>
            <w:gridSpan w:val="2"/>
            <w:tcBorders>
              <w:right w:val="single" w:sz="8" w:space="0" w:color="808080" w:themeColor="background1" w:themeShade="80"/>
            </w:tcBorders>
          </w:tcPr>
          <w:p w:rsidR="00476BAA" w:rsidRPr="00C36C8F" w:rsidRDefault="00476BAA" w:rsidP="00D77275">
            <w:pPr>
              <w:pStyle w:val="TableText"/>
            </w:pP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0B315F">
              <w:rPr>
                <w:color w:val="000000"/>
              </w:rPr>
              <w:t>6,</w:t>
            </w:r>
            <w:r w:rsidRPr="00476BAA">
              <w:rPr>
                <w:rFonts w:cs="Arial"/>
                <w:color w:val="000000"/>
                <w:szCs w:val="18"/>
              </w:rPr>
              <w:t>362,700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B36A6">
            <w:pPr>
              <w:pStyle w:val="TableText"/>
              <w:jc w:val="right"/>
              <w:rPr>
                <w:rFonts w:cs="Arial"/>
                <w:szCs w:val="18"/>
              </w:rPr>
            </w:pPr>
            <w:r w:rsidRPr="000B315F">
              <w:rPr>
                <w:color w:val="000000"/>
              </w:rPr>
              <w:t>2,</w:t>
            </w:r>
            <w:r w:rsidRPr="00476BAA">
              <w:rPr>
                <w:rFonts w:cs="Arial"/>
                <w:color w:val="000000"/>
                <w:szCs w:val="18"/>
              </w:rPr>
              <w:t>467,200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0B315F">
              <w:rPr>
                <w:color w:val="000000"/>
              </w:rPr>
              <w:t>3,</w:t>
            </w:r>
            <w:r w:rsidRPr="00476BAA">
              <w:rPr>
                <w:rFonts w:cs="Arial"/>
                <w:color w:val="000000"/>
                <w:szCs w:val="18"/>
              </w:rPr>
              <w:t>895,500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B36A6">
            <w:pPr>
              <w:pStyle w:val="TableText"/>
              <w:jc w:val="right"/>
              <w:rPr>
                <w:rFonts w:cs="Arial"/>
                <w:szCs w:val="18"/>
              </w:rPr>
            </w:pPr>
            <w:r w:rsidRPr="00476BAA">
              <w:rPr>
                <w:rFonts w:cs="Arial"/>
                <w:color w:val="000000"/>
                <w:szCs w:val="18"/>
              </w:rPr>
              <w:t>61</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B36A6">
            <w:pPr>
              <w:pStyle w:val="TableText"/>
              <w:jc w:val="right"/>
              <w:rPr>
                <w:rFonts w:cs="Arial"/>
                <w:szCs w:val="18"/>
              </w:rPr>
            </w:pPr>
            <w:r w:rsidRPr="00476BAA">
              <w:rPr>
                <w:rFonts w:cs="Arial"/>
                <w:color w:val="000000"/>
                <w:szCs w:val="18"/>
              </w:rPr>
              <w:t>61</w:t>
            </w:r>
            <w:r w:rsidRPr="000B315F">
              <w:rPr>
                <w:color w:val="000000"/>
              </w:rPr>
              <w:t>%</w:t>
            </w:r>
          </w:p>
        </w:tc>
      </w:tr>
      <w:tr w:rsidR="00476BAA" w:rsidRPr="00C36C8F" w:rsidTr="00D94EF8">
        <w:tc>
          <w:tcPr>
            <w:tcW w:w="1693" w:type="dxa"/>
            <w:shd w:val="clear" w:color="auto" w:fill="auto"/>
          </w:tcPr>
          <w:p w:rsidR="00476BAA" w:rsidRPr="00C36C8F" w:rsidRDefault="00476BAA" w:rsidP="00D77275">
            <w:pPr>
              <w:pStyle w:val="TableText"/>
            </w:pPr>
            <w:r w:rsidRPr="00C36C8F">
              <w:t>Plastics</w:t>
            </w:r>
          </w:p>
        </w:tc>
        <w:tc>
          <w:tcPr>
            <w:tcW w:w="1843" w:type="dxa"/>
            <w:gridSpan w:val="2"/>
            <w:tcBorders>
              <w:right w:val="single" w:sz="8" w:space="0" w:color="808080" w:themeColor="background1" w:themeShade="80"/>
            </w:tcBorders>
          </w:tcPr>
          <w:p w:rsidR="00476BAA" w:rsidRPr="00C36C8F" w:rsidRDefault="00476BAA" w:rsidP="00D77275">
            <w:pPr>
              <w:pStyle w:val="TableText"/>
            </w:pP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2,272,600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B36A6">
            <w:pPr>
              <w:pStyle w:val="TableText"/>
              <w:jc w:val="right"/>
              <w:rPr>
                <w:rFonts w:cs="Arial"/>
                <w:szCs w:val="18"/>
              </w:rPr>
            </w:pPr>
            <w:r w:rsidRPr="000B315F">
              <w:rPr>
                <w:color w:val="000000"/>
              </w:rPr>
              <w:t>1,</w:t>
            </w:r>
            <w:r w:rsidRPr="00476BAA">
              <w:rPr>
                <w:rFonts w:cs="Arial"/>
                <w:color w:val="000000"/>
                <w:szCs w:val="18"/>
              </w:rPr>
              <w:t>746,100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520,900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23</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5,600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23</w:t>
            </w:r>
            <w:r w:rsidRPr="000B315F">
              <w:rPr>
                <w:color w:val="000000"/>
              </w:rPr>
              <w:t>%</w:t>
            </w:r>
          </w:p>
        </w:tc>
      </w:tr>
      <w:tr w:rsidR="00476BAA" w:rsidRPr="00C36C8F" w:rsidTr="00D94EF8">
        <w:tc>
          <w:tcPr>
            <w:tcW w:w="1693" w:type="dxa"/>
            <w:shd w:val="clear" w:color="auto" w:fill="auto"/>
            <w:vAlign w:val="center"/>
          </w:tcPr>
          <w:p w:rsidR="00476BAA" w:rsidRPr="00C36C8F" w:rsidRDefault="00476BAA" w:rsidP="00D77275">
            <w:pPr>
              <w:pStyle w:val="TableText"/>
            </w:pPr>
            <w:r w:rsidRPr="00C36C8F">
              <w:t>Glass</w:t>
            </w:r>
            <w:r w:rsidRPr="00C36C8F" w:rsidDel="00590DFC">
              <w:t xml:space="preserve"> </w:t>
            </w:r>
          </w:p>
        </w:tc>
        <w:tc>
          <w:tcPr>
            <w:tcW w:w="1843" w:type="dxa"/>
            <w:gridSpan w:val="2"/>
            <w:tcBorders>
              <w:right w:val="single" w:sz="8" w:space="0" w:color="808080" w:themeColor="background1" w:themeShade="80"/>
            </w:tcBorders>
          </w:tcPr>
          <w:p w:rsidR="00476BAA" w:rsidRPr="00C36C8F" w:rsidRDefault="00476BAA" w:rsidP="00D77275">
            <w:pPr>
              <w:pStyle w:val="TableText"/>
            </w:pP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0B315F">
              <w:rPr>
                <w:color w:val="000000"/>
              </w:rPr>
              <w:t>1,</w:t>
            </w:r>
            <w:r w:rsidRPr="00476BAA">
              <w:rPr>
                <w:rFonts w:cs="Arial"/>
                <w:color w:val="000000"/>
                <w:szCs w:val="18"/>
              </w:rPr>
              <w:t>427,700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C5FD4">
            <w:pPr>
              <w:pStyle w:val="TableText"/>
              <w:jc w:val="right"/>
              <w:rPr>
                <w:rFonts w:cs="Arial"/>
                <w:szCs w:val="18"/>
              </w:rPr>
            </w:pPr>
            <w:r w:rsidRPr="00476BAA">
              <w:rPr>
                <w:rFonts w:cs="Arial"/>
                <w:color w:val="000000"/>
                <w:szCs w:val="18"/>
              </w:rPr>
              <w:t>468</w:t>
            </w:r>
            <w:r w:rsidRPr="000B315F">
              <w:rPr>
                <w:color w:val="000000"/>
              </w:rPr>
              <w:t>,200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959,500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C5FD4">
            <w:pPr>
              <w:pStyle w:val="TableText"/>
              <w:jc w:val="right"/>
              <w:rPr>
                <w:rFonts w:cs="Arial"/>
                <w:szCs w:val="18"/>
              </w:rPr>
            </w:pPr>
            <w:r w:rsidRPr="00476BAA">
              <w:rPr>
                <w:rFonts w:cs="Arial"/>
                <w:color w:val="000000"/>
                <w:szCs w:val="18"/>
              </w:rPr>
              <w:t>67</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C5FD4">
            <w:pPr>
              <w:pStyle w:val="TableText"/>
              <w:jc w:val="right"/>
              <w:rPr>
                <w:rFonts w:cs="Arial"/>
                <w:szCs w:val="18"/>
              </w:rPr>
            </w:pPr>
            <w:r w:rsidRPr="00476BAA">
              <w:rPr>
                <w:rFonts w:cs="Arial"/>
                <w:color w:val="000000"/>
                <w:szCs w:val="18"/>
              </w:rPr>
              <w:t>67</w:t>
            </w:r>
            <w:r w:rsidRPr="000B315F">
              <w:rPr>
                <w:color w:val="000000"/>
              </w:rPr>
              <w:t>%</w:t>
            </w:r>
          </w:p>
        </w:tc>
      </w:tr>
      <w:tr w:rsidR="00476BAA" w:rsidRPr="00C36C8F" w:rsidTr="00D94EF8">
        <w:tc>
          <w:tcPr>
            <w:tcW w:w="1693" w:type="dxa"/>
            <w:vMerge w:val="restart"/>
            <w:shd w:val="clear" w:color="auto" w:fill="auto"/>
          </w:tcPr>
          <w:p w:rsidR="00476BAA" w:rsidRPr="00C36C8F" w:rsidRDefault="00476BAA" w:rsidP="00D77275">
            <w:pPr>
              <w:pStyle w:val="TableText"/>
            </w:pPr>
            <w:r w:rsidRPr="00C36C8F">
              <w:t>Other</w:t>
            </w:r>
          </w:p>
        </w:tc>
        <w:tc>
          <w:tcPr>
            <w:tcW w:w="1843" w:type="dxa"/>
            <w:gridSpan w:val="2"/>
            <w:tcBorders>
              <w:right w:val="single" w:sz="8" w:space="0" w:color="808080" w:themeColor="background1" w:themeShade="80"/>
            </w:tcBorders>
          </w:tcPr>
          <w:p w:rsidR="00476BAA" w:rsidRPr="00C36C8F" w:rsidRDefault="00476BAA" w:rsidP="00D77275">
            <w:pPr>
              <w:pStyle w:val="TableText"/>
            </w:pPr>
            <w:r w:rsidRPr="00C36C8F">
              <w:t>Leather &amp; textiles</w:t>
            </w: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556,500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476BAA">
              <w:rPr>
                <w:rFonts w:cs="Arial"/>
                <w:color w:val="000000"/>
                <w:szCs w:val="18"/>
              </w:rPr>
              <w:t>491</w:t>
            </w:r>
            <w:r w:rsidRPr="000B315F">
              <w:rPr>
                <w:color w:val="000000"/>
              </w:rPr>
              <w:t>,400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65,100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12</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A03AB1">
            <w:pPr>
              <w:pStyle w:val="TableText"/>
              <w:jc w:val="right"/>
              <w:rPr>
                <w:rFonts w:cs="Arial"/>
                <w:szCs w:val="18"/>
              </w:rPr>
            </w:pPr>
            <w:r w:rsidRPr="00476BAA">
              <w:rPr>
                <w:rFonts w:cs="Arial"/>
                <w:color w:val="000000"/>
                <w:szCs w:val="18"/>
              </w:rPr>
              <w:t>12</w:t>
            </w:r>
            <w:r w:rsidRPr="000B315F">
              <w:rPr>
                <w:color w:val="000000"/>
              </w:rPr>
              <w:t>%</w:t>
            </w:r>
          </w:p>
        </w:tc>
      </w:tr>
      <w:tr w:rsidR="00476BAA" w:rsidRPr="00C36C8F" w:rsidTr="00D94EF8">
        <w:tc>
          <w:tcPr>
            <w:tcW w:w="1693" w:type="dxa"/>
            <w:vMerge/>
            <w:shd w:val="clear" w:color="auto" w:fill="auto"/>
          </w:tcPr>
          <w:p w:rsidR="00476BAA" w:rsidRPr="00C36C8F" w:rsidRDefault="00476BAA" w:rsidP="00D77275">
            <w:pPr>
              <w:pStyle w:val="TableText"/>
            </w:pPr>
          </w:p>
        </w:tc>
        <w:tc>
          <w:tcPr>
            <w:tcW w:w="1843" w:type="dxa"/>
            <w:gridSpan w:val="2"/>
            <w:tcBorders>
              <w:right w:val="single" w:sz="8" w:space="0" w:color="808080" w:themeColor="background1" w:themeShade="80"/>
            </w:tcBorders>
          </w:tcPr>
          <w:p w:rsidR="00476BAA" w:rsidRPr="00C36C8F" w:rsidRDefault="00476BAA" w:rsidP="00D77275">
            <w:pPr>
              <w:pStyle w:val="TableText"/>
            </w:pPr>
            <w:r w:rsidRPr="00C36C8F">
              <w:t>Tyres &amp; other rubber</w:t>
            </w: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03A99">
            <w:pPr>
              <w:pStyle w:val="TableText"/>
              <w:jc w:val="right"/>
              <w:rPr>
                <w:rFonts w:cs="Arial"/>
                <w:szCs w:val="18"/>
              </w:rPr>
            </w:pPr>
            <w:r w:rsidRPr="00476BAA">
              <w:rPr>
                <w:rFonts w:cs="Arial"/>
                <w:color w:val="000000"/>
                <w:szCs w:val="18"/>
              </w:rPr>
              <w:t>310,900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03A99">
            <w:pPr>
              <w:pStyle w:val="TableText"/>
              <w:jc w:val="right"/>
              <w:rPr>
                <w:rFonts w:cs="Arial"/>
                <w:szCs w:val="18"/>
              </w:rPr>
            </w:pPr>
            <w:r w:rsidRPr="00476BAA">
              <w:rPr>
                <w:rFonts w:cs="Arial"/>
                <w:color w:val="000000"/>
                <w:szCs w:val="18"/>
              </w:rPr>
              <w:t>257,800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0B315F">
              <w:rPr>
                <w:color w:val="000000"/>
              </w:rPr>
              <w:t>51,200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03A99">
            <w:pPr>
              <w:pStyle w:val="TableText"/>
              <w:jc w:val="right"/>
              <w:rPr>
                <w:rFonts w:cs="Arial"/>
                <w:szCs w:val="18"/>
              </w:rPr>
            </w:pPr>
            <w:r w:rsidRPr="00476BAA">
              <w:rPr>
                <w:rFonts w:cs="Arial"/>
                <w:color w:val="000000"/>
                <w:szCs w:val="18"/>
              </w:rPr>
              <w:t>17</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2,000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03A99">
            <w:pPr>
              <w:pStyle w:val="TableText"/>
              <w:jc w:val="right"/>
              <w:rPr>
                <w:rFonts w:cs="Arial"/>
                <w:szCs w:val="18"/>
              </w:rPr>
            </w:pPr>
            <w:r w:rsidRPr="00476BAA">
              <w:rPr>
                <w:rFonts w:cs="Arial"/>
                <w:color w:val="000000"/>
                <w:szCs w:val="18"/>
              </w:rPr>
              <w:t>17</w:t>
            </w:r>
            <w:r w:rsidRPr="000B315F">
              <w:rPr>
                <w:color w:val="000000"/>
              </w:rPr>
              <w:t>%</w:t>
            </w:r>
          </w:p>
        </w:tc>
      </w:tr>
      <w:tr w:rsidR="00476BAA" w:rsidRPr="00C36C8F" w:rsidTr="00D94EF8">
        <w:tc>
          <w:tcPr>
            <w:tcW w:w="1693" w:type="dxa"/>
            <w:vMerge w:val="restart"/>
            <w:shd w:val="clear" w:color="auto" w:fill="auto"/>
            <w:vAlign w:val="center"/>
          </w:tcPr>
          <w:p w:rsidR="00476BAA" w:rsidRPr="00C36C8F" w:rsidRDefault="00476BAA" w:rsidP="00D77275">
            <w:pPr>
              <w:pStyle w:val="TableText"/>
            </w:pPr>
            <w:r w:rsidRPr="00C36C8F">
              <w:t>Hazardous</w:t>
            </w:r>
          </w:p>
        </w:tc>
        <w:tc>
          <w:tcPr>
            <w:tcW w:w="1843" w:type="dxa"/>
            <w:gridSpan w:val="2"/>
            <w:tcBorders>
              <w:right w:val="single" w:sz="8" w:space="0" w:color="808080" w:themeColor="background1" w:themeShade="80"/>
            </w:tcBorders>
          </w:tcPr>
          <w:p w:rsidR="00476BAA" w:rsidRPr="00C36C8F" w:rsidRDefault="00476BAA" w:rsidP="00D77275">
            <w:pPr>
              <w:pStyle w:val="TableText"/>
            </w:pPr>
            <w:r w:rsidRPr="00C36C8F">
              <w:t>Quarantine</w:t>
            </w:r>
            <w:r w:rsidRPr="00C36C8F">
              <w:rPr>
                <w:rStyle w:val="FootnoteReference"/>
              </w:rPr>
              <w:footnoteReference w:id="16"/>
            </w: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0B315F">
              <w:rPr>
                <w:color w:val="000000"/>
              </w:rPr>
              <w:t>27,000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0B315F">
              <w:rPr>
                <w:color w:val="000000"/>
              </w:rPr>
              <w:t>27,000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D2328A">
            <w:pPr>
              <w:pStyle w:val="TableText"/>
              <w:jc w:val="right"/>
              <w:rPr>
                <w:rFonts w:cs="Arial"/>
                <w:szCs w:val="18"/>
              </w:rPr>
            </w:pPr>
            <w:r w:rsidRPr="000B315F">
              <w:rPr>
                <w:color w:val="000000"/>
              </w:rPr>
              <w:t>0%</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r>
      <w:tr w:rsidR="00476BAA" w:rsidRPr="00C36C8F" w:rsidTr="00D94EF8">
        <w:tc>
          <w:tcPr>
            <w:tcW w:w="1693" w:type="dxa"/>
            <w:vMerge/>
            <w:shd w:val="clear" w:color="auto" w:fill="auto"/>
          </w:tcPr>
          <w:p w:rsidR="00476BAA" w:rsidRPr="00C36C8F" w:rsidRDefault="00476BAA" w:rsidP="00D77275">
            <w:pPr>
              <w:pStyle w:val="TableText"/>
            </w:pPr>
          </w:p>
        </w:tc>
        <w:tc>
          <w:tcPr>
            <w:tcW w:w="1843" w:type="dxa"/>
            <w:gridSpan w:val="2"/>
            <w:tcBorders>
              <w:right w:val="single" w:sz="8" w:space="0" w:color="808080" w:themeColor="background1" w:themeShade="80"/>
            </w:tcBorders>
          </w:tcPr>
          <w:p w:rsidR="00476BAA" w:rsidRPr="00C36C8F" w:rsidRDefault="00476BAA" w:rsidP="00D77275">
            <w:pPr>
              <w:pStyle w:val="TableText"/>
            </w:pPr>
            <w:r w:rsidRPr="00C36C8F">
              <w:t>Contaminated soil</w:t>
            </w: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03A99">
            <w:pPr>
              <w:pStyle w:val="TableText"/>
              <w:jc w:val="right"/>
              <w:rPr>
                <w:rFonts w:cs="Arial"/>
                <w:szCs w:val="18"/>
              </w:rPr>
            </w:pPr>
            <w:r w:rsidRPr="000B315F">
              <w:rPr>
                <w:color w:val="000000"/>
              </w:rPr>
              <w:t>1,</w:t>
            </w:r>
            <w:r w:rsidRPr="00476BAA">
              <w:rPr>
                <w:rFonts w:cs="Arial"/>
                <w:color w:val="000000"/>
                <w:szCs w:val="18"/>
              </w:rPr>
              <w:t>418,000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03A99">
            <w:pPr>
              <w:pStyle w:val="TableText"/>
              <w:jc w:val="right"/>
              <w:rPr>
                <w:rFonts w:cs="Arial"/>
                <w:szCs w:val="18"/>
              </w:rPr>
            </w:pPr>
            <w:r w:rsidRPr="000B315F">
              <w:rPr>
                <w:color w:val="000000"/>
              </w:rPr>
              <w:t>1,</w:t>
            </w:r>
            <w:r w:rsidRPr="00476BAA">
              <w:rPr>
                <w:rFonts w:cs="Arial"/>
                <w:color w:val="000000"/>
                <w:szCs w:val="18"/>
              </w:rPr>
              <w:t>241,600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476BAA">
              <w:rPr>
                <w:rFonts w:cs="Arial"/>
                <w:color w:val="000000"/>
                <w:szCs w:val="18"/>
              </w:rPr>
              <w:t>176</w:t>
            </w:r>
            <w:r w:rsidRPr="000B315F">
              <w:rPr>
                <w:color w:val="000000"/>
              </w:rPr>
              <w:t>,400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03A99">
            <w:pPr>
              <w:pStyle w:val="TableText"/>
              <w:jc w:val="right"/>
              <w:rPr>
                <w:rFonts w:cs="Arial"/>
                <w:szCs w:val="18"/>
              </w:rPr>
            </w:pPr>
            <w:r w:rsidRPr="00476BAA">
              <w:rPr>
                <w:rFonts w:cs="Arial"/>
                <w:color w:val="000000"/>
                <w:szCs w:val="18"/>
              </w:rPr>
              <w:t>12</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B03A99">
            <w:pPr>
              <w:pStyle w:val="TableText"/>
              <w:jc w:val="right"/>
              <w:rPr>
                <w:rFonts w:cs="Arial"/>
                <w:szCs w:val="18"/>
              </w:rPr>
            </w:pPr>
            <w:r w:rsidRPr="00476BAA">
              <w:rPr>
                <w:rFonts w:cs="Arial"/>
                <w:color w:val="000000"/>
                <w:szCs w:val="18"/>
              </w:rPr>
              <w:t>12</w:t>
            </w:r>
            <w:r w:rsidRPr="000B315F">
              <w:rPr>
                <w:color w:val="000000"/>
              </w:rPr>
              <w:t>%</w:t>
            </w:r>
          </w:p>
        </w:tc>
      </w:tr>
      <w:tr w:rsidR="00476BAA" w:rsidRPr="00C36C8F" w:rsidTr="00D94EF8">
        <w:tc>
          <w:tcPr>
            <w:tcW w:w="1693" w:type="dxa"/>
            <w:vMerge/>
            <w:shd w:val="clear" w:color="auto" w:fill="auto"/>
          </w:tcPr>
          <w:p w:rsidR="00476BAA" w:rsidRPr="00C36C8F" w:rsidRDefault="00476BAA" w:rsidP="00D77275">
            <w:pPr>
              <w:pStyle w:val="TableText"/>
            </w:pPr>
          </w:p>
        </w:tc>
        <w:tc>
          <w:tcPr>
            <w:tcW w:w="1843" w:type="dxa"/>
            <w:gridSpan w:val="2"/>
            <w:tcBorders>
              <w:right w:val="single" w:sz="8" w:space="0" w:color="808080" w:themeColor="background1" w:themeShade="80"/>
            </w:tcBorders>
          </w:tcPr>
          <w:p w:rsidR="00476BAA" w:rsidRPr="00C36C8F" w:rsidRDefault="00476BAA" w:rsidP="00D77275">
            <w:pPr>
              <w:pStyle w:val="TableText"/>
            </w:pPr>
            <w:r w:rsidRPr="00C36C8F">
              <w:t>Industrial waste</w:t>
            </w:r>
          </w:p>
        </w:tc>
        <w:tc>
          <w:tcPr>
            <w:tcW w:w="1846"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03A99">
            <w:pPr>
              <w:pStyle w:val="TableText"/>
              <w:jc w:val="right"/>
              <w:rPr>
                <w:rFonts w:cs="Arial"/>
                <w:szCs w:val="18"/>
              </w:rPr>
            </w:pPr>
            <w:r w:rsidRPr="00476BAA">
              <w:rPr>
                <w:rFonts w:cs="Arial"/>
                <w:color w:val="000000"/>
                <w:szCs w:val="18"/>
              </w:rPr>
              <w:t>992</w:t>
            </w:r>
            <w:r w:rsidRPr="000B315F">
              <w:rPr>
                <w:color w:val="000000"/>
              </w:rPr>
              <w:t>,700</w:t>
            </w:r>
          </w:p>
        </w:tc>
        <w:tc>
          <w:tcPr>
            <w:tcW w:w="1845"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476BAA">
              <w:rPr>
                <w:rFonts w:cs="Arial"/>
                <w:color w:val="000000"/>
                <w:szCs w:val="18"/>
              </w:rPr>
              <w:t>753,900</w:t>
            </w:r>
          </w:p>
        </w:tc>
        <w:tc>
          <w:tcPr>
            <w:tcW w:w="1843" w:type="dxa"/>
            <w:tcBorders>
              <w:left w:val="single" w:sz="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B03A99">
            <w:pPr>
              <w:pStyle w:val="TableText"/>
              <w:jc w:val="right"/>
              <w:rPr>
                <w:rFonts w:cs="Arial"/>
                <w:szCs w:val="18"/>
              </w:rPr>
            </w:pPr>
            <w:r w:rsidRPr="00476BAA">
              <w:rPr>
                <w:rFonts w:cs="Arial"/>
                <w:color w:val="000000"/>
                <w:szCs w:val="18"/>
              </w:rPr>
              <w:t>225,300</w:t>
            </w:r>
          </w:p>
        </w:tc>
        <w:tc>
          <w:tcPr>
            <w:tcW w:w="1843" w:type="dxa"/>
            <w:tcBorders>
              <w:left w:val="single" w:sz="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D2328A">
            <w:pPr>
              <w:pStyle w:val="TableText"/>
              <w:jc w:val="right"/>
              <w:rPr>
                <w:rFonts w:cs="Arial"/>
                <w:szCs w:val="18"/>
              </w:rPr>
            </w:pPr>
            <w:r w:rsidRPr="00476BAA">
              <w:rPr>
                <w:rFonts w:cs="Arial"/>
                <w:color w:val="000000"/>
                <w:szCs w:val="18"/>
              </w:rPr>
              <w:t>23</w:t>
            </w:r>
            <w:r w:rsidRPr="000B315F">
              <w:rPr>
                <w:color w:val="000000"/>
              </w:rPr>
              <w:t>%</w:t>
            </w:r>
          </w:p>
        </w:tc>
        <w:tc>
          <w:tcPr>
            <w:tcW w:w="1845" w:type="dxa"/>
            <w:tcBorders>
              <w:left w:val="single" w:sz="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13,500</w:t>
            </w:r>
          </w:p>
        </w:tc>
        <w:tc>
          <w:tcPr>
            <w:tcW w:w="1845" w:type="dxa"/>
            <w:tcBorders>
              <w:lef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DB342A">
            <w:pPr>
              <w:pStyle w:val="TableText"/>
              <w:jc w:val="right"/>
              <w:rPr>
                <w:rFonts w:cs="Arial"/>
                <w:szCs w:val="18"/>
              </w:rPr>
            </w:pPr>
            <w:r w:rsidRPr="00476BAA">
              <w:rPr>
                <w:rFonts w:cs="Arial"/>
                <w:color w:val="000000"/>
                <w:szCs w:val="18"/>
              </w:rPr>
              <w:t>24</w:t>
            </w:r>
            <w:r w:rsidRPr="000B315F">
              <w:rPr>
                <w:color w:val="000000"/>
              </w:rPr>
              <w:t>%</w:t>
            </w:r>
          </w:p>
        </w:tc>
      </w:tr>
      <w:tr w:rsidR="00476BAA" w:rsidRPr="00C36C8F" w:rsidTr="00D94EF8">
        <w:tc>
          <w:tcPr>
            <w:tcW w:w="1693" w:type="dxa"/>
            <w:vMerge/>
            <w:tcBorders>
              <w:bottom w:val="single" w:sz="4" w:space="0" w:color="808080"/>
            </w:tcBorders>
            <w:shd w:val="clear" w:color="auto" w:fill="auto"/>
          </w:tcPr>
          <w:p w:rsidR="00476BAA" w:rsidRPr="00C36C8F" w:rsidRDefault="00476BAA" w:rsidP="00D77275">
            <w:pPr>
              <w:pStyle w:val="TableText"/>
            </w:pPr>
          </w:p>
        </w:tc>
        <w:tc>
          <w:tcPr>
            <w:tcW w:w="1843" w:type="dxa"/>
            <w:gridSpan w:val="2"/>
            <w:tcBorders>
              <w:bottom w:val="single" w:sz="4" w:space="0" w:color="808080"/>
              <w:right w:val="single" w:sz="8" w:space="0" w:color="808080" w:themeColor="background1" w:themeShade="80"/>
            </w:tcBorders>
          </w:tcPr>
          <w:p w:rsidR="00476BAA" w:rsidRPr="00C36C8F" w:rsidRDefault="00476BAA" w:rsidP="00D77275">
            <w:pPr>
              <w:pStyle w:val="TableText"/>
            </w:pPr>
            <w:r w:rsidRPr="00C36C8F">
              <w:t>Asbestos</w:t>
            </w:r>
          </w:p>
        </w:tc>
        <w:tc>
          <w:tcPr>
            <w:tcW w:w="1846"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284" w:type="dxa"/>
            </w:tcMar>
            <w:vAlign w:val="center"/>
          </w:tcPr>
          <w:p w:rsidR="00476BAA" w:rsidRPr="00476BAA" w:rsidRDefault="00476BAA" w:rsidP="0068045B">
            <w:pPr>
              <w:pStyle w:val="TableText"/>
              <w:jc w:val="right"/>
              <w:rPr>
                <w:rFonts w:cs="Arial"/>
                <w:szCs w:val="18"/>
              </w:rPr>
            </w:pPr>
            <w:r w:rsidRPr="00476BAA">
              <w:rPr>
                <w:rFonts w:cs="Arial"/>
                <w:color w:val="000000"/>
                <w:szCs w:val="18"/>
              </w:rPr>
              <w:t>556,300</w:t>
            </w:r>
          </w:p>
        </w:tc>
        <w:tc>
          <w:tcPr>
            <w:tcW w:w="1845"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284" w:type="dxa"/>
            </w:tcMar>
            <w:vAlign w:val="center"/>
          </w:tcPr>
          <w:p w:rsidR="00476BAA" w:rsidRPr="00476BAA" w:rsidRDefault="00476BAA" w:rsidP="0068045B">
            <w:pPr>
              <w:pStyle w:val="TableText"/>
              <w:jc w:val="right"/>
              <w:rPr>
                <w:rFonts w:cs="Arial"/>
                <w:szCs w:val="18"/>
              </w:rPr>
            </w:pPr>
            <w:r w:rsidRPr="00476BAA">
              <w:rPr>
                <w:rFonts w:cs="Arial"/>
                <w:color w:val="000000"/>
                <w:szCs w:val="18"/>
              </w:rPr>
              <w:t>556,300</w:t>
            </w:r>
          </w:p>
        </w:tc>
        <w:tc>
          <w:tcPr>
            <w:tcW w:w="1843"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3" w:type="dxa"/>
            <w:tcBorders>
              <w:left w:val="single" w:sz="8" w:space="0" w:color="808080" w:themeColor="background1" w:themeShade="80"/>
              <w:bottom w:val="single" w:sz="4" w:space="0" w:color="8080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D2328A">
            <w:pPr>
              <w:pStyle w:val="TableText"/>
              <w:jc w:val="right"/>
              <w:rPr>
                <w:rFonts w:cs="Arial"/>
                <w:szCs w:val="18"/>
              </w:rPr>
            </w:pPr>
            <w:r w:rsidRPr="000B315F">
              <w:rPr>
                <w:color w:val="000000"/>
              </w:rPr>
              <w:t>0%</w:t>
            </w:r>
          </w:p>
        </w:tc>
        <w:tc>
          <w:tcPr>
            <w:tcW w:w="1845" w:type="dxa"/>
            <w:tcBorders>
              <w:left w:val="single" w:sz="8" w:space="0" w:color="808080" w:themeColor="background1" w:themeShade="80"/>
              <w:bottom w:val="single" w:sz="4" w:space="0" w:color="8080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5" w:type="dxa"/>
            <w:tcBorders>
              <w:left w:val="single" w:sz="8" w:space="0" w:color="808080" w:themeColor="background1" w:themeShade="80"/>
              <w:bottom w:val="single" w:sz="4" w:space="0" w:color="808080"/>
            </w:tcBorders>
            <w:shd w:val="clear" w:color="auto" w:fill="D9D9D9" w:themeFill="background1" w:themeFillShade="D9"/>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r>
      <w:tr w:rsidR="00476BAA" w:rsidRPr="00C36C8F" w:rsidTr="00D94EF8">
        <w:tc>
          <w:tcPr>
            <w:tcW w:w="1699" w:type="dxa"/>
            <w:gridSpan w:val="2"/>
            <w:tcBorders>
              <w:top w:val="single" w:sz="4" w:space="0" w:color="808080"/>
              <w:bottom w:val="single" w:sz="18" w:space="0" w:color="808080" w:themeColor="background1" w:themeShade="80"/>
            </w:tcBorders>
            <w:shd w:val="clear" w:color="auto" w:fill="auto"/>
          </w:tcPr>
          <w:p w:rsidR="00476BAA" w:rsidRPr="00C36C8F" w:rsidRDefault="00476BAA" w:rsidP="00D77275">
            <w:pPr>
              <w:pStyle w:val="TableText"/>
            </w:pPr>
            <w:r w:rsidRPr="00C36C8F">
              <w:rPr>
                <w:b/>
              </w:rPr>
              <w:t>SUBTOTAL</w:t>
            </w:r>
          </w:p>
        </w:tc>
        <w:tc>
          <w:tcPr>
            <w:tcW w:w="1837" w:type="dxa"/>
            <w:tcBorders>
              <w:top w:val="single" w:sz="4" w:space="0" w:color="808080"/>
              <w:bottom w:val="single" w:sz="18" w:space="0" w:color="808080" w:themeColor="background1" w:themeShade="80"/>
              <w:right w:val="single" w:sz="8" w:space="0" w:color="808080" w:themeColor="background1" w:themeShade="80"/>
            </w:tcBorders>
            <w:shd w:val="clear" w:color="auto" w:fill="auto"/>
          </w:tcPr>
          <w:p w:rsidR="00476BAA" w:rsidRPr="00C36C8F" w:rsidRDefault="00476BAA" w:rsidP="00D77275">
            <w:pPr>
              <w:pStyle w:val="TableText"/>
            </w:pPr>
          </w:p>
        </w:tc>
        <w:tc>
          <w:tcPr>
            <w:tcW w:w="1846"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68045B">
            <w:pPr>
              <w:pStyle w:val="TableText"/>
              <w:jc w:val="right"/>
              <w:rPr>
                <w:rFonts w:cs="Arial"/>
                <w:szCs w:val="18"/>
              </w:rPr>
            </w:pPr>
            <w:r w:rsidRPr="000B315F">
              <w:rPr>
                <w:color w:val="000000"/>
              </w:rPr>
              <w:t>46,</w:t>
            </w:r>
            <w:r w:rsidRPr="00476BAA">
              <w:rPr>
                <w:rFonts w:cs="Arial"/>
                <w:color w:val="000000"/>
                <w:szCs w:val="18"/>
              </w:rPr>
              <w:t>844,300</w:t>
            </w:r>
          </w:p>
        </w:tc>
        <w:tc>
          <w:tcPr>
            <w:tcW w:w="1845"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68045B">
            <w:pPr>
              <w:pStyle w:val="TableText"/>
              <w:jc w:val="right"/>
              <w:rPr>
                <w:rFonts w:cs="Arial"/>
                <w:szCs w:val="18"/>
              </w:rPr>
            </w:pPr>
            <w:r w:rsidRPr="000B315F">
              <w:rPr>
                <w:color w:val="000000"/>
              </w:rPr>
              <w:t>22,</w:t>
            </w:r>
            <w:r w:rsidRPr="00476BAA">
              <w:rPr>
                <w:rFonts w:cs="Arial"/>
                <w:color w:val="000000"/>
                <w:szCs w:val="18"/>
              </w:rPr>
              <w:t>634,600</w:t>
            </w:r>
          </w:p>
        </w:tc>
        <w:tc>
          <w:tcPr>
            <w:tcW w:w="1843"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68045B">
            <w:pPr>
              <w:pStyle w:val="TableText"/>
              <w:jc w:val="right"/>
              <w:rPr>
                <w:rFonts w:cs="Arial"/>
                <w:szCs w:val="18"/>
              </w:rPr>
            </w:pPr>
            <w:r w:rsidRPr="000B315F">
              <w:rPr>
                <w:color w:val="000000"/>
              </w:rPr>
              <w:t>23,</w:t>
            </w:r>
            <w:r w:rsidRPr="00476BAA">
              <w:rPr>
                <w:rFonts w:cs="Arial"/>
                <w:color w:val="000000"/>
                <w:szCs w:val="18"/>
              </w:rPr>
              <w:t>865,200</w:t>
            </w:r>
          </w:p>
        </w:tc>
        <w:tc>
          <w:tcPr>
            <w:tcW w:w="1843"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68045B">
            <w:pPr>
              <w:pStyle w:val="TableText"/>
              <w:jc w:val="right"/>
              <w:rPr>
                <w:rFonts w:cs="Arial"/>
                <w:szCs w:val="18"/>
              </w:rPr>
            </w:pPr>
            <w:r w:rsidRPr="00476BAA">
              <w:rPr>
                <w:rFonts w:cs="Arial"/>
                <w:color w:val="000000"/>
                <w:szCs w:val="18"/>
              </w:rPr>
              <w:t>51</w:t>
            </w:r>
            <w:r w:rsidRPr="000B315F">
              <w:rPr>
                <w:color w:val="000000"/>
              </w:rPr>
              <w:t>%</w:t>
            </w:r>
          </w:p>
        </w:tc>
        <w:tc>
          <w:tcPr>
            <w:tcW w:w="1845"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344,500</w:t>
            </w:r>
          </w:p>
        </w:tc>
        <w:tc>
          <w:tcPr>
            <w:tcW w:w="1845" w:type="dxa"/>
            <w:tcBorders>
              <w:top w:val="single" w:sz="4" w:space="0" w:color="808080"/>
              <w:left w:val="single" w:sz="8" w:space="0" w:color="808080" w:themeColor="background1" w:themeShade="80"/>
              <w:bottom w:val="single" w:sz="18" w:space="0" w:color="808080" w:themeColor="background1" w:themeShade="80"/>
            </w:tcBorders>
            <w:shd w:val="clear" w:color="auto" w:fill="D9D9D9" w:themeFill="background1" w:themeFillShade="D9"/>
            <w:tcMar>
              <w:right w:w="284" w:type="dxa"/>
            </w:tcMar>
            <w:vAlign w:val="center"/>
          </w:tcPr>
          <w:p w:rsidR="00476BAA" w:rsidRPr="00476BAA" w:rsidRDefault="00476BAA" w:rsidP="00DB342A">
            <w:pPr>
              <w:pStyle w:val="TableText"/>
              <w:jc w:val="right"/>
              <w:rPr>
                <w:rFonts w:cs="Arial"/>
                <w:b/>
                <w:szCs w:val="18"/>
              </w:rPr>
            </w:pPr>
            <w:r w:rsidRPr="000B315F">
              <w:rPr>
                <w:color w:val="000000"/>
              </w:rPr>
              <w:t>52%</w:t>
            </w:r>
          </w:p>
        </w:tc>
      </w:tr>
      <w:tr w:rsidR="00476BAA" w:rsidRPr="00C36C8F" w:rsidTr="00D94EF8">
        <w:tc>
          <w:tcPr>
            <w:tcW w:w="1693" w:type="dxa"/>
            <w:tcBorders>
              <w:top w:val="single" w:sz="18" w:space="0" w:color="808080" w:themeColor="background1" w:themeShade="80"/>
            </w:tcBorders>
            <w:shd w:val="clear" w:color="auto" w:fill="auto"/>
            <w:vAlign w:val="center"/>
          </w:tcPr>
          <w:p w:rsidR="00476BAA" w:rsidRPr="00C36C8F" w:rsidRDefault="00476BAA" w:rsidP="00D77275">
            <w:pPr>
              <w:pStyle w:val="TableText"/>
            </w:pPr>
            <w:r w:rsidRPr="00C36C8F">
              <w:t>Fly ash</w:t>
            </w:r>
          </w:p>
        </w:tc>
        <w:tc>
          <w:tcPr>
            <w:tcW w:w="1843" w:type="dxa"/>
            <w:gridSpan w:val="2"/>
            <w:tcBorders>
              <w:top w:val="single" w:sz="18" w:space="0" w:color="808080" w:themeColor="background1" w:themeShade="80"/>
              <w:bottom w:val="single" w:sz="4" w:space="0" w:color="808080"/>
              <w:right w:val="single" w:sz="8" w:space="0" w:color="808080" w:themeColor="background1" w:themeShade="80"/>
            </w:tcBorders>
          </w:tcPr>
          <w:p w:rsidR="00476BAA" w:rsidRPr="00C36C8F" w:rsidRDefault="00476BAA" w:rsidP="00D77275">
            <w:pPr>
              <w:pStyle w:val="TableText"/>
            </w:pPr>
          </w:p>
        </w:tc>
        <w:tc>
          <w:tcPr>
            <w:tcW w:w="1846"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0B315F">
              <w:rPr>
                <w:color w:val="000000"/>
              </w:rPr>
              <w:t>14,026,500</w:t>
            </w:r>
          </w:p>
        </w:tc>
        <w:tc>
          <w:tcPr>
            <w:tcW w:w="1845"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0B315F">
              <w:rPr>
                <w:color w:val="000000"/>
              </w:rPr>
              <w:t>11,629,800</w:t>
            </w:r>
          </w:p>
        </w:tc>
        <w:tc>
          <w:tcPr>
            <w:tcW w:w="1843"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284" w:type="dxa"/>
            </w:tcMar>
            <w:vAlign w:val="center"/>
          </w:tcPr>
          <w:p w:rsidR="00476BAA" w:rsidRPr="00476BAA" w:rsidRDefault="00476BAA" w:rsidP="00DB342A">
            <w:pPr>
              <w:pStyle w:val="TableText"/>
              <w:jc w:val="right"/>
              <w:rPr>
                <w:rFonts w:cs="Arial"/>
                <w:szCs w:val="18"/>
              </w:rPr>
            </w:pPr>
            <w:r w:rsidRPr="000B315F">
              <w:rPr>
                <w:color w:val="000000"/>
              </w:rPr>
              <w:t>2,396,700</w:t>
            </w:r>
          </w:p>
        </w:tc>
        <w:tc>
          <w:tcPr>
            <w:tcW w:w="1843"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DB342A">
            <w:pPr>
              <w:pStyle w:val="TableText"/>
              <w:jc w:val="right"/>
              <w:rPr>
                <w:rFonts w:cs="Arial"/>
                <w:szCs w:val="18"/>
              </w:rPr>
            </w:pPr>
            <w:r w:rsidRPr="000B315F">
              <w:rPr>
                <w:color w:val="000000"/>
              </w:rPr>
              <w:t>17%</w:t>
            </w:r>
          </w:p>
        </w:tc>
        <w:tc>
          <w:tcPr>
            <w:tcW w:w="1845"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0</w:t>
            </w:r>
          </w:p>
        </w:tc>
        <w:tc>
          <w:tcPr>
            <w:tcW w:w="1845" w:type="dxa"/>
            <w:tcBorders>
              <w:top w:val="single" w:sz="18" w:space="0" w:color="808080" w:themeColor="background1" w:themeShade="80"/>
              <w:left w:val="single" w:sz="8" w:space="0" w:color="808080" w:themeColor="background1" w:themeShade="80"/>
              <w:bottom w:val="single" w:sz="4" w:space="0" w:color="808080"/>
            </w:tcBorders>
            <w:shd w:val="clear" w:color="auto" w:fill="D9D9D9" w:themeFill="background1" w:themeFillShade="D9"/>
            <w:tcMar>
              <w:right w:w="284" w:type="dxa"/>
            </w:tcMar>
            <w:vAlign w:val="center"/>
          </w:tcPr>
          <w:p w:rsidR="00476BAA" w:rsidRPr="00476BAA" w:rsidRDefault="00476BAA" w:rsidP="00DB342A">
            <w:pPr>
              <w:pStyle w:val="TableText"/>
              <w:jc w:val="right"/>
              <w:rPr>
                <w:rFonts w:cs="Arial"/>
                <w:szCs w:val="18"/>
              </w:rPr>
            </w:pPr>
            <w:r w:rsidRPr="000B315F">
              <w:rPr>
                <w:color w:val="000000"/>
              </w:rPr>
              <w:t>17%</w:t>
            </w:r>
          </w:p>
        </w:tc>
      </w:tr>
      <w:tr w:rsidR="00476BAA" w:rsidRPr="00C36C8F" w:rsidTr="00D94EF8">
        <w:tc>
          <w:tcPr>
            <w:tcW w:w="1699" w:type="dxa"/>
            <w:gridSpan w:val="2"/>
            <w:tcBorders>
              <w:top w:val="single" w:sz="4" w:space="0" w:color="808080"/>
              <w:bottom w:val="single" w:sz="18" w:space="0" w:color="808080" w:themeColor="background1" w:themeShade="80"/>
            </w:tcBorders>
            <w:shd w:val="clear" w:color="auto" w:fill="auto"/>
          </w:tcPr>
          <w:p w:rsidR="00476BAA" w:rsidRPr="00C36C8F" w:rsidRDefault="00476BAA" w:rsidP="00D77275">
            <w:pPr>
              <w:pStyle w:val="TableText"/>
            </w:pPr>
            <w:r w:rsidRPr="00C36C8F">
              <w:rPr>
                <w:b/>
              </w:rPr>
              <w:t>TOTAL</w:t>
            </w:r>
          </w:p>
        </w:tc>
        <w:tc>
          <w:tcPr>
            <w:tcW w:w="1837" w:type="dxa"/>
            <w:tcBorders>
              <w:top w:val="single" w:sz="4" w:space="0" w:color="808080"/>
              <w:bottom w:val="single" w:sz="18" w:space="0" w:color="808080" w:themeColor="background1" w:themeShade="80"/>
              <w:right w:val="single" w:sz="8" w:space="0" w:color="808080" w:themeColor="background1" w:themeShade="80"/>
            </w:tcBorders>
            <w:shd w:val="clear" w:color="auto" w:fill="auto"/>
          </w:tcPr>
          <w:p w:rsidR="00476BAA" w:rsidRPr="00C36C8F" w:rsidRDefault="00476BAA" w:rsidP="00D77275">
            <w:pPr>
              <w:pStyle w:val="TableText"/>
            </w:pPr>
          </w:p>
        </w:tc>
        <w:tc>
          <w:tcPr>
            <w:tcW w:w="1846"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68045B">
            <w:pPr>
              <w:pStyle w:val="TableText"/>
              <w:jc w:val="right"/>
              <w:rPr>
                <w:rFonts w:cs="Arial"/>
                <w:szCs w:val="18"/>
              </w:rPr>
            </w:pPr>
            <w:r w:rsidRPr="000B315F">
              <w:rPr>
                <w:color w:val="000000"/>
              </w:rPr>
              <w:t>60,</w:t>
            </w:r>
            <w:r w:rsidRPr="00476BAA">
              <w:rPr>
                <w:rFonts w:cs="Arial"/>
                <w:color w:val="000000"/>
                <w:szCs w:val="18"/>
              </w:rPr>
              <w:t>870</w:t>
            </w:r>
            <w:r w:rsidRPr="000B315F">
              <w:rPr>
                <w:color w:val="000000"/>
              </w:rPr>
              <w:t>,900</w:t>
            </w:r>
          </w:p>
        </w:tc>
        <w:tc>
          <w:tcPr>
            <w:tcW w:w="1845"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68045B">
            <w:pPr>
              <w:pStyle w:val="TableText"/>
              <w:jc w:val="right"/>
              <w:rPr>
                <w:rFonts w:cs="Arial"/>
                <w:szCs w:val="18"/>
              </w:rPr>
            </w:pPr>
            <w:r w:rsidRPr="000B315F">
              <w:rPr>
                <w:color w:val="000000"/>
              </w:rPr>
              <w:t>34,</w:t>
            </w:r>
            <w:r w:rsidRPr="00476BAA">
              <w:rPr>
                <w:rFonts w:cs="Arial"/>
                <w:color w:val="000000"/>
                <w:szCs w:val="18"/>
              </w:rPr>
              <w:t>264,400</w:t>
            </w:r>
          </w:p>
        </w:tc>
        <w:tc>
          <w:tcPr>
            <w:tcW w:w="1843"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284" w:type="dxa"/>
            </w:tcMar>
            <w:vAlign w:val="center"/>
          </w:tcPr>
          <w:p w:rsidR="00476BAA" w:rsidRPr="00476BAA" w:rsidRDefault="00476BAA" w:rsidP="0068045B">
            <w:pPr>
              <w:pStyle w:val="TableText"/>
              <w:jc w:val="right"/>
              <w:rPr>
                <w:rFonts w:cs="Arial"/>
                <w:szCs w:val="18"/>
              </w:rPr>
            </w:pPr>
            <w:r w:rsidRPr="000B315F">
              <w:rPr>
                <w:color w:val="000000"/>
              </w:rPr>
              <w:t>26,</w:t>
            </w:r>
            <w:r w:rsidRPr="00476BAA">
              <w:rPr>
                <w:rFonts w:cs="Arial"/>
                <w:color w:val="000000"/>
                <w:szCs w:val="18"/>
              </w:rPr>
              <w:t>261,900</w:t>
            </w:r>
          </w:p>
        </w:tc>
        <w:tc>
          <w:tcPr>
            <w:tcW w:w="1843"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D9D9D9" w:themeFill="background1" w:themeFillShade="D9"/>
            <w:tcMar>
              <w:right w:w="284" w:type="dxa"/>
            </w:tcMar>
            <w:vAlign w:val="center"/>
          </w:tcPr>
          <w:p w:rsidR="00476BAA" w:rsidRPr="00476BAA" w:rsidRDefault="00476BAA" w:rsidP="0068045B">
            <w:pPr>
              <w:pStyle w:val="TableText"/>
              <w:jc w:val="right"/>
              <w:rPr>
                <w:rFonts w:cs="Arial"/>
                <w:szCs w:val="18"/>
              </w:rPr>
            </w:pPr>
            <w:r w:rsidRPr="00476BAA">
              <w:rPr>
                <w:rFonts w:cs="Arial"/>
                <w:color w:val="000000"/>
                <w:szCs w:val="18"/>
              </w:rPr>
              <w:t>43</w:t>
            </w:r>
            <w:r w:rsidRPr="000B315F">
              <w:rPr>
                <w:color w:val="000000"/>
              </w:rPr>
              <w:t>%</w:t>
            </w:r>
          </w:p>
        </w:tc>
        <w:tc>
          <w:tcPr>
            <w:tcW w:w="1845"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tcMar>
              <w:right w:w="284" w:type="dxa"/>
            </w:tcMar>
            <w:vAlign w:val="center"/>
          </w:tcPr>
          <w:p w:rsidR="00476BAA" w:rsidRPr="00476BAA" w:rsidRDefault="00476BAA" w:rsidP="00DB342A">
            <w:pPr>
              <w:pStyle w:val="TableText"/>
              <w:jc w:val="right"/>
              <w:rPr>
                <w:rFonts w:cs="Arial"/>
                <w:szCs w:val="18"/>
              </w:rPr>
            </w:pPr>
            <w:r w:rsidRPr="000B315F">
              <w:rPr>
                <w:color w:val="000000"/>
              </w:rPr>
              <w:t>344,500</w:t>
            </w:r>
          </w:p>
        </w:tc>
        <w:tc>
          <w:tcPr>
            <w:tcW w:w="1845" w:type="dxa"/>
            <w:tcBorders>
              <w:top w:val="single" w:sz="4" w:space="0" w:color="808080"/>
              <w:left w:val="single" w:sz="8" w:space="0" w:color="808080" w:themeColor="background1" w:themeShade="80"/>
              <w:bottom w:val="single" w:sz="18" w:space="0" w:color="808080" w:themeColor="background1" w:themeShade="80"/>
            </w:tcBorders>
            <w:shd w:val="clear" w:color="auto" w:fill="D9D9D9" w:themeFill="background1" w:themeFillShade="D9"/>
            <w:tcMar>
              <w:right w:w="284" w:type="dxa"/>
            </w:tcMar>
            <w:vAlign w:val="center"/>
          </w:tcPr>
          <w:p w:rsidR="00476BAA" w:rsidRPr="00476BAA" w:rsidRDefault="00476BAA" w:rsidP="00DB342A">
            <w:pPr>
              <w:pStyle w:val="TableText"/>
              <w:jc w:val="right"/>
              <w:rPr>
                <w:rFonts w:cs="Arial"/>
                <w:b/>
                <w:szCs w:val="18"/>
              </w:rPr>
            </w:pPr>
            <w:r w:rsidRPr="000B315F">
              <w:rPr>
                <w:color w:val="000000"/>
              </w:rPr>
              <w:t>44%</w:t>
            </w:r>
          </w:p>
        </w:tc>
      </w:tr>
      <w:tr w:rsidR="00D94EF8" w:rsidRPr="00C36C8F" w:rsidTr="002E69BD">
        <w:tc>
          <w:tcPr>
            <w:tcW w:w="14603" w:type="dxa"/>
            <w:gridSpan w:val="9"/>
            <w:tcBorders>
              <w:top w:val="single" w:sz="18" w:space="0" w:color="808080" w:themeColor="background1" w:themeShade="80"/>
              <w:bottom w:val="single" w:sz="4" w:space="0" w:color="808080" w:themeColor="background1" w:themeShade="80"/>
            </w:tcBorders>
            <w:vAlign w:val="center"/>
          </w:tcPr>
          <w:p w:rsidR="00D94EF8" w:rsidRPr="00C36C8F" w:rsidRDefault="00D94EF8" w:rsidP="002E69BD">
            <w:pPr>
              <w:pStyle w:val="TableText"/>
              <w:spacing w:line="240" w:lineRule="auto"/>
              <w:rPr>
                <w:sz w:val="16"/>
                <w:szCs w:val="16"/>
              </w:rPr>
            </w:pPr>
            <w:r w:rsidRPr="00C36C8F">
              <w:rPr>
                <w:sz w:val="16"/>
                <w:szCs w:val="16"/>
              </w:rPr>
              <w:t>All weight values have been rounded. Minor discrepancies may occur between the stated totals and the sums of the component items, as totals are calculated using the component item values prior to rounding.</w:t>
            </w:r>
          </w:p>
        </w:tc>
      </w:tr>
    </w:tbl>
    <w:p w:rsidR="00C46DA9" w:rsidRPr="00C36C8F" w:rsidRDefault="00C46DA9" w:rsidP="00C46DA9">
      <w:pPr>
        <w:pStyle w:val="Caption"/>
      </w:pPr>
      <w:bookmarkStart w:id="135" w:name="_Ref325020570"/>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10</w:t>
      </w:r>
      <w:r w:rsidR="00B9555F" w:rsidRPr="00C36C8F">
        <w:rPr>
          <w:noProof/>
        </w:rPr>
        <w:fldChar w:fldCharType="end"/>
      </w:r>
      <w:r w:rsidRPr="00C36C8F">
        <w:tab/>
      </w:r>
      <w:r w:rsidR="00663788" w:rsidRPr="00C36C8F">
        <w:t>Recycling</w:t>
      </w:r>
      <w:r w:rsidRPr="00C36C8F">
        <w:t xml:space="preserve">, </w:t>
      </w:r>
      <w:r w:rsidR="00D94EF8" w:rsidRPr="00C36C8F">
        <w:t xml:space="preserve">by </w:t>
      </w:r>
      <w:r w:rsidR="00BE391E">
        <w:t xml:space="preserve">material category and </w:t>
      </w:r>
      <w:r w:rsidR="00D94EF8" w:rsidRPr="00C36C8F">
        <w:t>jurisdiction</w:t>
      </w:r>
      <w:r w:rsidRPr="00C36C8F">
        <w:t>, 2008–09</w:t>
      </w:r>
      <w:bookmarkEnd w:id="135"/>
    </w:p>
    <w:tbl>
      <w:tblPr>
        <w:tblW w:w="14601" w:type="dxa"/>
        <w:tblBorders>
          <w:bottom w:val="single" w:sz="18" w:space="0" w:color="808080"/>
          <w:insideH w:val="single" w:sz="4" w:space="0" w:color="808080"/>
        </w:tblBorders>
        <w:tblLayout w:type="fixed"/>
        <w:tblCellMar>
          <w:left w:w="0" w:type="dxa"/>
          <w:right w:w="0" w:type="dxa"/>
        </w:tblCellMar>
        <w:tblLook w:val="01E0"/>
      </w:tblPr>
      <w:tblGrid>
        <w:gridCol w:w="1692"/>
        <w:gridCol w:w="7"/>
        <w:gridCol w:w="1837"/>
        <w:gridCol w:w="1229"/>
        <w:gridCol w:w="1229"/>
        <w:gridCol w:w="1230"/>
        <w:gridCol w:w="1229"/>
        <w:gridCol w:w="1230"/>
        <w:gridCol w:w="1229"/>
        <w:gridCol w:w="1230"/>
        <w:gridCol w:w="1229"/>
        <w:gridCol w:w="1230"/>
      </w:tblGrid>
      <w:tr w:rsidR="009E48AE" w:rsidRPr="00C36C8F" w:rsidTr="00BA3E60">
        <w:tc>
          <w:tcPr>
            <w:tcW w:w="3536" w:type="dxa"/>
            <w:gridSpan w:val="3"/>
            <w:tcBorders>
              <w:top w:val="nil"/>
              <w:bottom w:val="single" w:sz="4" w:space="0" w:color="808080"/>
              <w:right w:val="single" w:sz="8" w:space="0" w:color="808080" w:themeColor="background1" w:themeShade="80"/>
            </w:tcBorders>
            <w:shd w:val="clear" w:color="auto" w:fill="auto"/>
            <w:vAlign w:val="center"/>
          </w:tcPr>
          <w:p w:rsidR="009E48AE" w:rsidRPr="00C36C8F" w:rsidRDefault="009E48AE" w:rsidP="00BA3E60">
            <w:pPr>
              <w:pStyle w:val="TableHeading"/>
              <w:jc w:val="center"/>
              <w:rPr>
                <w:kern w:val="28"/>
              </w:rPr>
            </w:pPr>
          </w:p>
        </w:tc>
        <w:tc>
          <w:tcPr>
            <w:tcW w:w="1229" w:type="dxa"/>
            <w:tcBorders>
              <w:top w:val="nil"/>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E48AE" w:rsidRPr="00C36C8F" w:rsidRDefault="009E48AE" w:rsidP="00BA3E60">
            <w:pPr>
              <w:pStyle w:val="TableHeading"/>
              <w:jc w:val="center"/>
              <w:rPr>
                <w:kern w:val="28"/>
              </w:rPr>
            </w:pPr>
            <w:r w:rsidRPr="00C36C8F">
              <w:rPr>
                <w:kern w:val="28"/>
              </w:rPr>
              <w:t>NSW</w:t>
            </w:r>
          </w:p>
        </w:tc>
        <w:tc>
          <w:tcPr>
            <w:tcW w:w="1229" w:type="dxa"/>
            <w:tcBorders>
              <w:top w:val="nil"/>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E48AE" w:rsidRPr="00C36C8F" w:rsidRDefault="009E48AE" w:rsidP="00BA3E60">
            <w:pPr>
              <w:pStyle w:val="TableHeading"/>
              <w:jc w:val="center"/>
              <w:rPr>
                <w:kern w:val="28"/>
              </w:rPr>
            </w:pPr>
            <w:r w:rsidRPr="00C36C8F">
              <w:rPr>
                <w:kern w:val="28"/>
              </w:rPr>
              <w:t>Vic</w:t>
            </w:r>
          </w:p>
        </w:tc>
        <w:tc>
          <w:tcPr>
            <w:tcW w:w="1230" w:type="dxa"/>
            <w:tcBorders>
              <w:top w:val="nil"/>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E48AE" w:rsidRPr="00C36C8F" w:rsidRDefault="009E48AE" w:rsidP="00BA3E60">
            <w:pPr>
              <w:pStyle w:val="TableHeading"/>
              <w:jc w:val="center"/>
              <w:rPr>
                <w:kern w:val="28"/>
              </w:rPr>
            </w:pPr>
            <w:r w:rsidRPr="00C36C8F">
              <w:rPr>
                <w:kern w:val="28"/>
              </w:rPr>
              <w:t>Qld</w:t>
            </w:r>
          </w:p>
        </w:tc>
        <w:tc>
          <w:tcPr>
            <w:tcW w:w="1229" w:type="dxa"/>
            <w:tcBorders>
              <w:top w:val="nil"/>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E48AE" w:rsidRPr="00C36C8F" w:rsidRDefault="009E48AE" w:rsidP="00BA3E60">
            <w:pPr>
              <w:pStyle w:val="TableHeading"/>
              <w:jc w:val="center"/>
              <w:rPr>
                <w:kern w:val="28"/>
              </w:rPr>
            </w:pPr>
            <w:r w:rsidRPr="00C36C8F">
              <w:rPr>
                <w:kern w:val="28"/>
              </w:rPr>
              <w:t>SA</w:t>
            </w:r>
          </w:p>
        </w:tc>
        <w:tc>
          <w:tcPr>
            <w:tcW w:w="1230" w:type="dxa"/>
            <w:tcBorders>
              <w:top w:val="nil"/>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E48AE" w:rsidRPr="00C36C8F" w:rsidRDefault="009E48AE" w:rsidP="003C4164">
            <w:pPr>
              <w:pStyle w:val="TableHeading"/>
              <w:jc w:val="center"/>
              <w:rPr>
                <w:kern w:val="28"/>
              </w:rPr>
            </w:pPr>
            <w:r w:rsidRPr="00C36C8F">
              <w:rPr>
                <w:kern w:val="28"/>
              </w:rPr>
              <w:t>WA</w:t>
            </w:r>
            <w:r w:rsidR="003C4164" w:rsidRPr="00C36C8F">
              <w:rPr>
                <w:kern w:val="28"/>
                <w:vertAlign w:val="superscript"/>
              </w:rPr>
              <w:t>1</w:t>
            </w:r>
          </w:p>
        </w:tc>
        <w:tc>
          <w:tcPr>
            <w:tcW w:w="1229" w:type="dxa"/>
            <w:tcBorders>
              <w:top w:val="nil"/>
              <w:left w:val="single" w:sz="8" w:space="0" w:color="808080" w:themeColor="background1" w:themeShade="80"/>
              <w:bottom w:val="single" w:sz="4" w:space="0" w:color="808080"/>
            </w:tcBorders>
            <w:shd w:val="clear" w:color="auto" w:fill="auto"/>
            <w:vAlign w:val="center"/>
          </w:tcPr>
          <w:p w:rsidR="009E48AE" w:rsidRPr="00C36C8F" w:rsidRDefault="009E48AE" w:rsidP="00BA3E60">
            <w:pPr>
              <w:pStyle w:val="TableHeading"/>
              <w:jc w:val="center"/>
              <w:rPr>
                <w:kern w:val="28"/>
              </w:rPr>
            </w:pPr>
            <w:r w:rsidRPr="00C36C8F">
              <w:rPr>
                <w:kern w:val="28"/>
              </w:rPr>
              <w:t>Tas</w:t>
            </w:r>
          </w:p>
        </w:tc>
        <w:tc>
          <w:tcPr>
            <w:tcW w:w="1230" w:type="dxa"/>
            <w:tcBorders>
              <w:top w:val="nil"/>
              <w:left w:val="single" w:sz="8" w:space="0" w:color="808080" w:themeColor="background1" w:themeShade="80"/>
              <w:bottom w:val="single" w:sz="4" w:space="0" w:color="808080"/>
            </w:tcBorders>
            <w:vAlign w:val="center"/>
          </w:tcPr>
          <w:p w:rsidR="009E48AE" w:rsidRPr="00774BF1" w:rsidRDefault="009E48AE" w:rsidP="00A532F4">
            <w:pPr>
              <w:pStyle w:val="TableHeading"/>
              <w:jc w:val="center"/>
              <w:rPr>
                <w:kern w:val="28"/>
              </w:rPr>
            </w:pPr>
            <w:r w:rsidRPr="00774BF1">
              <w:rPr>
                <w:kern w:val="28"/>
              </w:rPr>
              <w:t>ACT</w:t>
            </w:r>
            <w:r w:rsidR="00521276" w:rsidRPr="00774BF1">
              <w:rPr>
                <w:kern w:val="28"/>
                <w:vertAlign w:val="superscript"/>
              </w:rPr>
              <w:t>2</w:t>
            </w:r>
          </w:p>
        </w:tc>
        <w:tc>
          <w:tcPr>
            <w:tcW w:w="1229" w:type="dxa"/>
            <w:tcBorders>
              <w:top w:val="nil"/>
              <w:left w:val="single" w:sz="8" w:space="0" w:color="808080" w:themeColor="background1" w:themeShade="80"/>
              <w:bottom w:val="single" w:sz="4" w:space="0" w:color="808080"/>
            </w:tcBorders>
            <w:vAlign w:val="center"/>
          </w:tcPr>
          <w:p w:rsidR="009E48AE" w:rsidRPr="00C36C8F" w:rsidRDefault="009E48AE" w:rsidP="003C4164">
            <w:pPr>
              <w:pStyle w:val="TableHeading"/>
              <w:jc w:val="center"/>
              <w:rPr>
                <w:kern w:val="28"/>
              </w:rPr>
            </w:pPr>
            <w:r w:rsidRPr="00C36C8F">
              <w:rPr>
                <w:kern w:val="28"/>
              </w:rPr>
              <w:t>NT</w:t>
            </w:r>
            <w:r w:rsidR="003C4164" w:rsidRPr="00C36C8F">
              <w:rPr>
                <w:kern w:val="28"/>
                <w:vertAlign w:val="superscript"/>
              </w:rPr>
              <w:t>1</w:t>
            </w:r>
          </w:p>
        </w:tc>
        <w:tc>
          <w:tcPr>
            <w:tcW w:w="1230" w:type="dxa"/>
            <w:tcBorders>
              <w:top w:val="nil"/>
              <w:left w:val="single" w:sz="8" w:space="0" w:color="808080" w:themeColor="background1" w:themeShade="80"/>
              <w:bottom w:val="single" w:sz="4" w:space="0" w:color="808080"/>
            </w:tcBorders>
            <w:vAlign w:val="center"/>
          </w:tcPr>
          <w:p w:rsidR="009E48AE" w:rsidRPr="00C36C8F" w:rsidRDefault="009E48AE" w:rsidP="00BA3E60">
            <w:pPr>
              <w:pStyle w:val="TableHeading"/>
              <w:jc w:val="center"/>
              <w:rPr>
                <w:kern w:val="28"/>
              </w:rPr>
            </w:pPr>
            <w:r w:rsidRPr="00C36C8F">
              <w:rPr>
                <w:kern w:val="28"/>
              </w:rPr>
              <w:t>Total</w:t>
            </w:r>
          </w:p>
        </w:tc>
      </w:tr>
      <w:tr w:rsidR="00C4245D" w:rsidRPr="00C36C8F" w:rsidTr="00CB29E1">
        <w:tc>
          <w:tcPr>
            <w:tcW w:w="1701" w:type="dxa"/>
            <w:gridSpan w:val="2"/>
          </w:tcPr>
          <w:p w:rsidR="00C4245D" w:rsidRPr="00C36C8F" w:rsidRDefault="00C4245D" w:rsidP="003B428C">
            <w:pPr>
              <w:pStyle w:val="TableHeading"/>
              <w:jc w:val="center"/>
              <w:rPr>
                <w:kern w:val="28"/>
              </w:rPr>
            </w:pPr>
            <w:r w:rsidRPr="00C36C8F">
              <w:t>Ma</w:t>
            </w:r>
            <w:r w:rsidR="003B428C" w:rsidRPr="00C36C8F">
              <w:t>terial Category</w:t>
            </w:r>
          </w:p>
        </w:tc>
        <w:tc>
          <w:tcPr>
            <w:tcW w:w="1835" w:type="dxa"/>
            <w:tcBorders>
              <w:top w:val="single" w:sz="4" w:space="0" w:color="808080"/>
              <w:bottom w:val="single" w:sz="4" w:space="0" w:color="808080"/>
              <w:right w:val="single" w:sz="4" w:space="0" w:color="808080"/>
            </w:tcBorders>
            <w:tcMar>
              <w:right w:w="142" w:type="dxa"/>
            </w:tcMar>
          </w:tcPr>
          <w:p w:rsidR="00C4245D" w:rsidRPr="00C36C8F" w:rsidRDefault="003B428C" w:rsidP="00BA3E60">
            <w:pPr>
              <w:pStyle w:val="TableHeading"/>
              <w:jc w:val="center"/>
              <w:rPr>
                <w:kern w:val="28"/>
              </w:rPr>
            </w:pPr>
            <w:r w:rsidRPr="00C36C8F">
              <w:t>Material Type</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C4245D" w:rsidRPr="00C36C8F" w:rsidRDefault="00C4245D" w:rsidP="00BA3E60">
            <w:pPr>
              <w:pStyle w:val="TableHeading"/>
              <w:jc w:val="center"/>
              <w:rPr>
                <w:kern w:val="28"/>
              </w:rPr>
            </w:pPr>
            <w:r w:rsidRPr="00C36C8F">
              <w:t>tonnes</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C4245D" w:rsidRPr="00C36C8F" w:rsidRDefault="00C4245D" w:rsidP="00BA3E60">
            <w:pPr>
              <w:pStyle w:val="TableHeading"/>
              <w:jc w:val="center"/>
              <w:rPr>
                <w:kern w:val="28"/>
              </w:rPr>
            </w:pPr>
            <w:r w:rsidRPr="00C36C8F">
              <w:t>tonnes</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C4245D" w:rsidRPr="00C36C8F" w:rsidRDefault="00C4245D" w:rsidP="00BA3E60">
            <w:pPr>
              <w:pStyle w:val="TableHeading"/>
              <w:jc w:val="center"/>
              <w:rPr>
                <w:kern w:val="28"/>
              </w:rPr>
            </w:pPr>
            <w:r w:rsidRPr="00C36C8F">
              <w:t>tonnes</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C4245D" w:rsidRPr="00C36C8F" w:rsidRDefault="00C4245D" w:rsidP="00BA3E60">
            <w:pPr>
              <w:pStyle w:val="TableHeading"/>
              <w:jc w:val="center"/>
              <w:rPr>
                <w:kern w:val="28"/>
              </w:rPr>
            </w:pPr>
            <w:r w:rsidRPr="00C36C8F">
              <w:t>tonnes</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C4245D" w:rsidRPr="00C36C8F" w:rsidRDefault="00C4245D" w:rsidP="00BA3E60">
            <w:pPr>
              <w:pStyle w:val="TableHeading"/>
              <w:jc w:val="center"/>
              <w:rPr>
                <w:kern w:val="28"/>
              </w:rPr>
            </w:pPr>
            <w:r w:rsidRPr="00C36C8F">
              <w:t>tonnes</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C4245D" w:rsidRPr="00C36C8F" w:rsidRDefault="00C4245D" w:rsidP="00BA3E60">
            <w:pPr>
              <w:pStyle w:val="TableHeading"/>
              <w:jc w:val="center"/>
              <w:rPr>
                <w:kern w:val="28"/>
              </w:rPr>
            </w:pPr>
            <w:r w:rsidRPr="00C36C8F">
              <w:t>tonnes</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C4245D" w:rsidRPr="00774BF1" w:rsidRDefault="00C4245D" w:rsidP="00BA3E60">
            <w:pPr>
              <w:pStyle w:val="TableHeading"/>
              <w:jc w:val="center"/>
              <w:rPr>
                <w:kern w:val="28"/>
              </w:rPr>
            </w:pPr>
            <w:r w:rsidRPr="00774BF1">
              <w:t>tonnes</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C4245D" w:rsidRPr="00C36C8F" w:rsidRDefault="00C4245D" w:rsidP="00BA3E60">
            <w:pPr>
              <w:pStyle w:val="TableHeading"/>
              <w:jc w:val="center"/>
              <w:rPr>
                <w:kern w:val="28"/>
              </w:rPr>
            </w:pPr>
            <w:r w:rsidRPr="00C36C8F">
              <w:t>tonnes</w:t>
            </w:r>
          </w:p>
        </w:tc>
        <w:tc>
          <w:tcPr>
            <w:tcW w:w="1230" w:type="dxa"/>
            <w:tcBorders>
              <w:top w:val="single" w:sz="4" w:space="0" w:color="808080"/>
              <w:left w:val="single" w:sz="4" w:space="0" w:color="808080"/>
              <w:bottom w:val="single" w:sz="4" w:space="0" w:color="808080"/>
            </w:tcBorders>
            <w:tcMar>
              <w:right w:w="142" w:type="dxa"/>
            </w:tcMar>
          </w:tcPr>
          <w:p w:rsidR="00C4245D" w:rsidRPr="00C36C8F" w:rsidRDefault="00C4245D" w:rsidP="00BA3E60">
            <w:pPr>
              <w:pStyle w:val="TableHeading"/>
              <w:jc w:val="center"/>
              <w:rPr>
                <w:kern w:val="28"/>
              </w:rPr>
            </w:pPr>
            <w:r w:rsidRPr="00C36C8F">
              <w:t>tonnes</w:t>
            </w:r>
          </w:p>
        </w:tc>
      </w:tr>
      <w:tr w:rsidR="00476BAA" w:rsidRPr="00C36C8F" w:rsidTr="00CB29E1">
        <w:tc>
          <w:tcPr>
            <w:tcW w:w="1693" w:type="dxa"/>
            <w:tcBorders>
              <w:top w:val="single" w:sz="4" w:space="0" w:color="808080"/>
            </w:tcBorders>
            <w:shd w:val="clear" w:color="auto" w:fill="auto"/>
          </w:tcPr>
          <w:p w:rsidR="00476BAA" w:rsidRPr="00C36C8F" w:rsidRDefault="00476BAA" w:rsidP="00BA3E60">
            <w:pPr>
              <w:pStyle w:val="TableText"/>
            </w:pPr>
            <w:r w:rsidRPr="00C36C8F">
              <w:t>Masonry materials</w:t>
            </w:r>
          </w:p>
        </w:tc>
        <w:tc>
          <w:tcPr>
            <w:tcW w:w="1843" w:type="dxa"/>
            <w:gridSpan w:val="2"/>
            <w:tcBorders>
              <w:top w:val="single" w:sz="4" w:space="0" w:color="808080"/>
              <w:right w:val="single" w:sz="8" w:space="0" w:color="808080" w:themeColor="background1" w:themeShade="80"/>
            </w:tcBorders>
          </w:tcPr>
          <w:p w:rsidR="00476BAA" w:rsidRPr="00C36C8F" w:rsidRDefault="00476BAA" w:rsidP="00BA3E60">
            <w:pPr>
              <w:pStyle w:val="TableText"/>
            </w:pPr>
          </w:p>
        </w:tc>
        <w:tc>
          <w:tcPr>
            <w:tcW w:w="1229"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68045B">
            <w:pPr>
              <w:pStyle w:val="TableText"/>
              <w:jc w:val="right"/>
              <w:rPr>
                <w:rFonts w:cs="Arial"/>
                <w:szCs w:val="18"/>
              </w:rPr>
            </w:pPr>
            <w:r w:rsidRPr="000B315F">
              <w:rPr>
                <w:color w:val="000000"/>
              </w:rPr>
              <w:t>4,</w:t>
            </w:r>
            <w:r w:rsidRPr="00476BAA">
              <w:rPr>
                <w:rFonts w:cs="Arial"/>
                <w:color w:val="000000"/>
                <w:szCs w:val="18"/>
              </w:rPr>
              <w:t>416,200</w:t>
            </w:r>
          </w:p>
        </w:tc>
        <w:tc>
          <w:tcPr>
            <w:tcW w:w="1229"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2,329,000</w:t>
            </w:r>
          </w:p>
        </w:tc>
        <w:tc>
          <w:tcPr>
            <w:tcW w:w="1230"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68045B">
            <w:pPr>
              <w:pStyle w:val="TableText"/>
              <w:jc w:val="right"/>
              <w:rPr>
                <w:rFonts w:cs="Arial"/>
                <w:szCs w:val="18"/>
              </w:rPr>
            </w:pPr>
            <w:r w:rsidRPr="000B315F">
              <w:rPr>
                <w:color w:val="000000"/>
              </w:rPr>
              <w:t>1,</w:t>
            </w:r>
            <w:r w:rsidRPr="00476BAA">
              <w:rPr>
                <w:rFonts w:cs="Arial"/>
                <w:color w:val="000000"/>
                <w:szCs w:val="18"/>
              </w:rPr>
              <w:t>183,900</w:t>
            </w:r>
          </w:p>
        </w:tc>
        <w:tc>
          <w:tcPr>
            <w:tcW w:w="1229"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1,220,000</w:t>
            </w:r>
          </w:p>
        </w:tc>
        <w:tc>
          <w:tcPr>
            <w:tcW w:w="1230"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723,500</w:t>
            </w:r>
          </w:p>
        </w:tc>
        <w:tc>
          <w:tcPr>
            <w:tcW w:w="1229" w:type="dxa"/>
            <w:tcBorders>
              <w:top w:val="single" w:sz="4" w:space="0" w:color="808080"/>
              <w:lef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8" w:space="0" w:color="808080" w:themeColor="background1" w:themeShade="80"/>
            </w:tcBorders>
            <w:tcMar>
              <w:right w:w="142" w:type="dxa"/>
            </w:tcMar>
            <w:vAlign w:val="center"/>
          </w:tcPr>
          <w:p w:rsidR="00476BAA" w:rsidRPr="000B315F" w:rsidRDefault="00476BAA" w:rsidP="0068045B">
            <w:pPr>
              <w:pStyle w:val="TableText"/>
              <w:jc w:val="right"/>
              <w:rPr>
                <w:highlight w:val="yellow"/>
              </w:rPr>
            </w:pPr>
            <w:r w:rsidRPr="00476BAA">
              <w:rPr>
                <w:rFonts w:cs="Arial"/>
                <w:color w:val="000000"/>
                <w:szCs w:val="18"/>
              </w:rPr>
              <w:t>223,800</w:t>
            </w:r>
          </w:p>
        </w:tc>
        <w:tc>
          <w:tcPr>
            <w:tcW w:w="1229" w:type="dxa"/>
            <w:tcBorders>
              <w:top w:val="single" w:sz="4" w:space="0" w:color="808080"/>
              <w:left w:val="single" w:sz="8" w:space="0" w:color="808080" w:themeColor="background1" w:themeShade="80"/>
            </w:tcBorders>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8" w:space="0" w:color="808080" w:themeColor="background1" w:themeShade="80"/>
            </w:tcBorders>
            <w:tcMar>
              <w:right w:w="142" w:type="dxa"/>
            </w:tcMar>
            <w:vAlign w:val="center"/>
          </w:tcPr>
          <w:p w:rsidR="00476BAA" w:rsidRPr="00476BAA" w:rsidRDefault="00476BAA" w:rsidP="00D17449">
            <w:pPr>
              <w:pStyle w:val="TableText"/>
              <w:jc w:val="right"/>
              <w:rPr>
                <w:rFonts w:cs="Arial"/>
                <w:szCs w:val="18"/>
              </w:rPr>
            </w:pPr>
            <w:r w:rsidRPr="000B315F">
              <w:rPr>
                <w:color w:val="000000"/>
              </w:rPr>
              <w:t>10,</w:t>
            </w:r>
            <w:r w:rsidRPr="00476BAA">
              <w:rPr>
                <w:rFonts w:cs="Arial"/>
                <w:color w:val="000000"/>
                <w:szCs w:val="18"/>
              </w:rPr>
              <w:t>096,500</w:t>
            </w:r>
          </w:p>
        </w:tc>
      </w:tr>
      <w:tr w:rsidR="00476BAA" w:rsidRPr="00C36C8F" w:rsidTr="00CB29E1">
        <w:tc>
          <w:tcPr>
            <w:tcW w:w="1693" w:type="dxa"/>
            <w:shd w:val="clear" w:color="auto" w:fill="auto"/>
          </w:tcPr>
          <w:p w:rsidR="00476BAA" w:rsidRPr="00C36C8F" w:rsidRDefault="00476BAA" w:rsidP="00BA3E60">
            <w:pPr>
              <w:pStyle w:val="TableText"/>
            </w:pPr>
            <w:r w:rsidRPr="00C36C8F">
              <w:t>Metals</w:t>
            </w:r>
          </w:p>
        </w:tc>
        <w:tc>
          <w:tcPr>
            <w:tcW w:w="1843" w:type="dxa"/>
            <w:gridSpan w:val="2"/>
            <w:tcBorders>
              <w:bottom w:val="single" w:sz="4" w:space="0" w:color="808080"/>
              <w:right w:val="single" w:sz="8" w:space="0" w:color="808080" w:themeColor="background1" w:themeShade="80"/>
            </w:tcBorders>
          </w:tcPr>
          <w:p w:rsidR="00476BAA" w:rsidRPr="00C36C8F" w:rsidRDefault="00476BAA" w:rsidP="00BA3E60">
            <w:pPr>
              <w:pStyle w:val="TableText"/>
            </w:pPr>
          </w:p>
        </w:tc>
        <w:tc>
          <w:tcPr>
            <w:tcW w:w="12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503BB4">
            <w:pPr>
              <w:pStyle w:val="TableText"/>
              <w:jc w:val="right"/>
              <w:rPr>
                <w:rFonts w:cs="Arial"/>
                <w:szCs w:val="18"/>
              </w:rPr>
            </w:pPr>
            <w:r w:rsidRPr="000B315F">
              <w:rPr>
                <w:color w:val="000000"/>
              </w:rPr>
              <w:t>1,</w:t>
            </w:r>
            <w:r w:rsidRPr="00476BAA">
              <w:rPr>
                <w:rFonts w:cs="Arial"/>
                <w:color w:val="000000"/>
                <w:szCs w:val="18"/>
              </w:rPr>
              <w:t>608,800</w:t>
            </w:r>
          </w:p>
        </w:tc>
        <w:tc>
          <w:tcPr>
            <w:tcW w:w="12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1,099,000</w:t>
            </w:r>
          </w:p>
        </w:tc>
        <w:tc>
          <w:tcPr>
            <w:tcW w:w="1230"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503BB4">
            <w:pPr>
              <w:pStyle w:val="TableText"/>
              <w:jc w:val="right"/>
              <w:rPr>
                <w:rFonts w:cs="Arial"/>
                <w:szCs w:val="18"/>
              </w:rPr>
            </w:pPr>
            <w:r w:rsidRPr="00476BAA">
              <w:rPr>
                <w:rFonts w:cs="Arial"/>
                <w:color w:val="000000"/>
                <w:szCs w:val="18"/>
              </w:rPr>
              <w:t>687,800</w:t>
            </w:r>
          </w:p>
        </w:tc>
        <w:tc>
          <w:tcPr>
            <w:tcW w:w="12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311,700</w:t>
            </w:r>
          </w:p>
        </w:tc>
        <w:tc>
          <w:tcPr>
            <w:tcW w:w="1230"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375,200</w:t>
            </w:r>
          </w:p>
        </w:tc>
        <w:tc>
          <w:tcPr>
            <w:tcW w:w="1229" w:type="dxa"/>
            <w:tcBorders>
              <w:left w:val="single" w:sz="8" w:space="0" w:color="808080" w:themeColor="background1" w:themeShade="80"/>
              <w:bottom w:val="single" w:sz="4" w:space="0" w:color="8080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1,200</w:t>
            </w:r>
          </w:p>
        </w:tc>
        <w:tc>
          <w:tcPr>
            <w:tcW w:w="1230" w:type="dxa"/>
            <w:tcBorders>
              <w:left w:val="single" w:sz="8" w:space="0" w:color="808080" w:themeColor="background1" w:themeShade="80"/>
              <w:bottom w:val="single" w:sz="4" w:space="0" w:color="808080"/>
            </w:tcBorders>
            <w:tcMar>
              <w:right w:w="142" w:type="dxa"/>
            </w:tcMar>
            <w:vAlign w:val="center"/>
          </w:tcPr>
          <w:p w:rsidR="00476BAA" w:rsidRPr="000B315F" w:rsidRDefault="00476BAA" w:rsidP="00BA3E60">
            <w:pPr>
              <w:pStyle w:val="TableText"/>
              <w:jc w:val="right"/>
              <w:rPr>
                <w:highlight w:val="yellow"/>
              </w:rPr>
            </w:pPr>
            <w:r w:rsidRPr="00476BAA">
              <w:rPr>
                <w:rFonts w:cs="Arial"/>
                <w:color w:val="000000"/>
                <w:szCs w:val="18"/>
              </w:rPr>
              <w:t>37,600</w:t>
            </w:r>
          </w:p>
        </w:tc>
        <w:tc>
          <w:tcPr>
            <w:tcW w:w="1229" w:type="dxa"/>
            <w:tcBorders>
              <w:left w:val="single" w:sz="8" w:space="0" w:color="808080" w:themeColor="background1" w:themeShade="80"/>
              <w:bottom w:val="single" w:sz="4" w:space="0" w:color="808080"/>
            </w:tcBorders>
            <w:tcMar>
              <w:right w:w="142" w:type="dxa"/>
            </w:tcMar>
            <w:vAlign w:val="center"/>
          </w:tcPr>
          <w:p w:rsidR="00476BAA" w:rsidRPr="00476BAA" w:rsidRDefault="00476BAA" w:rsidP="00BA3E60">
            <w:pPr>
              <w:pStyle w:val="TableText"/>
              <w:jc w:val="right"/>
              <w:rPr>
                <w:rFonts w:cs="Arial"/>
                <w:szCs w:val="18"/>
              </w:rPr>
            </w:pPr>
            <w:r w:rsidRPr="000B315F">
              <w:rPr>
                <w:color w:val="000000"/>
              </w:rPr>
              <w:t>800</w:t>
            </w:r>
          </w:p>
        </w:tc>
        <w:tc>
          <w:tcPr>
            <w:tcW w:w="1230" w:type="dxa"/>
            <w:tcBorders>
              <w:left w:val="single" w:sz="8" w:space="0" w:color="808080" w:themeColor="background1" w:themeShade="80"/>
              <w:bottom w:val="single" w:sz="4" w:space="0" w:color="808080"/>
            </w:tcBorders>
            <w:tcMar>
              <w:right w:w="142" w:type="dxa"/>
            </w:tcMar>
            <w:vAlign w:val="center"/>
          </w:tcPr>
          <w:p w:rsidR="00476BAA" w:rsidRPr="00476BAA" w:rsidRDefault="00476BAA" w:rsidP="00275263">
            <w:pPr>
              <w:pStyle w:val="TableText"/>
              <w:jc w:val="right"/>
              <w:rPr>
                <w:rFonts w:cs="Arial"/>
                <w:szCs w:val="18"/>
              </w:rPr>
            </w:pPr>
            <w:r w:rsidRPr="000B315F">
              <w:rPr>
                <w:color w:val="000000"/>
              </w:rPr>
              <w:t>4,</w:t>
            </w:r>
            <w:r w:rsidRPr="00476BAA">
              <w:rPr>
                <w:rFonts w:cs="Arial"/>
                <w:color w:val="000000"/>
                <w:szCs w:val="18"/>
              </w:rPr>
              <w:t>122,100</w:t>
            </w:r>
          </w:p>
        </w:tc>
      </w:tr>
      <w:tr w:rsidR="00476BAA" w:rsidRPr="00C36C8F" w:rsidTr="00CB29E1">
        <w:tc>
          <w:tcPr>
            <w:tcW w:w="1693" w:type="dxa"/>
          </w:tcPr>
          <w:p w:rsidR="00476BAA" w:rsidRPr="00C36C8F" w:rsidRDefault="00476BAA" w:rsidP="00BA3E60">
            <w:pPr>
              <w:pStyle w:val="TableText"/>
            </w:pPr>
            <w:r w:rsidRPr="00C36C8F">
              <w:t>Organics</w:t>
            </w:r>
          </w:p>
        </w:tc>
        <w:tc>
          <w:tcPr>
            <w:tcW w:w="1843" w:type="dxa"/>
            <w:gridSpan w:val="2"/>
            <w:tcBorders>
              <w:top w:val="single" w:sz="4" w:space="0" w:color="808080"/>
              <w:bottom w:val="single" w:sz="4" w:space="0" w:color="808080"/>
              <w:right w:val="single" w:sz="4" w:space="0" w:color="808080"/>
            </w:tcBorders>
          </w:tcPr>
          <w:p w:rsidR="00476BAA" w:rsidRPr="00C36C8F" w:rsidRDefault="00476BAA" w:rsidP="00BA3E60">
            <w:pPr>
              <w:pStyle w:val="TableText"/>
            </w:pP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1,076,000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563,000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1,069,000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355,800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435,200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25,400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0B315F" w:rsidRDefault="00476BAA" w:rsidP="00BA3E60">
            <w:pPr>
              <w:pStyle w:val="TableText"/>
              <w:jc w:val="right"/>
              <w:rPr>
                <w:highlight w:val="yellow"/>
              </w:rPr>
            </w:pPr>
            <w:r w:rsidRPr="000B315F">
              <w:rPr>
                <w:color w:val="000000"/>
              </w:rPr>
              <w:t>228,400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3,752,700</w:t>
            </w:r>
          </w:p>
        </w:tc>
      </w:tr>
      <w:tr w:rsidR="00476BAA" w:rsidRPr="00C36C8F" w:rsidTr="00CB29E1">
        <w:tc>
          <w:tcPr>
            <w:tcW w:w="1693" w:type="dxa"/>
            <w:shd w:val="clear" w:color="auto" w:fill="auto"/>
          </w:tcPr>
          <w:p w:rsidR="00476BAA" w:rsidRPr="00C36C8F" w:rsidRDefault="00476BAA" w:rsidP="00BA3E60">
            <w:pPr>
              <w:pStyle w:val="TableText"/>
            </w:pPr>
            <w:r w:rsidRPr="00C36C8F">
              <w:t>Paper &amp; cardboard</w:t>
            </w:r>
          </w:p>
        </w:tc>
        <w:tc>
          <w:tcPr>
            <w:tcW w:w="1843" w:type="dxa"/>
            <w:gridSpan w:val="2"/>
            <w:tcBorders>
              <w:top w:val="single" w:sz="4" w:space="0" w:color="808080"/>
              <w:right w:val="single" w:sz="8" w:space="0" w:color="808080" w:themeColor="background1" w:themeShade="80"/>
            </w:tcBorders>
          </w:tcPr>
          <w:p w:rsidR="00476BAA" w:rsidRPr="00C36C8F" w:rsidRDefault="00476BAA" w:rsidP="00BA3E60">
            <w:pPr>
              <w:pStyle w:val="TableText"/>
            </w:pPr>
          </w:p>
        </w:tc>
        <w:tc>
          <w:tcPr>
            <w:tcW w:w="1229"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275263">
            <w:pPr>
              <w:pStyle w:val="TableText"/>
              <w:jc w:val="right"/>
              <w:rPr>
                <w:rFonts w:cs="Arial"/>
                <w:szCs w:val="18"/>
              </w:rPr>
            </w:pPr>
            <w:r w:rsidRPr="000B315F">
              <w:rPr>
                <w:color w:val="000000"/>
              </w:rPr>
              <w:t>1,</w:t>
            </w:r>
            <w:r w:rsidRPr="00476BAA">
              <w:rPr>
                <w:rFonts w:cs="Arial"/>
                <w:color w:val="000000"/>
                <w:szCs w:val="18"/>
              </w:rPr>
              <w:t>691</w:t>
            </w:r>
            <w:r w:rsidRPr="000B315F">
              <w:rPr>
                <w:color w:val="000000"/>
              </w:rPr>
              <w:t>,000</w:t>
            </w:r>
          </w:p>
        </w:tc>
        <w:tc>
          <w:tcPr>
            <w:tcW w:w="1229"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1,132,000</w:t>
            </w:r>
          </w:p>
        </w:tc>
        <w:tc>
          <w:tcPr>
            <w:tcW w:w="1230"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275263">
            <w:pPr>
              <w:pStyle w:val="TableText"/>
              <w:jc w:val="right"/>
              <w:rPr>
                <w:rFonts w:cs="Arial"/>
                <w:szCs w:val="18"/>
              </w:rPr>
            </w:pPr>
            <w:r w:rsidRPr="00476BAA">
              <w:rPr>
                <w:rFonts w:cs="Arial"/>
                <w:color w:val="000000"/>
                <w:szCs w:val="18"/>
              </w:rPr>
              <w:t>529,100</w:t>
            </w:r>
          </w:p>
        </w:tc>
        <w:tc>
          <w:tcPr>
            <w:tcW w:w="1229"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204,100</w:t>
            </w:r>
          </w:p>
        </w:tc>
        <w:tc>
          <w:tcPr>
            <w:tcW w:w="1230"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231,000</w:t>
            </w:r>
          </w:p>
        </w:tc>
        <w:tc>
          <w:tcPr>
            <w:tcW w:w="1229" w:type="dxa"/>
            <w:tcBorders>
              <w:top w:val="single" w:sz="4" w:space="0" w:color="808080"/>
              <w:lef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40,300</w:t>
            </w:r>
          </w:p>
        </w:tc>
        <w:tc>
          <w:tcPr>
            <w:tcW w:w="1230" w:type="dxa"/>
            <w:tcBorders>
              <w:top w:val="single" w:sz="4" w:space="0" w:color="808080"/>
              <w:left w:val="single" w:sz="8" w:space="0" w:color="808080" w:themeColor="background1" w:themeShade="80"/>
            </w:tcBorders>
            <w:tcMar>
              <w:right w:w="142" w:type="dxa"/>
            </w:tcMar>
            <w:vAlign w:val="center"/>
          </w:tcPr>
          <w:p w:rsidR="00476BAA" w:rsidRPr="000B315F" w:rsidRDefault="00476BAA" w:rsidP="00BA3E60">
            <w:pPr>
              <w:pStyle w:val="TableText"/>
              <w:jc w:val="right"/>
              <w:rPr>
                <w:highlight w:val="yellow"/>
              </w:rPr>
            </w:pPr>
            <w:r w:rsidRPr="000B315F">
              <w:rPr>
                <w:color w:val="000000"/>
              </w:rPr>
              <w:t>56,900</w:t>
            </w:r>
          </w:p>
        </w:tc>
        <w:tc>
          <w:tcPr>
            <w:tcW w:w="1229" w:type="dxa"/>
            <w:tcBorders>
              <w:top w:val="single" w:sz="4" w:space="0" w:color="808080"/>
              <w:left w:val="single" w:sz="8" w:space="0" w:color="808080" w:themeColor="background1" w:themeShade="80"/>
            </w:tcBorders>
            <w:tcMar>
              <w:right w:w="142" w:type="dxa"/>
            </w:tcMar>
            <w:vAlign w:val="center"/>
          </w:tcPr>
          <w:p w:rsidR="00476BAA" w:rsidRPr="00476BAA" w:rsidRDefault="00476BAA" w:rsidP="00BA3E60">
            <w:pPr>
              <w:pStyle w:val="TableText"/>
              <w:jc w:val="right"/>
              <w:rPr>
                <w:rFonts w:cs="Arial"/>
                <w:szCs w:val="18"/>
              </w:rPr>
            </w:pPr>
            <w:r w:rsidRPr="000B315F">
              <w:rPr>
                <w:color w:val="000000"/>
              </w:rPr>
              <w:t>11,100</w:t>
            </w:r>
          </w:p>
        </w:tc>
        <w:tc>
          <w:tcPr>
            <w:tcW w:w="1230" w:type="dxa"/>
            <w:tcBorders>
              <w:top w:val="single" w:sz="4" w:space="0" w:color="808080"/>
              <w:left w:val="single" w:sz="8" w:space="0" w:color="808080" w:themeColor="background1" w:themeShade="80"/>
            </w:tcBorders>
            <w:tcMar>
              <w:right w:w="142" w:type="dxa"/>
            </w:tcMar>
            <w:vAlign w:val="center"/>
          </w:tcPr>
          <w:p w:rsidR="00476BAA" w:rsidRPr="00476BAA" w:rsidRDefault="00476BAA" w:rsidP="00275263">
            <w:pPr>
              <w:pStyle w:val="TableText"/>
              <w:jc w:val="right"/>
              <w:rPr>
                <w:rFonts w:cs="Arial"/>
                <w:szCs w:val="18"/>
              </w:rPr>
            </w:pPr>
            <w:r w:rsidRPr="000B315F">
              <w:rPr>
                <w:color w:val="000000"/>
              </w:rPr>
              <w:t>3,</w:t>
            </w:r>
            <w:r w:rsidRPr="00476BAA">
              <w:rPr>
                <w:rFonts w:cs="Arial"/>
                <w:color w:val="000000"/>
                <w:szCs w:val="18"/>
              </w:rPr>
              <w:t>895,500</w:t>
            </w:r>
          </w:p>
        </w:tc>
      </w:tr>
      <w:tr w:rsidR="00476BAA" w:rsidRPr="00C36C8F" w:rsidTr="00BA3E60">
        <w:tc>
          <w:tcPr>
            <w:tcW w:w="1693" w:type="dxa"/>
            <w:shd w:val="clear" w:color="auto" w:fill="auto"/>
          </w:tcPr>
          <w:p w:rsidR="00476BAA" w:rsidRPr="00C36C8F" w:rsidRDefault="00476BAA" w:rsidP="00BA3E60">
            <w:pPr>
              <w:pStyle w:val="TableText"/>
            </w:pPr>
            <w:r w:rsidRPr="00C36C8F">
              <w:t>Plastics</w:t>
            </w:r>
          </w:p>
        </w:tc>
        <w:tc>
          <w:tcPr>
            <w:tcW w:w="1843" w:type="dxa"/>
            <w:gridSpan w:val="2"/>
            <w:tcBorders>
              <w:right w:val="single" w:sz="8" w:space="0" w:color="808080" w:themeColor="background1" w:themeShade="80"/>
            </w:tcBorders>
          </w:tcPr>
          <w:p w:rsidR="00476BAA" w:rsidRPr="00C36C8F" w:rsidRDefault="00476BAA" w:rsidP="00BA3E60">
            <w:pPr>
              <w:pStyle w:val="TableText"/>
            </w:pPr>
          </w:p>
        </w:tc>
        <w:tc>
          <w:tcPr>
            <w:tcW w:w="12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476BAA">
              <w:rPr>
                <w:rFonts w:cs="Arial"/>
                <w:color w:val="000000"/>
                <w:szCs w:val="18"/>
              </w:rPr>
              <w:t>299,800</w:t>
            </w:r>
          </w:p>
        </w:tc>
        <w:tc>
          <w:tcPr>
            <w:tcW w:w="12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144,000</w:t>
            </w:r>
          </w:p>
        </w:tc>
        <w:tc>
          <w:tcPr>
            <w:tcW w:w="1230"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275263">
            <w:pPr>
              <w:pStyle w:val="TableText"/>
              <w:jc w:val="right"/>
              <w:rPr>
                <w:rFonts w:cs="Arial"/>
                <w:szCs w:val="18"/>
              </w:rPr>
            </w:pPr>
            <w:r w:rsidRPr="00476BAA">
              <w:rPr>
                <w:rFonts w:cs="Arial"/>
                <w:color w:val="000000"/>
                <w:szCs w:val="18"/>
              </w:rPr>
              <w:t>39,200</w:t>
            </w:r>
          </w:p>
        </w:tc>
        <w:tc>
          <w:tcPr>
            <w:tcW w:w="12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13,800</w:t>
            </w:r>
          </w:p>
        </w:tc>
        <w:tc>
          <w:tcPr>
            <w:tcW w:w="1230"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19,400</w:t>
            </w:r>
          </w:p>
        </w:tc>
        <w:tc>
          <w:tcPr>
            <w:tcW w:w="1229" w:type="dxa"/>
            <w:tcBorders>
              <w:lef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2,800</w:t>
            </w:r>
          </w:p>
        </w:tc>
        <w:tc>
          <w:tcPr>
            <w:tcW w:w="1230" w:type="dxa"/>
            <w:tcBorders>
              <w:left w:val="single" w:sz="8" w:space="0" w:color="808080" w:themeColor="background1" w:themeShade="80"/>
            </w:tcBorders>
            <w:tcMar>
              <w:right w:w="142" w:type="dxa"/>
            </w:tcMar>
            <w:vAlign w:val="center"/>
          </w:tcPr>
          <w:p w:rsidR="00476BAA" w:rsidRPr="000B315F" w:rsidRDefault="00476BAA" w:rsidP="00F72BF7">
            <w:pPr>
              <w:pStyle w:val="TableText"/>
              <w:jc w:val="right"/>
              <w:rPr>
                <w:highlight w:val="yellow"/>
              </w:rPr>
            </w:pPr>
            <w:r w:rsidRPr="000B315F">
              <w:rPr>
                <w:color w:val="000000"/>
              </w:rPr>
              <w:t>1,100</w:t>
            </w:r>
          </w:p>
        </w:tc>
        <w:tc>
          <w:tcPr>
            <w:tcW w:w="1229" w:type="dxa"/>
            <w:tcBorders>
              <w:left w:val="single" w:sz="8" w:space="0" w:color="808080" w:themeColor="background1" w:themeShade="80"/>
            </w:tcBorders>
            <w:tcMar>
              <w:right w:w="142" w:type="dxa"/>
            </w:tcMar>
            <w:vAlign w:val="center"/>
          </w:tcPr>
          <w:p w:rsidR="00476BAA" w:rsidRPr="00476BAA" w:rsidRDefault="00476BAA" w:rsidP="00BA3E60">
            <w:pPr>
              <w:pStyle w:val="TableText"/>
              <w:jc w:val="right"/>
              <w:rPr>
                <w:rFonts w:cs="Arial"/>
                <w:szCs w:val="18"/>
              </w:rPr>
            </w:pPr>
            <w:r w:rsidRPr="00476BAA">
              <w:rPr>
                <w:rFonts w:cs="Arial"/>
                <w:color w:val="000000"/>
                <w:szCs w:val="18"/>
              </w:rPr>
              <w:t>800</w:t>
            </w:r>
          </w:p>
        </w:tc>
        <w:tc>
          <w:tcPr>
            <w:tcW w:w="1230" w:type="dxa"/>
            <w:tcBorders>
              <w:left w:val="single" w:sz="8" w:space="0" w:color="808080" w:themeColor="background1" w:themeShade="80"/>
            </w:tcBorders>
            <w:tcMar>
              <w:right w:w="142" w:type="dxa"/>
            </w:tcMar>
            <w:vAlign w:val="center"/>
          </w:tcPr>
          <w:p w:rsidR="00476BAA" w:rsidRPr="00476BAA" w:rsidRDefault="00476BAA" w:rsidP="00F72BF7">
            <w:pPr>
              <w:pStyle w:val="TableText"/>
              <w:jc w:val="right"/>
              <w:rPr>
                <w:rFonts w:cs="Arial"/>
                <w:szCs w:val="18"/>
              </w:rPr>
            </w:pPr>
            <w:r w:rsidRPr="00476BAA">
              <w:rPr>
                <w:rFonts w:cs="Arial"/>
                <w:color w:val="000000"/>
                <w:szCs w:val="18"/>
              </w:rPr>
              <w:t>520,900</w:t>
            </w:r>
          </w:p>
        </w:tc>
      </w:tr>
      <w:tr w:rsidR="00476BAA" w:rsidRPr="00C36C8F" w:rsidTr="00CB29E1">
        <w:tc>
          <w:tcPr>
            <w:tcW w:w="1693" w:type="dxa"/>
            <w:shd w:val="clear" w:color="auto" w:fill="auto"/>
            <w:vAlign w:val="center"/>
          </w:tcPr>
          <w:p w:rsidR="00476BAA" w:rsidRPr="00C36C8F" w:rsidRDefault="00476BAA" w:rsidP="00BA3E60">
            <w:pPr>
              <w:pStyle w:val="TableText"/>
            </w:pPr>
            <w:r w:rsidRPr="00C36C8F">
              <w:t>Glass</w:t>
            </w:r>
            <w:r w:rsidRPr="00C36C8F" w:rsidDel="004F55DE">
              <w:t xml:space="preserve"> </w:t>
            </w:r>
          </w:p>
        </w:tc>
        <w:tc>
          <w:tcPr>
            <w:tcW w:w="1843" w:type="dxa"/>
            <w:gridSpan w:val="2"/>
            <w:tcBorders>
              <w:bottom w:val="single" w:sz="4" w:space="0" w:color="808080"/>
              <w:right w:val="single" w:sz="8" w:space="0" w:color="808080" w:themeColor="background1" w:themeShade="80"/>
            </w:tcBorders>
          </w:tcPr>
          <w:p w:rsidR="00476BAA" w:rsidRPr="00C36C8F" w:rsidRDefault="00476BAA" w:rsidP="00BA3E60">
            <w:pPr>
              <w:pStyle w:val="TableText"/>
            </w:pPr>
          </w:p>
        </w:tc>
        <w:tc>
          <w:tcPr>
            <w:tcW w:w="12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F72BF7">
            <w:pPr>
              <w:pStyle w:val="TableText"/>
              <w:jc w:val="right"/>
              <w:rPr>
                <w:rFonts w:cs="Arial"/>
                <w:szCs w:val="18"/>
              </w:rPr>
            </w:pPr>
            <w:r w:rsidRPr="00476BAA">
              <w:rPr>
                <w:rFonts w:cs="Arial"/>
                <w:color w:val="000000"/>
                <w:szCs w:val="18"/>
              </w:rPr>
              <w:t>464,200</w:t>
            </w:r>
          </w:p>
        </w:tc>
        <w:tc>
          <w:tcPr>
            <w:tcW w:w="12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185,000</w:t>
            </w:r>
          </w:p>
        </w:tc>
        <w:tc>
          <w:tcPr>
            <w:tcW w:w="1230"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F72BF7">
            <w:pPr>
              <w:pStyle w:val="TableText"/>
              <w:jc w:val="right"/>
              <w:rPr>
                <w:rFonts w:cs="Arial"/>
                <w:szCs w:val="18"/>
              </w:rPr>
            </w:pPr>
            <w:r w:rsidRPr="00476BAA">
              <w:rPr>
                <w:rFonts w:cs="Arial"/>
                <w:color w:val="000000"/>
                <w:szCs w:val="18"/>
              </w:rPr>
              <w:t>195,000</w:t>
            </w:r>
          </w:p>
        </w:tc>
        <w:tc>
          <w:tcPr>
            <w:tcW w:w="12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61,600</w:t>
            </w:r>
          </w:p>
        </w:tc>
        <w:tc>
          <w:tcPr>
            <w:tcW w:w="1230"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26,700</w:t>
            </w:r>
          </w:p>
        </w:tc>
        <w:tc>
          <w:tcPr>
            <w:tcW w:w="1229" w:type="dxa"/>
            <w:tcBorders>
              <w:lef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7,100</w:t>
            </w:r>
          </w:p>
        </w:tc>
        <w:tc>
          <w:tcPr>
            <w:tcW w:w="1230" w:type="dxa"/>
            <w:tcBorders>
              <w:left w:val="single" w:sz="8" w:space="0" w:color="808080" w:themeColor="background1" w:themeShade="80"/>
            </w:tcBorders>
            <w:tcMar>
              <w:right w:w="142" w:type="dxa"/>
            </w:tcMar>
            <w:vAlign w:val="center"/>
          </w:tcPr>
          <w:p w:rsidR="00476BAA" w:rsidRPr="000B315F" w:rsidRDefault="00476BAA" w:rsidP="00BA3E60">
            <w:pPr>
              <w:pStyle w:val="TableText"/>
              <w:jc w:val="right"/>
              <w:rPr>
                <w:highlight w:val="yellow"/>
              </w:rPr>
            </w:pPr>
            <w:r w:rsidRPr="000B315F">
              <w:rPr>
                <w:color w:val="000000"/>
              </w:rPr>
              <w:t>16,000</w:t>
            </w:r>
          </w:p>
        </w:tc>
        <w:tc>
          <w:tcPr>
            <w:tcW w:w="1229" w:type="dxa"/>
            <w:tcBorders>
              <w:left w:val="single" w:sz="8" w:space="0" w:color="808080" w:themeColor="background1" w:themeShade="80"/>
            </w:tcBorders>
            <w:tcMar>
              <w:right w:w="142" w:type="dxa"/>
            </w:tcMar>
            <w:vAlign w:val="center"/>
          </w:tcPr>
          <w:p w:rsidR="00476BAA" w:rsidRPr="00476BAA" w:rsidRDefault="00476BAA" w:rsidP="00BA3E60">
            <w:pPr>
              <w:pStyle w:val="TableText"/>
              <w:jc w:val="right"/>
              <w:rPr>
                <w:rFonts w:cs="Arial"/>
                <w:szCs w:val="18"/>
              </w:rPr>
            </w:pPr>
            <w:r w:rsidRPr="000B315F">
              <w:rPr>
                <w:color w:val="000000"/>
              </w:rPr>
              <w:t>4,000</w:t>
            </w:r>
          </w:p>
        </w:tc>
        <w:tc>
          <w:tcPr>
            <w:tcW w:w="1230" w:type="dxa"/>
            <w:tcBorders>
              <w:left w:val="single" w:sz="8" w:space="0" w:color="808080" w:themeColor="background1" w:themeShade="80"/>
            </w:tcBorders>
            <w:tcMar>
              <w:right w:w="142" w:type="dxa"/>
            </w:tcMar>
            <w:vAlign w:val="center"/>
          </w:tcPr>
          <w:p w:rsidR="00476BAA" w:rsidRPr="00476BAA" w:rsidRDefault="00476BAA" w:rsidP="00F72BF7">
            <w:pPr>
              <w:pStyle w:val="TableText"/>
              <w:jc w:val="right"/>
              <w:rPr>
                <w:rFonts w:cs="Arial"/>
                <w:szCs w:val="18"/>
              </w:rPr>
            </w:pPr>
            <w:r w:rsidRPr="00476BAA">
              <w:rPr>
                <w:rFonts w:cs="Arial"/>
                <w:color w:val="000000"/>
                <w:szCs w:val="18"/>
              </w:rPr>
              <w:t>959,500</w:t>
            </w:r>
          </w:p>
        </w:tc>
      </w:tr>
      <w:tr w:rsidR="00476BAA" w:rsidRPr="00C36C8F" w:rsidTr="00CB29E1">
        <w:tc>
          <w:tcPr>
            <w:tcW w:w="1693" w:type="dxa"/>
            <w:shd w:val="clear" w:color="auto" w:fill="auto"/>
          </w:tcPr>
          <w:p w:rsidR="00476BAA" w:rsidRPr="00C36C8F" w:rsidRDefault="00476BAA" w:rsidP="00BA3E60">
            <w:pPr>
              <w:pStyle w:val="TableText"/>
            </w:pPr>
            <w:r w:rsidRPr="00C36C8F">
              <w:t>Other</w:t>
            </w:r>
          </w:p>
        </w:tc>
        <w:tc>
          <w:tcPr>
            <w:tcW w:w="1843" w:type="dxa"/>
            <w:gridSpan w:val="2"/>
            <w:tcBorders>
              <w:top w:val="single" w:sz="4" w:space="0" w:color="808080"/>
              <w:bottom w:val="single" w:sz="4" w:space="0" w:color="808080"/>
              <w:right w:val="single" w:sz="4" w:space="0" w:color="808080"/>
            </w:tcBorders>
          </w:tcPr>
          <w:p w:rsidR="00476BAA" w:rsidRPr="00C36C8F" w:rsidRDefault="00476BAA" w:rsidP="00BA3E60">
            <w:pPr>
              <w:pStyle w:val="TableText"/>
            </w:pPr>
            <w:r w:rsidRPr="00C36C8F">
              <w:t>Leather &amp; textiles</w:t>
            </w:r>
          </w:p>
        </w:tc>
        <w:tc>
          <w:tcPr>
            <w:tcW w:w="1229" w:type="dxa"/>
            <w:tcBorders>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476BAA">
              <w:rPr>
                <w:rFonts w:cs="Arial"/>
                <w:color w:val="000000"/>
                <w:szCs w:val="18"/>
              </w:rPr>
              <w:t>0</w:t>
            </w:r>
          </w:p>
        </w:tc>
        <w:tc>
          <w:tcPr>
            <w:tcW w:w="12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4,000</w:t>
            </w:r>
          </w:p>
        </w:tc>
        <w:tc>
          <w:tcPr>
            <w:tcW w:w="1230"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3,100</w:t>
            </w:r>
          </w:p>
        </w:tc>
        <w:tc>
          <w:tcPr>
            <w:tcW w:w="1230"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51,400</w:t>
            </w:r>
          </w:p>
        </w:tc>
        <w:tc>
          <w:tcPr>
            <w:tcW w:w="1229" w:type="dxa"/>
            <w:tcBorders>
              <w:left w:val="single" w:sz="8" w:space="0" w:color="808080" w:themeColor="background1" w:themeShade="80"/>
              <w:bottom w:val="single" w:sz="4" w:space="0" w:color="8080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left w:val="single" w:sz="8" w:space="0" w:color="808080" w:themeColor="background1" w:themeShade="80"/>
              <w:bottom w:val="single" w:sz="4" w:space="0" w:color="808080"/>
            </w:tcBorders>
            <w:tcMar>
              <w:right w:w="142" w:type="dxa"/>
            </w:tcMar>
            <w:vAlign w:val="center"/>
          </w:tcPr>
          <w:p w:rsidR="00476BAA" w:rsidRPr="000B315F" w:rsidRDefault="00476BAA" w:rsidP="00BA3E60">
            <w:pPr>
              <w:pStyle w:val="TableText"/>
              <w:jc w:val="right"/>
              <w:rPr>
                <w:highlight w:val="yellow"/>
              </w:rPr>
            </w:pPr>
            <w:r w:rsidRPr="000B315F">
              <w:rPr>
                <w:color w:val="000000"/>
              </w:rPr>
              <w:t>6,700</w:t>
            </w:r>
          </w:p>
        </w:tc>
        <w:tc>
          <w:tcPr>
            <w:tcW w:w="1229" w:type="dxa"/>
            <w:tcBorders>
              <w:left w:val="single" w:sz="8" w:space="0" w:color="808080" w:themeColor="background1" w:themeShade="80"/>
              <w:bottom w:val="single" w:sz="4" w:space="0" w:color="808080"/>
            </w:tcBorders>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left w:val="single" w:sz="8" w:space="0" w:color="808080" w:themeColor="background1" w:themeShade="80"/>
              <w:bottom w:val="single" w:sz="4" w:space="0" w:color="808080"/>
            </w:tcBorders>
            <w:tcMar>
              <w:right w:w="142" w:type="dxa"/>
            </w:tcMar>
            <w:vAlign w:val="center"/>
          </w:tcPr>
          <w:p w:rsidR="00476BAA" w:rsidRPr="00476BAA" w:rsidRDefault="00476BAA" w:rsidP="00BA3E60">
            <w:pPr>
              <w:pStyle w:val="TableText"/>
              <w:jc w:val="right"/>
              <w:rPr>
                <w:rFonts w:cs="Arial"/>
                <w:szCs w:val="18"/>
              </w:rPr>
            </w:pPr>
            <w:r w:rsidRPr="00476BAA">
              <w:rPr>
                <w:rFonts w:cs="Arial"/>
                <w:color w:val="000000"/>
                <w:szCs w:val="18"/>
              </w:rPr>
              <w:t>65,100</w:t>
            </w:r>
          </w:p>
        </w:tc>
      </w:tr>
      <w:tr w:rsidR="00476BAA" w:rsidRPr="00C36C8F" w:rsidTr="00CB29E1">
        <w:tc>
          <w:tcPr>
            <w:tcW w:w="1693" w:type="dxa"/>
          </w:tcPr>
          <w:p w:rsidR="00476BAA" w:rsidRPr="00C36C8F" w:rsidRDefault="00476BAA" w:rsidP="00BA3E60">
            <w:pPr>
              <w:pStyle w:val="TableText"/>
            </w:pPr>
          </w:p>
        </w:tc>
        <w:tc>
          <w:tcPr>
            <w:tcW w:w="1843" w:type="dxa"/>
            <w:gridSpan w:val="2"/>
            <w:tcBorders>
              <w:top w:val="single" w:sz="4" w:space="0" w:color="808080"/>
              <w:bottom w:val="single" w:sz="4" w:space="0" w:color="808080"/>
              <w:right w:val="single" w:sz="4" w:space="0" w:color="808080"/>
            </w:tcBorders>
          </w:tcPr>
          <w:p w:rsidR="00476BAA" w:rsidRPr="00C36C8F" w:rsidRDefault="00476BAA" w:rsidP="00BA3E60">
            <w:pPr>
              <w:pStyle w:val="TableText"/>
            </w:pPr>
            <w:r w:rsidRPr="00C36C8F">
              <w:t>Tyres &amp; other rubber</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35,000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10,100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2,000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0B315F" w:rsidRDefault="00476BAA" w:rsidP="00BA3E60">
            <w:pPr>
              <w:pStyle w:val="TableText"/>
              <w:jc w:val="right"/>
              <w:rPr>
                <w:highlight w:val="yellow"/>
              </w:rPr>
            </w:pPr>
            <w:r w:rsidRPr="000B315F">
              <w:rPr>
                <w:color w:val="000000"/>
              </w:rPr>
              <w:t>4,000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51,200</w:t>
            </w:r>
          </w:p>
        </w:tc>
      </w:tr>
      <w:tr w:rsidR="00476BAA" w:rsidRPr="00C36C8F" w:rsidTr="00CB29E1">
        <w:tc>
          <w:tcPr>
            <w:tcW w:w="1693" w:type="dxa"/>
            <w:vMerge w:val="restart"/>
          </w:tcPr>
          <w:p w:rsidR="00476BAA" w:rsidRPr="00C36C8F" w:rsidRDefault="00476BAA" w:rsidP="00BA3E60">
            <w:pPr>
              <w:pStyle w:val="TableText"/>
            </w:pPr>
            <w:r w:rsidRPr="00C36C8F">
              <w:t>Hazardous</w:t>
            </w:r>
          </w:p>
        </w:tc>
        <w:tc>
          <w:tcPr>
            <w:tcW w:w="1843" w:type="dxa"/>
            <w:gridSpan w:val="2"/>
            <w:tcBorders>
              <w:top w:val="single" w:sz="4" w:space="0" w:color="808080"/>
              <w:bottom w:val="single" w:sz="4" w:space="0" w:color="808080"/>
              <w:right w:val="single" w:sz="4" w:space="0" w:color="808080"/>
            </w:tcBorders>
          </w:tcPr>
          <w:p w:rsidR="00476BAA" w:rsidRPr="00C36C8F" w:rsidRDefault="00476BAA" w:rsidP="00BA3E60">
            <w:pPr>
              <w:pStyle w:val="TableText"/>
            </w:pPr>
            <w:r w:rsidRPr="00C36C8F">
              <w:t>Quarantine</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0B315F" w:rsidRDefault="00476BAA" w:rsidP="00BA3E60">
            <w:pPr>
              <w:pStyle w:val="TableText"/>
              <w:jc w:val="right"/>
              <w:rPr>
                <w:highlight w:val="yellow"/>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r>
      <w:tr w:rsidR="00476BAA" w:rsidRPr="00C36C8F" w:rsidTr="00CB29E1">
        <w:tc>
          <w:tcPr>
            <w:tcW w:w="1693" w:type="dxa"/>
            <w:vMerge/>
            <w:shd w:val="clear" w:color="auto" w:fill="auto"/>
          </w:tcPr>
          <w:p w:rsidR="00476BAA" w:rsidRPr="00C36C8F" w:rsidRDefault="00476BAA" w:rsidP="00BA3E60">
            <w:pPr>
              <w:pStyle w:val="TableText"/>
            </w:pPr>
          </w:p>
        </w:tc>
        <w:tc>
          <w:tcPr>
            <w:tcW w:w="1843" w:type="dxa"/>
            <w:gridSpan w:val="2"/>
            <w:tcBorders>
              <w:top w:val="single" w:sz="4" w:space="0" w:color="808080"/>
              <w:bottom w:val="single" w:sz="4" w:space="0" w:color="808080"/>
              <w:right w:val="single" w:sz="4" w:space="0" w:color="808080"/>
            </w:tcBorders>
          </w:tcPr>
          <w:p w:rsidR="00476BAA" w:rsidRPr="00C36C8F" w:rsidRDefault="00476BAA" w:rsidP="00BA3E60">
            <w:pPr>
              <w:pStyle w:val="TableText"/>
            </w:pPr>
            <w:r w:rsidRPr="00C36C8F">
              <w:t>Contaminated soil</w:t>
            </w:r>
          </w:p>
        </w:tc>
        <w:tc>
          <w:tcPr>
            <w:tcW w:w="1229" w:type="dxa"/>
            <w:tcBorders>
              <w:top w:val="single" w:sz="4" w:space="0" w:color="808080"/>
              <w:left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176,400</w:t>
            </w:r>
          </w:p>
        </w:tc>
        <w:tc>
          <w:tcPr>
            <w:tcW w:w="1229"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476BAA">
              <w:rPr>
                <w:rFonts w:cs="Arial"/>
                <w:color w:val="000000"/>
                <w:szCs w:val="18"/>
              </w:rPr>
              <w:t>0</w:t>
            </w:r>
          </w:p>
        </w:tc>
        <w:tc>
          <w:tcPr>
            <w:tcW w:w="1230" w:type="dxa"/>
            <w:tcBorders>
              <w:top w:val="single" w:sz="4" w:space="0" w:color="808080"/>
              <w:left w:val="single" w:sz="8" w:space="0" w:color="808080" w:themeColor="background1" w:themeShade="80"/>
            </w:tcBorders>
            <w:tcMar>
              <w:right w:w="142" w:type="dxa"/>
            </w:tcMar>
            <w:vAlign w:val="center"/>
          </w:tcPr>
          <w:p w:rsidR="00476BAA" w:rsidRPr="000B315F" w:rsidRDefault="00476BAA" w:rsidP="00BA3E60">
            <w:pPr>
              <w:pStyle w:val="TableText"/>
              <w:jc w:val="right"/>
              <w:rPr>
                <w:highlight w:val="yellow"/>
              </w:rPr>
            </w:pPr>
            <w:r w:rsidRPr="000B315F">
              <w:rPr>
                <w:color w:val="000000"/>
              </w:rPr>
              <w:t>0</w:t>
            </w:r>
          </w:p>
        </w:tc>
        <w:tc>
          <w:tcPr>
            <w:tcW w:w="1229" w:type="dxa"/>
            <w:tcBorders>
              <w:top w:val="single" w:sz="4" w:space="0" w:color="808080"/>
              <w:left w:val="single" w:sz="8" w:space="0" w:color="808080" w:themeColor="background1" w:themeShade="80"/>
            </w:tcBorders>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8" w:space="0" w:color="808080" w:themeColor="background1" w:themeShade="80"/>
            </w:tcBorders>
            <w:tcMar>
              <w:right w:w="142" w:type="dxa"/>
            </w:tcMar>
            <w:vAlign w:val="center"/>
          </w:tcPr>
          <w:p w:rsidR="00476BAA" w:rsidRPr="00476BAA" w:rsidRDefault="00476BAA" w:rsidP="00BA3E60">
            <w:pPr>
              <w:pStyle w:val="TableText"/>
              <w:jc w:val="right"/>
              <w:rPr>
                <w:rFonts w:cs="Arial"/>
                <w:szCs w:val="18"/>
              </w:rPr>
            </w:pPr>
            <w:r w:rsidRPr="00476BAA">
              <w:rPr>
                <w:rFonts w:cs="Arial"/>
                <w:color w:val="000000"/>
                <w:szCs w:val="18"/>
              </w:rPr>
              <w:t>176</w:t>
            </w:r>
            <w:r w:rsidRPr="000B315F">
              <w:rPr>
                <w:color w:val="000000"/>
              </w:rPr>
              <w:t>,400</w:t>
            </w:r>
          </w:p>
        </w:tc>
      </w:tr>
      <w:tr w:rsidR="00476BAA" w:rsidRPr="00C36C8F" w:rsidTr="00CB29E1">
        <w:tc>
          <w:tcPr>
            <w:tcW w:w="1693" w:type="dxa"/>
            <w:vMerge/>
            <w:shd w:val="clear" w:color="auto" w:fill="auto"/>
          </w:tcPr>
          <w:p w:rsidR="00476BAA" w:rsidRPr="00C36C8F" w:rsidRDefault="00476BAA" w:rsidP="00BA3E60">
            <w:pPr>
              <w:pStyle w:val="TableText"/>
            </w:pPr>
          </w:p>
        </w:tc>
        <w:tc>
          <w:tcPr>
            <w:tcW w:w="1843" w:type="dxa"/>
            <w:gridSpan w:val="2"/>
            <w:tcBorders>
              <w:top w:val="single" w:sz="4" w:space="0" w:color="808080"/>
              <w:bottom w:val="single" w:sz="4" w:space="0" w:color="808080"/>
              <w:right w:val="single" w:sz="4" w:space="0" w:color="808080"/>
            </w:tcBorders>
          </w:tcPr>
          <w:p w:rsidR="00476BAA" w:rsidRPr="00C36C8F" w:rsidRDefault="00476BAA" w:rsidP="00BA3E60">
            <w:pPr>
              <w:pStyle w:val="TableText"/>
            </w:pPr>
            <w:r w:rsidRPr="00C36C8F">
              <w:t>Industrial waste</w:t>
            </w:r>
          </w:p>
        </w:tc>
        <w:tc>
          <w:tcPr>
            <w:tcW w:w="1229" w:type="dxa"/>
            <w:tcBorders>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221,500</w:t>
            </w:r>
          </w:p>
        </w:tc>
        <w:tc>
          <w:tcPr>
            <w:tcW w:w="12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29" w:type="dxa"/>
            <w:tcBorders>
              <w:left w:val="single" w:sz="8" w:space="0" w:color="808080" w:themeColor="background1" w:themeShade="80"/>
              <w:bottom w:val="single" w:sz="4" w:space="0" w:color="808080"/>
            </w:tcBorders>
            <w:shd w:val="clear" w:color="auto" w:fill="auto"/>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left w:val="single" w:sz="8" w:space="0" w:color="808080" w:themeColor="background1" w:themeShade="80"/>
              <w:bottom w:val="single" w:sz="4" w:space="0" w:color="808080"/>
            </w:tcBorders>
            <w:tcMar>
              <w:right w:w="142" w:type="dxa"/>
            </w:tcMar>
            <w:vAlign w:val="center"/>
          </w:tcPr>
          <w:p w:rsidR="00476BAA" w:rsidRPr="000B315F" w:rsidRDefault="00476BAA" w:rsidP="00BA3E60">
            <w:pPr>
              <w:pStyle w:val="TableText"/>
              <w:jc w:val="right"/>
              <w:rPr>
                <w:highlight w:val="yellow"/>
              </w:rPr>
            </w:pPr>
            <w:r w:rsidRPr="00476BAA">
              <w:rPr>
                <w:rFonts w:cs="Arial"/>
                <w:color w:val="000000"/>
                <w:szCs w:val="18"/>
              </w:rPr>
              <w:t>3,800</w:t>
            </w:r>
          </w:p>
        </w:tc>
        <w:tc>
          <w:tcPr>
            <w:tcW w:w="1229" w:type="dxa"/>
            <w:tcBorders>
              <w:left w:val="single" w:sz="8" w:space="0" w:color="808080" w:themeColor="background1" w:themeShade="80"/>
              <w:bottom w:val="single" w:sz="4" w:space="0" w:color="808080"/>
            </w:tcBorders>
            <w:tcMar>
              <w:right w:w="142" w:type="dxa"/>
            </w:tcMar>
            <w:vAlign w:val="center"/>
          </w:tcPr>
          <w:p w:rsidR="00476BAA" w:rsidRPr="00476BAA" w:rsidRDefault="00476BAA" w:rsidP="00BA3E60">
            <w:pPr>
              <w:pStyle w:val="TableText"/>
              <w:jc w:val="right"/>
              <w:rPr>
                <w:rFonts w:cs="Arial"/>
                <w:szCs w:val="18"/>
              </w:rPr>
            </w:pPr>
            <w:r w:rsidRPr="000B315F">
              <w:rPr>
                <w:color w:val="000000"/>
              </w:rPr>
              <w:t>0</w:t>
            </w:r>
          </w:p>
        </w:tc>
        <w:tc>
          <w:tcPr>
            <w:tcW w:w="1230" w:type="dxa"/>
            <w:tcBorders>
              <w:left w:val="single" w:sz="8" w:space="0" w:color="808080" w:themeColor="background1" w:themeShade="80"/>
              <w:bottom w:val="single" w:sz="4" w:space="0" w:color="808080"/>
            </w:tcBorders>
            <w:tcMar>
              <w:right w:w="142" w:type="dxa"/>
            </w:tcMar>
            <w:vAlign w:val="center"/>
          </w:tcPr>
          <w:p w:rsidR="00476BAA" w:rsidRPr="00476BAA" w:rsidRDefault="00476BAA" w:rsidP="009F7BF1">
            <w:pPr>
              <w:pStyle w:val="TableText"/>
              <w:jc w:val="right"/>
              <w:rPr>
                <w:rFonts w:cs="Arial"/>
                <w:szCs w:val="18"/>
              </w:rPr>
            </w:pPr>
            <w:r w:rsidRPr="00476BAA">
              <w:rPr>
                <w:rFonts w:cs="Arial"/>
                <w:color w:val="000000"/>
                <w:szCs w:val="18"/>
              </w:rPr>
              <w:t>225,300</w:t>
            </w:r>
          </w:p>
        </w:tc>
      </w:tr>
      <w:tr w:rsidR="00476BAA" w:rsidRPr="00C36C8F" w:rsidTr="00CB29E1">
        <w:tc>
          <w:tcPr>
            <w:tcW w:w="1693" w:type="dxa"/>
            <w:vMerge/>
          </w:tcPr>
          <w:p w:rsidR="00476BAA" w:rsidRPr="00C36C8F" w:rsidRDefault="00476BAA" w:rsidP="00BA3E60">
            <w:pPr>
              <w:pStyle w:val="TableText"/>
            </w:pPr>
          </w:p>
        </w:tc>
        <w:tc>
          <w:tcPr>
            <w:tcW w:w="1843" w:type="dxa"/>
            <w:gridSpan w:val="2"/>
            <w:tcBorders>
              <w:top w:val="single" w:sz="4" w:space="0" w:color="808080"/>
              <w:bottom w:val="single" w:sz="4" w:space="0" w:color="808080"/>
              <w:right w:val="single" w:sz="4" w:space="0" w:color="808080"/>
            </w:tcBorders>
          </w:tcPr>
          <w:p w:rsidR="00476BAA" w:rsidRPr="00C36C8F" w:rsidRDefault="00476BAA" w:rsidP="00BA3E60">
            <w:pPr>
              <w:pStyle w:val="TableText"/>
            </w:pPr>
            <w:r w:rsidRPr="00C36C8F">
              <w:t>Asbestos</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0B315F" w:rsidRDefault="00476BAA" w:rsidP="00BA3E60">
            <w:pPr>
              <w:pStyle w:val="TableText"/>
              <w:jc w:val="right"/>
              <w:rPr>
                <w:highlight w:val="yellow"/>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r>
      <w:tr w:rsidR="00476BAA" w:rsidRPr="00C36C8F" w:rsidTr="00817CD8">
        <w:tc>
          <w:tcPr>
            <w:tcW w:w="1699" w:type="dxa"/>
            <w:gridSpan w:val="2"/>
            <w:tcBorders>
              <w:top w:val="single" w:sz="4" w:space="0" w:color="808080"/>
              <w:bottom w:val="single" w:sz="18" w:space="0" w:color="808080" w:themeColor="background1" w:themeShade="80"/>
            </w:tcBorders>
            <w:shd w:val="clear" w:color="auto" w:fill="auto"/>
          </w:tcPr>
          <w:p w:rsidR="00476BAA" w:rsidRPr="00C36C8F" w:rsidRDefault="00476BAA" w:rsidP="00BA3E60">
            <w:pPr>
              <w:pStyle w:val="TableText"/>
            </w:pPr>
            <w:r w:rsidRPr="00C36C8F">
              <w:rPr>
                <w:b/>
              </w:rPr>
              <w:t>SUBTOTAL</w:t>
            </w:r>
          </w:p>
        </w:tc>
        <w:tc>
          <w:tcPr>
            <w:tcW w:w="1837" w:type="dxa"/>
            <w:tcBorders>
              <w:top w:val="single" w:sz="4" w:space="0" w:color="808080"/>
              <w:bottom w:val="single" w:sz="18" w:space="0" w:color="808080" w:themeColor="background1" w:themeShade="80"/>
              <w:right w:val="single" w:sz="8" w:space="0" w:color="808080" w:themeColor="background1" w:themeShade="80"/>
            </w:tcBorders>
            <w:shd w:val="clear" w:color="auto" w:fill="auto"/>
          </w:tcPr>
          <w:p w:rsidR="00476BAA" w:rsidRPr="00C36C8F" w:rsidRDefault="00476BAA" w:rsidP="00BA3E60">
            <w:pPr>
              <w:pStyle w:val="TableText"/>
            </w:pPr>
          </w:p>
        </w:tc>
        <w:tc>
          <w:tcPr>
            <w:tcW w:w="12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9F7BF1">
            <w:pPr>
              <w:pStyle w:val="TableText"/>
              <w:jc w:val="right"/>
              <w:rPr>
                <w:rFonts w:cs="Arial"/>
                <w:b/>
                <w:szCs w:val="18"/>
              </w:rPr>
            </w:pPr>
            <w:r w:rsidRPr="000B315F">
              <w:rPr>
                <w:color w:val="000000"/>
              </w:rPr>
              <w:t>9,</w:t>
            </w:r>
            <w:r w:rsidRPr="00476BAA">
              <w:rPr>
                <w:rFonts w:cs="Arial"/>
                <w:color w:val="000000"/>
                <w:szCs w:val="18"/>
              </w:rPr>
              <w:t>556,000</w:t>
            </w:r>
          </w:p>
        </w:tc>
        <w:tc>
          <w:tcPr>
            <w:tcW w:w="12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b/>
                <w:szCs w:val="18"/>
              </w:rPr>
            </w:pPr>
            <w:r w:rsidRPr="000B315F">
              <w:rPr>
                <w:color w:val="000000"/>
              </w:rPr>
              <w:t>5,491,000</w:t>
            </w:r>
          </w:p>
        </w:tc>
        <w:tc>
          <w:tcPr>
            <w:tcW w:w="1230"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9F7BF1">
            <w:pPr>
              <w:pStyle w:val="TableText"/>
              <w:jc w:val="right"/>
              <w:rPr>
                <w:rFonts w:cs="Arial"/>
                <w:b/>
                <w:szCs w:val="18"/>
              </w:rPr>
            </w:pPr>
            <w:r w:rsidRPr="000B315F">
              <w:rPr>
                <w:color w:val="000000"/>
              </w:rPr>
              <w:t>4,</w:t>
            </w:r>
            <w:r w:rsidRPr="00476BAA">
              <w:rPr>
                <w:rFonts w:cs="Arial"/>
                <w:color w:val="000000"/>
                <w:szCs w:val="18"/>
              </w:rPr>
              <w:t>101,800</w:t>
            </w:r>
          </w:p>
        </w:tc>
        <w:tc>
          <w:tcPr>
            <w:tcW w:w="12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b/>
                <w:szCs w:val="18"/>
              </w:rPr>
            </w:pPr>
            <w:r w:rsidRPr="000B315F">
              <w:rPr>
                <w:color w:val="000000"/>
              </w:rPr>
              <w:t>2,180,000</w:t>
            </w:r>
          </w:p>
        </w:tc>
        <w:tc>
          <w:tcPr>
            <w:tcW w:w="1230"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b/>
                <w:szCs w:val="18"/>
              </w:rPr>
            </w:pPr>
            <w:r w:rsidRPr="000B315F">
              <w:rPr>
                <w:color w:val="000000"/>
              </w:rPr>
              <w:t>1,864,500</w:t>
            </w:r>
          </w:p>
        </w:tc>
        <w:tc>
          <w:tcPr>
            <w:tcW w:w="1229" w:type="dxa"/>
            <w:tcBorders>
              <w:top w:val="single" w:sz="4" w:space="0" w:color="808080"/>
              <w:left w:val="single" w:sz="8" w:space="0" w:color="808080" w:themeColor="background1" w:themeShade="80"/>
              <w:bottom w:val="single" w:sz="1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b/>
                <w:szCs w:val="18"/>
              </w:rPr>
            </w:pPr>
            <w:r w:rsidRPr="00476BAA">
              <w:rPr>
                <w:rFonts w:cs="Arial"/>
                <w:color w:val="000000"/>
                <w:szCs w:val="18"/>
              </w:rPr>
              <w:t>76</w:t>
            </w:r>
            <w:r w:rsidRPr="000B315F">
              <w:rPr>
                <w:color w:val="000000"/>
              </w:rPr>
              <w:t>,900</w:t>
            </w:r>
          </w:p>
        </w:tc>
        <w:tc>
          <w:tcPr>
            <w:tcW w:w="1230"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0B315F" w:rsidRDefault="00476BAA" w:rsidP="009F7BF1">
            <w:pPr>
              <w:pStyle w:val="TableText"/>
              <w:jc w:val="right"/>
              <w:rPr>
                <w:b/>
                <w:highlight w:val="yellow"/>
              </w:rPr>
            </w:pPr>
            <w:r w:rsidRPr="00476BAA">
              <w:rPr>
                <w:rFonts w:cs="Arial"/>
                <w:color w:val="000000"/>
                <w:szCs w:val="18"/>
              </w:rPr>
              <w:t>578</w:t>
            </w:r>
            <w:r w:rsidRPr="000B315F">
              <w:rPr>
                <w:color w:val="000000"/>
              </w:rPr>
              <w:t>,300</w:t>
            </w:r>
          </w:p>
        </w:tc>
        <w:tc>
          <w:tcPr>
            <w:tcW w:w="1229"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476BAA" w:rsidRDefault="00476BAA" w:rsidP="00BA3E60">
            <w:pPr>
              <w:pStyle w:val="TableText"/>
              <w:jc w:val="right"/>
              <w:rPr>
                <w:rFonts w:cs="Arial"/>
                <w:b/>
                <w:szCs w:val="18"/>
              </w:rPr>
            </w:pPr>
            <w:r w:rsidRPr="000B315F">
              <w:rPr>
                <w:color w:val="000000"/>
              </w:rPr>
              <w:t>16,700</w:t>
            </w:r>
          </w:p>
        </w:tc>
        <w:tc>
          <w:tcPr>
            <w:tcW w:w="1230"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476BAA" w:rsidRDefault="00476BAA" w:rsidP="009F7BF1">
            <w:pPr>
              <w:pStyle w:val="TableText"/>
              <w:jc w:val="right"/>
              <w:rPr>
                <w:rFonts w:cs="Arial"/>
                <w:b/>
                <w:szCs w:val="18"/>
              </w:rPr>
            </w:pPr>
            <w:r w:rsidRPr="000B315F">
              <w:rPr>
                <w:color w:val="000000"/>
              </w:rPr>
              <w:t>23,</w:t>
            </w:r>
            <w:r w:rsidRPr="00476BAA">
              <w:rPr>
                <w:rFonts w:cs="Arial"/>
                <w:color w:val="000000"/>
                <w:szCs w:val="18"/>
              </w:rPr>
              <w:t>865,200</w:t>
            </w:r>
          </w:p>
        </w:tc>
      </w:tr>
      <w:tr w:rsidR="00476BAA" w:rsidRPr="00C36C8F" w:rsidTr="00CB29E1">
        <w:tc>
          <w:tcPr>
            <w:tcW w:w="1693" w:type="dxa"/>
          </w:tcPr>
          <w:p w:rsidR="00476BAA" w:rsidRPr="00C36C8F" w:rsidRDefault="00476BAA" w:rsidP="00BA3E60">
            <w:pPr>
              <w:pStyle w:val="TableText"/>
            </w:pPr>
            <w:r w:rsidRPr="00C36C8F">
              <w:t>Fly ash</w:t>
            </w:r>
          </w:p>
        </w:tc>
        <w:tc>
          <w:tcPr>
            <w:tcW w:w="1843" w:type="dxa"/>
            <w:gridSpan w:val="2"/>
            <w:tcBorders>
              <w:top w:val="single" w:sz="4" w:space="0" w:color="808080"/>
              <w:bottom w:val="single" w:sz="4" w:space="0" w:color="808080"/>
              <w:right w:val="single" w:sz="4" w:space="0" w:color="808080"/>
            </w:tcBorders>
            <w:tcMar>
              <w:right w:w="142" w:type="dxa"/>
            </w:tcMar>
          </w:tcPr>
          <w:p w:rsidR="00476BAA" w:rsidRPr="00C36C8F" w:rsidRDefault="00476BAA" w:rsidP="00BA3E60">
            <w:pPr>
              <w:pStyle w:val="TableText"/>
            </w:pP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705,800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399,200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929,600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223,000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139,200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right w:val="single" w:sz="4" w:space="0" w:color="808080"/>
            </w:tcBorders>
            <w:tcMar>
              <w:right w:w="142" w:type="dxa"/>
            </w:tcMar>
          </w:tcPr>
          <w:p w:rsidR="00476BAA" w:rsidRPr="000B315F" w:rsidRDefault="00476BAA" w:rsidP="00BA3E60">
            <w:pPr>
              <w:pStyle w:val="TableText"/>
              <w:jc w:val="right"/>
              <w:rPr>
                <w:highlight w:val="yellow"/>
              </w:rPr>
            </w:pPr>
            <w:r w:rsidRPr="000B315F">
              <w:rPr>
                <w:color w:val="000000"/>
              </w:rPr>
              <w:t>0</w:t>
            </w:r>
          </w:p>
        </w:tc>
        <w:tc>
          <w:tcPr>
            <w:tcW w:w="1229" w:type="dxa"/>
            <w:tcBorders>
              <w:top w:val="single" w:sz="4" w:space="0" w:color="808080"/>
              <w:left w:val="single" w:sz="4" w:space="0" w:color="808080"/>
              <w:bottom w:val="single" w:sz="4" w:space="0" w:color="808080"/>
              <w:right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0</w:t>
            </w:r>
          </w:p>
        </w:tc>
        <w:tc>
          <w:tcPr>
            <w:tcW w:w="1230" w:type="dxa"/>
            <w:tcBorders>
              <w:top w:val="single" w:sz="4" w:space="0" w:color="808080"/>
              <w:left w:val="single" w:sz="4" w:space="0" w:color="808080"/>
              <w:bottom w:val="single" w:sz="4" w:space="0" w:color="808080"/>
            </w:tcBorders>
            <w:tcMar>
              <w:right w:w="142" w:type="dxa"/>
            </w:tcMar>
          </w:tcPr>
          <w:p w:rsidR="00476BAA" w:rsidRPr="00476BAA" w:rsidRDefault="00476BAA" w:rsidP="00BA3E60">
            <w:pPr>
              <w:pStyle w:val="TableText"/>
              <w:jc w:val="right"/>
              <w:rPr>
                <w:rFonts w:cs="Arial"/>
                <w:szCs w:val="18"/>
              </w:rPr>
            </w:pPr>
            <w:r w:rsidRPr="000B315F">
              <w:rPr>
                <w:color w:val="000000"/>
              </w:rPr>
              <w:t>2,396,700</w:t>
            </w:r>
          </w:p>
        </w:tc>
      </w:tr>
      <w:tr w:rsidR="00476BAA" w:rsidRPr="00C36C8F" w:rsidTr="00CB29E1">
        <w:tc>
          <w:tcPr>
            <w:tcW w:w="1699" w:type="dxa"/>
            <w:gridSpan w:val="2"/>
            <w:tcBorders>
              <w:top w:val="single" w:sz="4" w:space="0" w:color="808080"/>
              <w:bottom w:val="single" w:sz="18" w:space="0" w:color="808080" w:themeColor="background1" w:themeShade="80"/>
            </w:tcBorders>
            <w:shd w:val="clear" w:color="auto" w:fill="auto"/>
          </w:tcPr>
          <w:p w:rsidR="00476BAA" w:rsidRPr="00C36C8F" w:rsidRDefault="00476BAA" w:rsidP="00BA3E60">
            <w:pPr>
              <w:pStyle w:val="TableText"/>
            </w:pPr>
            <w:r w:rsidRPr="00C36C8F">
              <w:rPr>
                <w:b/>
              </w:rPr>
              <w:t>TOTAL</w:t>
            </w:r>
          </w:p>
        </w:tc>
        <w:tc>
          <w:tcPr>
            <w:tcW w:w="1837" w:type="dxa"/>
            <w:tcBorders>
              <w:top w:val="single" w:sz="4" w:space="0" w:color="808080"/>
              <w:bottom w:val="single" w:sz="18" w:space="0" w:color="808080" w:themeColor="background1" w:themeShade="80"/>
              <w:right w:val="single" w:sz="8" w:space="0" w:color="808080" w:themeColor="background1" w:themeShade="80"/>
            </w:tcBorders>
            <w:shd w:val="clear" w:color="auto" w:fill="auto"/>
          </w:tcPr>
          <w:p w:rsidR="00476BAA" w:rsidRPr="00C36C8F" w:rsidRDefault="00476BAA" w:rsidP="00BA3E60">
            <w:pPr>
              <w:pStyle w:val="TableText"/>
            </w:pPr>
          </w:p>
        </w:tc>
        <w:tc>
          <w:tcPr>
            <w:tcW w:w="12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9F7BF1">
            <w:pPr>
              <w:pStyle w:val="TableText"/>
              <w:jc w:val="right"/>
              <w:rPr>
                <w:rFonts w:cs="Arial"/>
                <w:b/>
                <w:szCs w:val="18"/>
              </w:rPr>
            </w:pPr>
            <w:r w:rsidRPr="000B315F">
              <w:rPr>
                <w:color w:val="000000"/>
              </w:rPr>
              <w:t>10,</w:t>
            </w:r>
            <w:r w:rsidRPr="00476BAA">
              <w:rPr>
                <w:rFonts w:cs="Arial"/>
                <w:color w:val="000000"/>
                <w:szCs w:val="18"/>
              </w:rPr>
              <w:t>261,800</w:t>
            </w:r>
          </w:p>
        </w:tc>
        <w:tc>
          <w:tcPr>
            <w:tcW w:w="12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b/>
                <w:szCs w:val="18"/>
              </w:rPr>
            </w:pPr>
            <w:r w:rsidRPr="000B315F">
              <w:rPr>
                <w:color w:val="000000"/>
              </w:rPr>
              <w:t>5,890,100</w:t>
            </w:r>
          </w:p>
        </w:tc>
        <w:tc>
          <w:tcPr>
            <w:tcW w:w="1230"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9F7BF1">
            <w:pPr>
              <w:pStyle w:val="TableText"/>
              <w:jc w:val="right"/>
              <w:rPr>
                <w:rFonts w:cs="Arial"/>
                <w:b/>
                <w:szCs w:val="18"/>
              </w:rPr>
            </w:pPr>
            <w:r w:rsidRPr="00476BAA">
              <w:rPr>
                <w:rFonts w:cs="Arial"/>
                <w:color w:val="000000"/>
                <w:szCs w:val="18"/>
              </w:rPr>
              <w:t>5,031,400</w:t>
            </w:r>
          </w:p>
        </w:tc>
        <w:tc>
          <w:tcPr>
            <w:tcW w:w="12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b/>
                <w:szCs w:val="18"/>
              </w:rPr>
            </w:pPr>
            <w:r w:rsidRPr="000B315F">
              <w:rPr>
                <w:color w:val="000000"/>
              </w:rPr>
              <w:t>2,403,000</w:t>
            </w:r>
          </w:p>
        </w:tc>
        <w:tc>
          <w:tcPr>
            <w:tcW w:w="1230"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b/>
                <w:szCs w:val="18"/>
              </w:rPr>
            </w:pPr>
            <w:r w:rsidRPr="000B315F">
              <w:rPr>
                <w:color w:val="000000"/>
              </w:rPr>
              <w:t>2,003,600</w:t>
            </w:r>
          </w:p>
        </w:tc>
        <w:tc>
          <w:tcPr>
            <w:tcW w:w="1229" w:type="dxa"/>
            <w:tcBorders>
              <w:top w:val="single" w:sz="4" w:space="0" w:color="808080"/>
              <w:left w:val="single" w:sz="8" w:space="0" w:color="808080" w:themeColor="background1" w:themeShade="80"/>
              <w:bottom w:val="single" w:sz="18" w:space="0" w:color="808080" w:themeColor="background1" w:themeShade="80"/>
            </w:tcBorders>
            <w:shd w:val="clear" w:color="auto" w:fill="auto"/>
            <w:tcMar>
              <w:right w:w="142" w:type="dxa"/>
            </w:tcMar>
            <w:vAlign w:val="center"/>
          </w:tcPr>
          <w:p w:rsidR="00476BAA" w:rsidRPr="00476BAA" w:rsidRDefault="00476BAA" w:rsidP="00BA3E60">
            <w:pPr>
              <w:pStyle w:val="TableText"/>
              <w:jc w:val="right"/>
              <w:rPr>
                <w:rFonts w:cs="Arial"/>
                <w:b/>
                <w:szCs w:val="18"/>
              </w:rPr>
            </w:pPr>
            <w:r w:rsidRPr="00476BAA">
              <w:rPr>
                <w:rFonts w:cs="Arial"/>
                <w:color w:val="000000"/>
                <w:szCs w:val="18"/>
              </w:rPr>
              <w:t>76</w:t>
            </w:r>
            <w:r w:rsidRPr="000B315F">
              <w:rPr>
                <w:color w:val="000000"/>
              </w:rPr>
              <w:t>,900</w:t>
            </w:r>
          </w:p>
        </w:tc>
        <w:tc>
          <w:tcPr>
            <w:tcW w:w="1230"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0B315F" w:rsidRDefault="00476BAA" w:rsidP="009F7BF1">
            <w:pPr>
              <w:pStyle w:val="TableText"/>
              <w:jc w:val="right"/>
              <w:rPr>
                <w:b/>
                <w:highlight w:val="yellow"/>
              </w:rPr>
            </w:pPr>
            <w:r w:rsidRPr="00476BAA">
              <w:rPr>
                <w:rFonts w:cs="Arial"/>
                <w:color w:val="000000"/>
                <w:szCs w:val="18"/>
              </w:rPr>
              <w:t>578</w:t>
            </w:r>
            <w:r w:rsidRPr="000B315F">
              <w:rPr>
                <w:color w:val="000000"/>
              </w:rPr>
              <w:t>,300</w:t>
            </w:r>
          </w:p>
        </w:tc>
        <w:tc>
          <w:tcPr>
            <w:tcW w:w="1229"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476BAA" w:rsidRDefault="00476BAA" w:rsidP="00BA3E60">
            <w:pPr>
              <w:pStyle w:val="TableText"/>
              <w:jc w:val="right"/>
              <w:rPr>
                <w:rFonts w:cs="Arial"/>
                <w:b/>
                <w:szCs w:val="18"/>
              </w:rPr>
            </w:pPr>
            <w:r w:rsidRPr="000B315F">
              <w:rPr>
                <w:color w:val="000000"/>
              </w:rPr>
              <w:t>16,700</w:t>
            </w:r>
          </w:p>
        </w:tc>
        <w:tc>
          <w:tcPr>
            <w:tcW w:w="1230"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476BAA" w:rsidRDefault="00476BAA" w:rsidP="009F7BF1">
            <w:pPr>
              <w:pStyle w:val="TableText"/>
              <w:jc w:val="right"/>
              <w:rPr>
                <w:rFonts w:cs="Arial"/>
                <w:b/>
                <w:szCs w:val="18"/>
              </w:rPr>
            </w:pPr>
            <w:r w:rsidRPr="000B315F">
              <w:rPr>
                <w:color w:val="000000"/>
              </w:rPr>
              <w:t>26,</w:t>
            </w:r>
            <w:r w:rsidRPr="00476BAA">
              <w:rPr>
                <w:rFonts w:cs="Arial"/>
                <w:color w:val="000000"/>
                <w:szCs w:val="18"/>
              </w:rPr>
              <w:t>261,900</w:t>
            </w:r>
          </w:p>
        </w:tc>
      </w:tr>
      <w:tr w:rsidR="00BA3E60" w:rsidRPr="00C36C8F" w:rsidTr="001A181D">
        <w:tc>
          <w:tcPr>
            <w:tcW w:w="14601" w:type="dxa"/>
            <w:gridSpan w:val="12"/>
            <w:tcBorders>
              <w:top w:val="single" w:sz="18" w:space="0" w:color="808080" w:themeColor="background1" w:themeShade="80"/>
              <w:bottom w:val="single" w:sz="4" w:space="0" w:color="808080" w:themeColor="background1" w:themeShade="80"/>
            </w:tcBorders>
          </w:tcPr>
          <w:p w:rsidR="00C4245D" w:rsidRPr="00C36C8F" w:rsidRDefault="00C4245D" w:rsidP="00C4245D">
            <w:pPr>
              <w:pStyle w:val="TableText"/>
              <w:rPr>
                <w:sz w:val="16"/>
                <w:szCs w:val="16"/>
              </w:rPr>
            </w:pPr>
            <w:r w:rsidRPr="00C36C8F">
              <w:rPr>
                <w:sz w:val="16"/>
                <w:szCs w:val="16"/>
              </w:rPr>
              <w:t xml:space="preserve">All figures have been rounded. Minor discrepancies may occur between the stated totals and the sums of the component items, as totals are calculated using the component item values prior to rounding. </w:t>
            </w:r>
          </w:p>
          <w:p w:rsidR="00BA3E60" w:rsidRDefault="00C4245D" w:rsidP="00A532F4">
            <w:pPr>
              <w:pStyle w:val="TableText"/>
              <w:numPr>
                <w:ilvl w:val="0"/>
                <w:numId w:val="35"/>
              </w:numPr>
              <w:rPr>
                <w:sz w:val="16"/>
                <w:szCs w:val="16"/>
              </w:rPr>
            </w:pPr>
            <w:r w:rsidRPr="00C36C8F">
              <w:rPr>
                <w:sz w:val="16"/>
                <w:szCs w:val="16"/>
              </w:rPr>
              <w:t>Full jurisdiction WA and NT data have been extrapolated from metropolitan data based on the ratio of the metropolitan to non-metropolitan populations.</w:t>
            </w:r>
          </w:p>
          <w:p w:rsidR="00A532F4" w:rsidRPr="00C36C8F" w:rsidRDefault="00A532F4" w:rsidP="000B315F">
            <w:pPr>
              <w:pStyle w:val="TableText"/>
              <w:numPr>
                <w:ilvl w:val="0"/>
                <w:numId w:val="35"/>
              </w:numPr>
              <w:rPr>
                <w:sz w:val="16"/>
                <w:szCs w:val="16"/>
              </w:rPr>
            </w:pPr>
            <w:r>
              <w:rPr>
                <w:sz w:val="16"/>
                <w:szCs w:val="16"/>
              </w:rPr>
              <w:t>5063 tonnes of cooking oil &amp; fat, and motor oil, have been excluded from the ACT total waste stream, following Recommendation 3 that liquid waste should be excluded from the scope of reporting</w:t>
            </w:r>
            <w:r w:rsidR="000A2B0B">
              <w:rPr>
                <w:sz w:val="16"/>
                <w:szCs w:val="16"/>
              </w:rPr>
              <w:t>.</w:t>
            </w:r>
          </w:p>
        </w:tc>
      </w:tr>
    </w:tbl>
    <w:p w:rsidR="00DE05C7" w:rsidRDefault="00DE05C7" w:rsidP="00DE05C7">
      <w:pPr>
        <w:pStyle w:val="ParaIndent"/>
        <w:ind w:left="0"/>
      </w:pPr>
    </w:p>
    <w:p w:rsidR="00CD2D28" w:rsidRDefault="00CD2D28">
      <w:pPr>
        <w:spacing w:after="0" w:line="240" w:lineRule="auto"/>
        <w:ind w:left="0"/>
      </w:pPr>
      <w:r>
        <w:br w:type="page"/>
      </w:r>
    </w:p>
    <w:p w:rsidR="009B4AF4" w:rsidRDefault="009B4AF4" w:rsidP="009B4AF4">
      <w:pPr>
        <w:pStyle w:val="Caption"/>
      </w:pPr>
      <w:bookmarkStart w:id="136" w:name="_Ref325020575"/>
      <w:r w:rsidRPr="00C36C8F">
        <w:t xml:space="preserve">Table </w:t>
      </w:r>
      <w:r w:rsidR="00B9555F">
        <w:fldChar w:fldCharType="begin"/>
      </w:r>
      <w:r w:rsidR="000C6B88">
        <w:instrText xml:space="preserve"> STYLEREF "_Heading1" \n </w:instrText>
      </w:r>
      <w:r w:rsidR="00B9555F">
        <w:fldChar w:fldCharType="separate"/>
      </w:r>
      <w:r w:rsidR="00AE7E3B">
        <w:rPr>
          <w:noProof/>
        </w:rPr>
        <w:t>4</w:t>
      </w:r>
      <w:r w:rsidR="00B9555F">
        <w:rPr>
          <w:noProof/>
        </w:rPr>
        <w:fldChar w:fldCharType="end"/>
      </w:r>
      <w:r w:rsidRPr="00C36C8F">
        <w:t>-</w:t>
      </w:r>
      <w:r w:rsidR="00B9555F">
        <w:fldChar w:fldCharType="begin"/>
      </w:r>
      <w:r w:rsidR="000C6B88">
        <w:instrText xml:space="preserve"> SEQ Table \* Arabic </w:instrText>
      </w:r>
      <w:r w:rsidR="00B9555F">
        <w:fldChar w:fldCharType="separate"/>
      </w:r>
      <w:r w:rsidR="00AE7E3B">
        <w:rPr>
          <w:noProof/>
        </w:rPr>
        <w:t>11</w:t>
      </w:r>
      <w:r w:rsidR="00B9555F">
        <w:rPr>
          <w:noProof/>
        </w:rPr>
        <w:fldChar w:fldCharType="end"/>
      </w:r>
      <w:r w:rsidRPr="00C36C8F">
        <w:tab/>
      </w:r>
      <w:r>
        <w:t>Waste generation and disposal,</w:t>
      </w:r>
      <w:r w:rsidRPr="00C36C8F">
        <w:t xml:space="preserve"> by </w:t>
      </w:r>
      <w:r>
        <w:t>source sector and jurisdiction</w:t>
      </w:r>
      <w:r w:rsidRPr="00C36C8F">
        <w:t>, 2008–09</w:t>
      </w:r>
      <w:bookmarkEnd w:id="136"/>
    </w:p>
    <w:tbl>
      <w:tblPr>
        <w:tblW w:w="14601" w:type="dxa"/>
        <w:tblBorders>
          <w:bottom w:val="single" w:sz="18" w:space="0" w:color="808080"/>
          <w:insideH w:val="single" w:sz="4" w:space="0" w:color="808080"/>
        </w:tblBorders>
        <w:tblLayout w:type="fixed"/>
        <w:tblCellMar>
          <w:left w:w="0" w:type="dxa"/>
          <w:right w:w="0" w:type="dxa"/>
        </w:tblCellMar>
        <w:tblLook w:val="01E0"/>
      </w:tblPr>
      <w:tblGrid>
        <w:gridCol w:w="1417"/>
        <w:gridCol w:w="1418"/>
        <w:gridCol w:w="1418"/>
        <w:gridCol w:w="1276"/>
        <w:gridCol w:w="1275"/>
        <w:gridCol w:w="1276"/>
        <w:gridCol w:w="1276"/>
        <w:gridCol w:w="1276"/>
        <w:gridCol w:w="1275"/>
        <w:gridCol w:w="1418"/>
        <w:gridCol w:w="1276"/>
      </w:tblGrid>
      <w:tr w:rsidR="00F86247" w:rsidRPr="00C36C8F" w:rsidTr="00DF3FE6">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86247" w:rsidRPr="00C36C8F" w:rsidRDefault="00F86247" w:rsidP="00F86247">
            <w:pPr>
              <w:pStyle w:val="TableHeading"/>
              <w:jc w:val="center"/>
              <w:rPr>
                <w:kern w:val="28"/>
              </w:rPr>
            </w:pPr>
            <w:r>
              <w:rPr>
                <w:kern w:val="28"/>
              </w:rPr>
              <w:t>Jurisdiction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86247" w:rsidRPr="00C36C8F" w:rsidRDefault="00F86247" w:rsidP="00F86247">
            <w:pPr>
              <w:pStyle w:val="TableHeading"/>
              <w:jc w:val="center"/>
              <w:rPr>
                <w:kern w:val="28"/>
              </w:rPr>
            </w:pPr>
            <w:r>
              <w:rPr>
                <w:kern w:val="28"/>
              </w:rPr>
              <w:t>Population</w:t>
            </w:r>
          </w:p>
        </w:tc>
        <w:tc>
          <w:tcPr>
            <w:tcW w:w="3969" w:type="dxa"/>
            <w:gridSpan w:val="3"/>
            <w:tcBorders>
              <w:top w:val="single" w:sz="12" w:space="0" w:color="808080" w:themeColor="background1" w:themeShade="80"/>
              <w:left w:val="single" w:sz="4" w:space="0" w:color="auto"/>
              <w:bottom w:val="single" w:sz="4" w:space="0" w:color="808080"/>
              <w:right w:val="single" w:sz="12" w:space="0" w:color="808080" w:themeColor="background1" w:themeShade="80"/>
            </w:tcBorders>
            <w:shd w:val="clear" w:color="auto" w:fill="auto"/>
            <w:vAlign w:val="center"/>
          </w:tcPr>
          <w:p w:rsidR="00F86247" w:rsidRPr="00C36C8F" w:rsidRDefault="00F86247" w:rsidP="00004C7A">
            <w:pPr>
              <w:pStyle w:val="TableHeading"/>
              <w:jc w:val="center"/>
              <w:rPr>
                <w:kern w:val="28"/>
              </w:rPr>
            </w:pPr>
            <w:r w:rsidRPr="00004C7A">
              <w:rPr>
                <w:kern w:val="28"/>
              </w:rPr>
              <w:t>Waste gener</w:t>
            </w:r>
            <w:r>
              <w:rPr>
                <w:kern w:val="28"/>
              </w:rPr>
              <w:t>ation by source sector</w:t>
            </w:r>
            <w:r>
              <w:rPr>
                <w:kern w:val="28"/>
              </w:rPr>
              <w:br/>
              <w:t>(tonnes)</w:t>
            </w:r>
          </w:p>
        </w:tc>
        <w:tc>
          <w:tcPr>
            <w:tcW w:w="3828" w:type="dxa"/>
            <w:gridSpan w:val="3"/>
            <w:tcBorders>
              <w:top w:val="single" w:sz="12" w:space="0" w:color="808080" w:themeColor="background1" w:themeShade="80"/>
              <w:left w:val="single" w:sz="12" w:space="0" w:color="808080" w:themeColor="background1" w:themeShade="80"/>
              <w:bottom w:val="single" w:sz="4" w:space="0" w:color="808080"/>
              <w:right w:val="single" w:sz="12" w:space="0" w:color="808080" w:themeColor="background1" w:themeShade="80"/>
            </w:tcBorders>
            <w:shd w:val="clear" w:color="auto" w:fill="auto"/>
            <w:vAlign w:val="center"/>
          </w:tcPr>
          <w:p w:rsidR="00F86247" w:rsidRPr="00C36C8F" w:rsidRDefault="00F86247" w:rsidP="00004C7A">
            <w:pPr>
              <w:pStyle w:val="TableHeading"/>
              <w:jc w:val="center"/>
              <w:rPr>
                <w:kern w:val="28"/>
              </w:rPr>
            </w:pPr>
            <w:r>
              <w:rPr>
                <w:kern w:val="28"/>
              </w:rPr>
              <w:t>Per capita waste generation by source sector (kg)</w:t>
            </w:r>
          </w:p>
        </w:tc>
        <w:tc>
          <w:tcPr>
            <w:tcW w:w="3969" w:type="dxa"/>
            <w:gridSpan w:val="3"/>
            <w:tcBorders>
              <w:top w:val="single" w:sz="12" w:space="0" w:color="808080" w:themeColor="background1" w:themeShade="80"/>
              <w:left w:val="single" w:sz="12" w:space="0" w:color="808080" w:themeColor="background1" w:themeShade="80"/>
              <w:bottom w:val="single" w:sz="4" w:space="0" w:color="808080"/>
              <w:right w:val="single" w:sz="12" w:space="0" w:color="808080" w:themeColor="background1" w:themeShade="80"/>
            </w:tcBorders>
            <w:vAlign w:val="center"/>
          </w:tcPr>
          <w:p w:rsidR="00F86247" w:rsidRPr="00C36C8F" w:rsidRDefault="00F86247" w:rsidP="00B010A6">
            <w:pPr>
              <w:pStyle w:val="TableHeading"/>
              <w:jc w:val="center"/>
              <w:rPr>
                <w:kern w:val="28"/>
              </w:rPr>
            </w:pPr>
            <w:r>
              <w:rPr>
                <w:kern w:val="28"/>
              </w:rPr>
              <w:t>Disposal to landfill by source sector</w:t>
            </w:r>
            <w:r w:rsidR="00B010A6">
              <w:rPr>
                <w:kern w:val="28"/>
              </w:rPr>
              <w:br/>
            </w:r>
            <w:r>
              <w:rPr>
                <w:kern w:val="28"/>
              </w:rPr>
              <w:t>(tonnes)</w:t>
            </w:r>
          </w:p>
        </w:tc>
      </w:tr>
      <w:tr w:rsidR="00F86247" w:rsidRPr="00C36C8F" w:rsidTr="00DF3FE6">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6247" w:rsidRPr="00C36C8F" w:rsidRDefault="00F86247" w:rsidP="00004C7A">
            <w:pPr>
              <w:pStyle w:val="TableHeading"/>
              <w:jc w:val="center"/>
              <w:rPr>
                <w:kern w:val="2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6247" w:rsidRPr="00C36C8F" w:rsidRDefault="00F86247" w:rsidP="00004C7A">
            <w:pPr>
              <w:pStyle w:val="TableHeading"/>
              <w:jc w:val="center"/>
              <w:rPr>
                <w:kern w:val="28"/>
              </w:rPr>
            </w:pPr>
          </w:p>
        </w:tc>
        <w:tc>
          <w:tcPr>
            <w:tcW w:w="1418" w:type="dxa"/>
            <w:tcBorders>
              <w:top w:val="single" w:sz="4" w:space="0" w:color="808080"/>
              <w:left w:val="single" w:sz="4" w:space="0" w:color="auto"/>
              <w:bottom w:val="single" w:sz="4" w:space="0" w:color="808080"/>
              <w:right w:val="single" w:sz="8" w:space="0" w:color="808080" w:themeColor="background1" w:themeShade="80"/>
            </w:tcBorders>
            <w:shd w:val="clear" w:color="auto" w:fill="auto"/>
            <w:vAlign w:val="center"/>
          </w:tcPr>
          <w:p w:rsidR="00F86247" w:rsidRPr="00C36C8F" w:rsidRDefault="00F86247" w:rsidP="00004C7A">
            <w:pPr>
              <w:pStyle w:val="TableHeading"/>
              <w:jc w:val="center"/>
              <w:rPr>
                <w:kern w:val="28"/>
              </w:rPr>
            </w:pPr>
            <w:r>
              <w:rPr>
                <w:kern w:val="28"/>
              </w:rPr>
              <w:t>Municipal</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F86247" w:rsidRPr="00C36C8F" w:rsidRDefault="00F86247" w:rsidP="00004C7A">
            <w:pPr>
              <w:pStyle w:val="TableHeading"/>
              <w:jc w:val="center"/>
              <w:rPr>
                <w:kern w:val="28"/>
              </w:rPr>
            </w:pPr>
            <w:r>
              <w:rPr>
                <w:kern w:val="28"/>
              </w:rPr>
              <w:t>C&amp;I</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vAlign w:val="center"/>
          </w:tcPr>
          <w:p w:rsidR="00F86247" w:rsidRPr="00C36C8F" w:rsidRDefault="00F86247" w:rsidP="00004C7A">
            <w:pPr>
              <w:pStyle w:val="TableHeading"/>
              <w:jc w:val="center"/>
              <w:rPr>
                <w:kern w:val="28"/>
              </w:rPr>
            </w:pPr>
            <w:r>
              <w:rPr>
                <w:kern w:val="28"/>
              </w:rPr>
              <w:t>C&amp;D</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vAlign w:val="center"/>
          </w:tcPr>
          <w:p w:rsidR="00F86247" w:rsidRPr="00C36C8F" w:rsidRDefault="00F86247" w:rsidP="00004C7A">
            <w:pPr>
              <w:pStyle w:val="TableHeading"/>
              <w:jc w:val="center"/>
              <w:rPr>
                <w:kern w:val="28"/>
              </w:rPr>
            </w:pPr>
            <w:r>
              <w:rPr>
                <w:kern w:val="28"/>
              </w:rPr>
              <w:t>Municipal</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F86247" w:rsidRPr="00C36C8F" w:rsidRDefault="00F86247" w:rsidP="00004C7A">
            <w:pPr>
              <w:pStyle w:val="TableHeading"/>
              <w:jc w:val="center"/>
              <w:rPr>
                <w:kern w:val="28"/>
              </w:rPr>
            </w:pPr>
            <w:r>
              <w:rPr>
                <w:kern w:val="28"/>
              </w:rPr>
              <w:t>C&amp;I</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vAlign w:val="center"/>
          </w:tcPr>
          <w:p w:rsidR="00F86247" w:rsidRPr="00C36C8F" w:rsidRDefault="00F86247" w:rsidP="00004C7A">
            <w:pPr>
              <w:pStyle w:val="TableHeading"/>
              <w:jc w:val="center"/>
              <w:rPr>
                <w:kern w:val="28"/>
              </w:rPr>
            </w:pPr>
            <w:r>
              <w:rPr>
                <w:kern w:val="28"/>
              </w:rPr>
              <w:t>C&amp;D</w:t>
            </w:r>
          </w:p>
        </w:tc>
        <w:tc>
          <w:tcPr>
            <w:tcW w:w="1275" w:type="dxa"/>
            <w:tcBorders>
              <w:top w:val="single" w:sz="4" w:space="0" w:color="808080"/>
              <w:left w:val="single" w:sz="12" w:space="0" w:color="808080" w:themeColor="background1" w:themeShade="80"/>
              <w:bottom w:val="single" w:sz="4" w:space="0" w:color="808080"/>
            </w:tcBorders>
            <w:vAlign w:val="center"/>
          </w:tcPr>
          <w:p w:rsidR="00F86247" w:rsidRPr="00774BF1" w:rsidRDefault="00F86247" w:rsidP="00004C7A">
            <w:pPr>
              <w:pStyle w:val="TableHeading"/>
              <w:jc w:val="center"/>
              <w:rPr>
                <w:kern w:val="28"/>
              </w:rPr>
            </w:pPr>
            <w:r>
              <w:rPr>
                <w:kern w:val="28"/>
              </w:rPr>
              <w:t>Municipal</w:t>
            </w:r>
          </w:p>
        </w:tc>
        <w:tc>
          <w:tcPr>
            <w:tcW w:w="1418" w:type="dxa"/>
            <w:tcBorders>
              <w:top w:val="single" w:sz="4" w:space="0" w:color="808080"/>
              <w:left w:val="single" w:sz="8" w:space="0" w:color="808080" w:themeColor="background1" w:themeShade="80"/>
              <w:bottom w:val="single" w:sz="4" w:space="0" w:color="808080"/>
            </w:tcBorders>
            <w:vAlign w:val="center"/>
          </w:tcPr>
          <w:p w:rsidR="00F86247" w:rsidRPr="00C36C8F" w:rsidRDefault="00F86247" w:rsidP="00004C7A">
            <w:pPr>
              <w:pStyle w:val="TableHeading"/>
              <w:jc w:val="center"/>
              <w:rPr>
                <w:kern w:val="28"/>
              </w:rPr>
            </w:pPr>
            <w:r>
              <w:rPr>
                <w:kern w:val="28"/>
              </w:rPr>
              <w:t>C&amp;I</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vAlign w:val="center"/>
          </w:tcPr>
          <w:p w:rsidR="00F86247" w:rsidRPr="00C36C8F" w:rsidRDefault="00F86247" w:rsidP="00004C7A">
            <w:pPr>
              <w:pStyle w:val="TableHeading"/>
              <w:jc w:val="center"/>
              <w:rPr>
                <w:kern w:val="28"/>
              </w:rPr>
            </w:pPr>
            <w:r>
              <w:rPr>
                <w:kern w:val="28"/>
              </w:rPr>
              <w:t>C&amp;D</w:t>
            </w:r>
          </w:p>
        </w:tc>
      </w:tr>
      <w:tr w:rsidR="00EB4C97" w:rsidRPr="00C36C8F" w:rsidTr="00DF3FE6">
        <w:tc>
          <w:tcPr>
            <w:tcW w:w="1417" w:type="dxa"/>
            <w:tcBorders>
              <w:top w:val="single" w:sz="4" w:space="0" w:color="auto"/>
              <w:left w:val="single" w:sz="12" w:space="0" w:color="808080" w:themeColor="background1" w:themeShade="80"/>
              <w:bottom w:val="single" w:sz="4" w:space="0" w:color="808080"/>
            </w:tcBorders>
            <w:shd w:val="clear" w:color="auto" w:fill="auto"/>
          </w:tcPr>
          <w:p w:rsidR="00EB4C97" w:rsidRPr="00C36C8F" w:rsidRDefault="00EB4C97" w:rsidP="00004C7A">
            <w:pPr>
              <w:pStyle w:val="TableText"/>
            </w:pPr>
            <w:r>
              <w:t>NSW</w:t>
            </w:r>
          </w:p>
        </w:tc>
        <w:tc>
          <w:tcPr>
            <w:tcW w:w="1418" w:type="dxa"/>
            <w:tcBorders>
              <w:top w:val="single" w:sz="4" w:space="0" w:color="auto"/>
              <w:bottom w:val="single" w:sz="4" w:space="0" w:color="808080"/>
              <w:right w:val="single" w:sz="12" w:space="0" w:color="808080" w:themeColor="background1" w:themeShade="80"/>
            </w:tcBorders>
            <w:vAlign w:val="center"/>
          </w:tcPr>
          <w:p w:rsidR="00EB4C97" w:rsidRPr="009B4AF4" w:rsidRDefault="00EB4C97" w:rsidP="0070337A">
            <w:pPr>
              <w:pStyle w:val="TableText"/>
              <w:jc w:val="right"/>
              <w:rPr>
                <w:rFonts w:cs="Arial"/>
                <w:color w:val="000000"/>
                <w:szCs w:val="18"/>
              </w:rPr>
            </w:pPr>
            <w:r w:rsidRPr="009B4AF4">
              <w:rPr>
                <w:rFonts w:cs="Arial"/>
                <w:color w:val="000000"/>
                <w:szCs w:val="18"/>
              </w:rPr>
              <w:t xml:space="preserve">7,099,714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4,272,488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5,447,732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6,569,420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602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767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925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2,352,045 </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2,552,031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1,734,711 </w:t>
            </w:r>
          </w:p>
        </w:tc>
      </w:tr>
      <w:tr w:rsidR="00EB4C97" w:rsidRPr="00C36C8F" w:rsidTr="00F86247">
        <w:tc>
          <w:tcPr>
            <w:tcW w:w="1417" w:type="dxa"/>
            <w:tcBorders>
              <w:top w:val="single" w:sz="4" w:space="0" w:color="808080"/>
              <w:left w:val="single" w:sz="12" w:space="0" w:color="808080" w:themeColor="background1" w:themeShade="80"/>
              <w:bottom w:val="single" w:sz="4" w:space="0" w:color="808080"/>
            </w:tcBorders>
            <w:shd w:val="clear" w:color="auto" w:fill="auto"/>
          </w:tcPr>
          <w:p w:rsidR="00EB4C97" w:rsidRPr="00C36C8F" w:rsidRDefault="00EB4C97" w:rsidP="00004C7A">
            <w:pPr>
              <w:pStyle w:val="TableText"/>
            </w:pPr>
            <w:r>
              <w:t>Vic</w:t>
            </w:r>
          </w:p>
        </w:tc>
        <w:tc>
          <w:tcPr>
            <w:tcW w:w="1418" w:type="dxa"/>
            <w:tcBorders>
              <w:top w:val="single" w:sz="4" w:space="0" w:color="808080"/>
              <w:bottom w:val="single" w:sz="4" w:space="0" w:color="808080"/>
              <w:right w:val="single" w:sz="12" w:space="0" w:color="808080" w:themeColor="background1" w:themeShade="80"/>
            </w:tcBorders>
            <w:vAlign w:val="center"/>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5,427,681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2,799,799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3,121,026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4,371,976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516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575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805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1,783,939 </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1,185,076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1,766,760 </w:t>
            </w:r>
          </w:p>
        </w:tc>
      </w:tr>
      <w:tr w:rsidR="00EB4C97" w:rsidRPr="00C36C8F" w:rsidTr="00F86247">
        <w:tc>
          <w:tcPr>
            <w:tcW w:w="1417" w:type="dxa"/>
            <w:tcBorders>
              <w:top w:val="single" w:sz="4" w:space="0" w:color="808080"/>
              <w:left w:val="single" w:sz="12" w:space="0" w:color="808080" w:themeColor="background1" w:themeShade="80"/>
              <w:bottom w:val="single" w:sz="4" w:space="0" w:color="808080"/>
            </w:tcBorders>
            <w:shd w:val="clear" w:color="auto" w:fill="auto"/>
          </w:tcPr>
          <w:p w:rsidR="00EB4C97" w:rsidRPr="00C36C8F" w:rsidRDefault="00EB4C97" w:rsidP="00004C7A">
            <w:pPr>
              <w:pStyle w:val="TableText"/>
            </w:pPr>
            <w:r>
              <w:t>Qld</w:t>
            </w:r>
          </w:p>
        </w:tc>
        <w:tc>
          <w:tcPr>
            <w:tcW w:w="1418" w:type="dxa"/>
            <w:tcBorders>
              <w:top w:val="single" w:sz="4" w:space="0" w:color="808080"/>
              <w:bottom w:val="single" w:sz="4" w:space="0" w:color="808080"/>
              <w:right w:val="single" w:sz="12" w:space="0" w:color="808080" w:themeColor="background1" w:themeShade="80"/>
            </w:tcBorders>
            <w:vAlign w:val="center"/>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4,406,823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4,078,955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1,706,678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3,459,598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926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387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785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2,219,405 </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709,307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2,178,586 </w:t>
            </w:r>
          </w:p>
        </w:tc>
      </w:tr>
      <w:tr w:rsidR="00EB4C97" w:rsidRPr="00C36C8F" w:rsidTr="00F86247">
        <w:tc>
          <w:tcPr>
            <w:tcW w:w="1417" w:type="dxa"/>
            <w:tcBorders>
              <w:top w:val="single" w:sz="4" w:space="0" w:color="808080"/>
              <w:left w:val="single" w:sz="12" w:space="0" w:color="808080" w:themeColor="background1" w:themeShade="80"/>
              <w:bottom w:val="single" w:sz="4" w:space="0" w:color="808080"/>
            </w:tcBorders>
            <w:shd w:val="clear" w:color="auto" w:fill="auto"/>
          </w:tcPr>
          <w:p w:rsidR="00EB4C97" w:rsidRPr="00C36C8F" w:rsidRDefault="00EB4C97" w:rsidP="00004C7A">
            <w:pPr>
              <w:pStyle w:val="TableText"/>
            </w:pPr>
            <w:r>
              <w:t>SA</w:t>
            </w:r>
          </w:p>
        </w:tc>
        <w:tc>
          <w:tcPr>
            <w:tcW w:w="1418" w:type="dxa"/>
            <w:tcBorders>
              <w:top w:val="single" w:sz="4" w:space="0" w:color="808080"/>
              <w:bottom w:val="single" w:sz="4" w:space="0" w:color="808080"/>
              <w:right w:val="single" w:sz="12" w:space="0" w:color="808080" w:themeColor="background1" w:themeShade="80"/>
            </w:tcBorders>
            <w:vAlign w:val="center"/>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1,622,712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754,093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760,899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1,816,799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465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469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1,120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358,448 </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277,284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414,043 </w:t>
            </w:r>
          </w:p>
        </w:tc>
      </w:tr>
      <w:tr w:rsidR="00EB4C97" w:rsidRPr="00C36C8F" w:rsidTr="00F86247">
        <w:tc>
          <w:tcPr>
            <w:tcW w:w="1417" w:type="dxa"/>
            <w:tcBorders>
              <w:top w:val="single" w:sz="4" w:space="0" w:color="808080"/>
              <w:left w:val="single" w:sz="12" w:space="0" w:color="808080" w:themeColor="background1" w:themeShade="80"/>
              <w:bottom w:val="single" w:sz="4" w:space="0" w:color="808080"/>
            </w:tcBorders>
            <w:shd w:val="clear" w:color="auto" w:fill="auto"/>
          </w:tcPr>
          <w:p w:rsidR="00EB4C97" w:rsidRPr="00C36C8F" w:rsidRDefault="00EB4C97" w:rsidP="00004C7A">
            <w:pPr>
              <w:pStyle w:val="TableText"/>
            </w:pPr>
            <w:r>
              <w:t>WA</w:t>
            </w:r>
          </w:p>
        </w:tc>
        <w:tc>
          <w:tcPr>
            <w:tcW w:w="1418" w:type="dxa"/>
            <w:tcBorders>
              <w:top w:val="single" w:sz="4" w:space="0" w:color="808080"/>
              <w:bottom w:val="single" w:sz="4" w:space="0" w:color="808080"/>
              <w:right w:val="single" w:sz="12" w:space="0" w:color="808080" w:themeColor="background1" w:themeShade="80"/>
            </w:tcBorders>
            <w:vAlign w:val="center"/>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2,236,901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1,557,331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1,512,088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2,907,658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696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676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1,300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1,029,479 </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991,586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2,066,418 </w:t>
            </w:r>
          </w:p>
        </w:tc>
      </w:tr>
      <w:tr w:rsidR="00EB4C97" w:rsidRPr="00C36C8F" w:rsidTr="00F86247">
        <w:tc>
          <w:tcPr>
            <w:tcW w:w="1417" w:type="dxa"/>
            <w:tcBorders>
              <w:top w:val="single" w:sz="4" w:space="0" w:color="808080"/>
              <w:left w:val="single" w:sz="12" w:space="0" w:color="808080" w:themeColor="background1" w:themeShade="80"/>
              <w:bottom w:val="single" w:sz="4" w:space="0" w:color="808080"/>
            </w:tcBorders>
            <w:shd w:val="clear" w:color="auto" w:fill="auto"/>
            <w:vAlign w:val="center"/>
          </w:tcPr>
          <w:p w:rsidR="00EB4C97" w:rsidRPr="00C36C8F" w:rsidRDefault="00EB4C97" w:rsidP="00004C7A">
            <w:pPr>
              <w:pStyle w:val="TableText"/>
            </w:pPr>
            <w:r>
              <w:t>Tas</w:t>
            </w:r>
          </w:p>
        </w:tc>
        <w:tc>
          <w:tcPr>
            <w:tcW w:w="1418" w:type="dxa"/>
            <w:tcBorders>
              <w:top w:val="single" w:sz="4" w:space="0" w:color="808080"/>
              <w:bottom w:val="single" w:sz="4" w:space="0" w:color="808080"/>
              <w:right w:val="single" w:sz="12" w:space="0" w:color="808080" w:themeColor="background1" w:themeShade="80"/>
            </w:tcBorders>
            <w:vAlign w:val="center"/>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502,627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245,713 </w:t>
            </w:r>
          </w:p>
        </w:tc>
        <w:tc>
          <w:tcPr>
            <w:tcW w:w="2551"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9B4AF4" w:rsidRDefault="00EB4C97" w:rsidP="009B4AF4">
            <w:pPr>
              <w:pStyle w:val="TableText"/>
              <w:jc w:val="center"/>
              <w:rPr>
                <w:rFonts w:cs="Arial"/>
                <w:color w:val="000000"/>
                <w:szCs w:val="18"/>
              </w:rPr>
            </w:pPr>
            <w:r w:rsidRPr="009B4AF4">
              <w:rPr>
                <w:rFonts w:cs="Arial"/>
                <w:color w:val="000000"/>
                <w:szCs w:val="18"/>
              </w:rPr>
              <w:t>288,881</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489 </w:t>
            </w:r>
          </w:p>
        </w:tc>
        <w:tc>
          <w:tcPr>
            <w:tcW w:w="2552"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C21D99" w:rsidRDefault="00EB4C97" w:rsidP="00EB4C97">
            <w:pPr>
              <w:pStyle w:val="TableText"/>
              <w:jc w:val="center"/>
              <w:rPr>
                <w:rFonts w:cs="Arial"/>
                <w:color w:val="000000"/>
                <w:szCs w:val="18"/>
              </w:rPr>
            </w:pPr>
            <w:r w:rsidRPr="00C21D99">
              <w:rPr>
                <w:rFonts w:cs="Arial"/>
                <w:color w:val="000000"/>
                <w:szCs w:val="18"/>
              </w:rPr>
              <w:t>575</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200,225 </w:t>
            </w:r>
          </w:p>
        </w:tc>
        <w:tc>
          <w:tcPr>
            <w:tcW w:w="2694"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EB4C97" w:rsidRPr="00EB4C97" w:rsidRDefault="00EB4C97" w:rsidP="00EB4C97">
            <w:pPr>
              <w:pStyle w:val="TableText"/>
              <w:jc w:val="center"/>
              <w:rPr>
                <w:rFonts w:cs="Arial"/>
                <w:color w:val="000000"/>
                <w:szCs w:val="18"/>
              </w:rPr>
            </w:pPr>
            <w:r w:rsidRPr="00EB4C97">
              <w:rPr>
                <w:rFonts w:cs="Arial"/>
                <w:color w:val="000000"/>
                <w:szCs w:val="18"/>
              </w:rPr>
              <w:t>248,245</w:t>
            </w:r>
          </w:p>
        </w:tc>
      </w:tr>
      <w:tr w:rsidR="00EB4C97" w:rsidRPr="00C36C8F" w:rsidTr="00F86247">
        <w:tc>
          <w:tcPr>
            <w:tcW w:w="1417" w:type="dxa"/>
            <w:tcBorders>
              <w:top w:val="single" w:sz="4" w:space="0" w:color="808080"/>
              <w:left w:val="single" w:sz="12" w:space="0" w:color="808080" w:themeColor="background1" w:themeShade="80"/>
              <w:bottom w:val="single" w:sz="4" w:space="0" w:color="808080"/>
            </w:tcBorders>
            <w:shd w:val="clear" w:color="auto" w:fill="auto"/>
          </w:tcPr>
          <w:p w:rsidR="00EB4C97" w:rsidRPr="00C36C8F" w:rsidRDefault="00EB4C97" w:rsidP="00004C7A">
            <w:pPr>
              <w:pStyle w:val="TableText"/>
            </w:pPr>
            <w:r>
              <w:t>ACT</w:t>
            </w:r>
          </w:p>
        </w:tc>
        <w:tc>
          <w:tcPr>
            <w:tcW w:w="1418" w:type="dxa"/>
            <w:tcBorders>
              <w:top w:val="single" w:sz="4" w:space="0" w:color="808080"/>
              <w:bottom w:val="single" w:sz="4" w:space="0" w:color="808080"/>
              <w:right w:val="single" w:sz="12" w:space="0" w:color="808080" w:themeColor="background1" w:themeShade="80"/>
            </w:tcBorders>
            <w:vAlign w:val="center"/>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351,182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204,753 </w:t>
            </w:r>
          </w:p>
        </w:tc>
        <w:tc>
          <w:tcPr>
            <w:tcW w:w="2551"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9B4AF4" w:rsidRDefault="00EB4C97" w:rsidP="009B4AF4">
            <w:pPr>
              <w:pStyle w:val="TableText"/>
              <w:jc w:val="center"/>
              <w:rPr>
                <w:rFonts w:cs="Arial"/>
                <w:color w:val="000000"/>
                <w:szCs w:val="18"/>
              </w:rPr>
            </w:pPr>
            <w:r w:rsidRPr="009B4AF4">
              <w:rPr>
                <w:rFonts w:cs="Arial"/>
                <w:color w:val="000000"/>
                <w:szCs w:val="18"/>
              </w:rPr>
              <w:t>587,606</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583 </w:t>
            </w:r>
          </w:p>
        </w:tc>
        <w:tc>
          <w:tcPr>
            <w:tcW w:w="2552"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EB4C97" w:rsidRPr="00C21D99" w:rsidRDefault="00EB4C97" w:rsidP="00EB4C97">
            <w:pPr>
              <w:pStyle w:val="TableText"/>
              <w:jc w:val="center"/>
              <w:rPr>
                <w:rFonts w:cs="Arial"/>
                <w:color w:val="000000"/>
                <w:szCs w:val="18"/>
              </w:rPr>
            </w:pPr>
            <w:r w:rsidRPr="00C21D99">
              <w:rPr>
                <w:rFonts w:cs="Arial"/>
                <w:color w:val="000000"/>
                <w:szCs w:val="18"/>
              </w:rPr>
              <w:t>1,673</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84,458 </w:t>
            </w:r>
          </w:p>
        </w:tc>
        <w:tc>
          <w:tcPr>
            <w:tcW w:w="2694"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EB4C97" w:rsidRPr="00EB4C97" w:rsidRDefault="00EB4C97" w:rsidP="00EB4C97">
            <w:pPr>
              <w:pStyle w:val="TableText"/>
              <w:jc w:val="center"/>
              <w:rPr>
                <w:rFonts w:cs="Arial"/>
                <w:color w:val="000000"/>
                <w:szCs w:val="18"/>
              </w:rPr>
            </w:pPr>
            <w:r w:rsidRPr="00EB4C97">
              <w:rPr>
                <w:rFonts w:cs="Arial"/>
                <w:color w:val="000000"/>
                <w:szCs w:val="18"/>
              </w:rPr>
              <w:t>120,127</w:t>
            </w:r>
          </w:p>
        </w:tc>
      </w:tr>
      <w:tr w:rsidR="00EB4C97" w:rsidRPr="00C36C8F" w:rsidTr="00F86247">
        <w:tc>
          <w:tcPr>
            <w:tcW w:w="1417" w:type="dxa"/>
            <w:tcBorders>
              <w:top w:val="single" w:sz="4" w:space="0" w:color="808080"/>
              <w:left w:val="single" w:sz="12" w:space="0" w:color="808080" w:themeColor="background1" w:themeShade="80"/>
              <w:bottom w:val="single" w:sz="12" w:space="0" w:color="808080" w:themeColor="background1" w:themeShade="80"/>
            </w:tcBorders>
            <w:shd w:val="clear" w:color="auto" w:fill="auto"/>
          </w:tcPr>
          <w:p w:rsidR="00EB4C97" w:rsidRPr="00C36C8F" w:rsidRDefault="00EB4C97" w:rsidP="00004C7A">
            <w:pPr>
              <w:pStyle w:val="TableText"/>
            </w:pPr>
            <w:r>
              <w:t>NT</w:t>
            </w:r>
          </w:p>
        </w:tc>
        <w:tc>
          <w:tcPr>
            <w:tcW w:w="1418" w:type="dxa"/>
            <w:tcBorders>
              <w:top w:val="single" w:sz="4" w:space="0" w:color="808080"/>
              <w:bottom w:val="single" w:sz="12" w:space="0" w:color="808080" w:themeColor="background1" w:themeShade="80"/>
              <w:right w:val="single" w:sz="12" w:space="0" w:color="808080" w:themeColor="background1" w:themeShade="80"/>
            </w:tcBorders>
            <w:vAlign w:val="center"/>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224,848 </w:t>
            </w:r>
          </w:p>
        </w:tc>
        <w:tc>
          <w:tcPr>
            <w:tcW w:w="1418" w:type="dxa"/>
            <w:tcBorders>
              <w:top w:val="single" w:sz="4" w:space="0" w:color="8080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tcMar>
              <w:right w:w="142" w:type="dxa"/>
            </w:tcMar>
            <w:vAlign w:val="bottom"/>
          </w:tcPr>
          <w:p w:rsidR="00EB4C97" w:rsidRPr="009B4AF4" w:rsidRDefault="00EB4C97" w:rsidP="009B4AF4">
            <w:pPr>
              <w:pStyle w:val="TableText"/>
              <w:jc w:val="right"/>
              <w:rPr>
                <w:rFonts w:cs="Arial"/>
                <w:color w:val="000000"/>
                <w:szCs w:val="18"/>
              </w:rPr>
            </w:pPr>
            <w:r w:rsidRPr="009B4AF4">
              <w:rPr>
                <w:rFonts w:cs="Arial"/>
                <w:color w:val="000000"/>
                <w:szCs w:val="18"/>
              </w:rPr>
              <w:t xml:space="preserve">121,910 </w:t>
            </w:r>
          </w:p>
        </w:tc>
        <w:tc>
          <w:tcPr>
            <w:tcW w:w="2551" w:type="dxa"/>
            <w:gridSpan w:val="2"/>
            <w:tcBorders>
              <w:top w:val="single" w:sz="4" w:space="0" w:color="8080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tcMar>
              <w:right w:w="142" w:type="dxa"/>
            </w:tcMar>
            <w:vAlign w:val="bottom"/>
          </w:tcPr>
          <w:p w:rsidR="00EB4C97" w:rsidRPr="009B4AF4" w:rsidRDefault="00EB4C97" w:rsidP="009B4AF4">
            <w:pPr>
              <w:pStyle w:val="TableText"/>
              <w:jc w:val="center"/>
              <w:rPr>
                <w:rFonts w:cs="Arial"/>
                <w:color w:val="000000"/>
                <w:szCs w:val="18"/>
              </w:rPr>
            </w:pPr>
            <w:r w:rsidRPr="009B4AF4">
              <w:rPr>
                <w:rFonts w:cs="Arial"/>
                <w:color w:val="000000"/>
                <w:szCs w:val="18"/>
              </w:rPr>
              <w:t>258,938</w:t>
            </w:r>
          </w:p>
        </w:tc>
        <w:tc>
          <w:tcPr>
            <w:tcW w:w="1276" w:type="dxa"/>
            <w:tcBorders>
              <w:top w:val="single" w:sz="4" w:space="0" w:color="8080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tcMar>
              <w:right w:w="142" w:type="dxa"/>
            </w:tcMar>
            <w:vAlign w:val="bottom"/>
          </w:tcPr>
          <w:p w:rsidR="00EB4C97" w:rsidRPr="00C21D99" w:rsidRDefault="00EB4C97" w:rsidP="00004C7A">
            <w:pPr>
              <w:pStyle w:val="TableText"/>
              <w:jc w:val="right"/>
              <w:rPr>
                <w:rFonts w:cs="Arial"/>
                <w:color w:val="000000"/>
                <w:szCs w:val="18"/>
              </w:rPr>
            </w:pPr>
            <w:r w:rsidRPr="00C21D99">
              <w:rPr>
                <w:rFonts w:cs="Arial"/>
                <w:color w:val="000000"/>
                <w:szCs w:val="18"/>
              </w:rPr>
              <w:t xml:space="preserve">542 </w:t>
            </w:r>
          </w:p>
        </w:tc>
        <w:tc>
          <w:tcPr>
            <w:tcW w:w="2552" w:type="dxa"/>
            <w:gridSpan w:val="2"/>
            <w:tcBorders>
              <w:top w:val="single" w:sz="4" w:space="0" w:color="8080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tcMar>
              <w:right w:w="142" w:type="dxa"/>
            </w:tcMar>
            <w:vAlign w:val="bottom"/>
          </w:tcPr>
          <w:p w:rsidR="00EB4C97" w:rsidRPr="00C21D99" w:rsidRDefault="00EB4C97" w:rsidP="00EB4C97">
            <w:pPr>
              <w:pStyle w:val="TableText"/>
              <w:jc w:val="center"/>
              <w:rPr>
                <w:rFonts w:cs="Arial"/>
                <w:color w:val="000000"/>
                <w:szCs w:val="18"/>
              </w:rPr>
            </w:pPr>
            <w:r w:rsidRPr="00C21D99">
              <w:rPr>
                <w:rFonts w:cs="Arial"/>
                <w:color w:val="000000"/>
                <w:szCs w:val="18"/>
              </w:rPr>
              <w:t>1,152</w:t>
            </w:r>
          </w:p>
        </w:tc>
        <w:tc>
          <w:tcPr>
            <w:tcW w:w="1275" w:type="dxa"/>
            <w:tcBorders>
              <w:top w:val="single" w:sz="4" w:space="0" w:color="808080"/>
              <w:left w:val="single" w:sz="12" w:space="0" w:color="808080" w:themeColor="background1" w:themeShade="80"/>
              <w:bottom w:val="single" w:sz="12" w:space="0" w:color="808080" w:themeColor="background1" w:themeShade="80"/>
            </w:tcBorders>
            <w:tcMar>
              <w:right w:w="142" w:type="dxa"/>
            </w:tcMar>
            <w:vAlign w:val="bottom"/>
          </w:tcPr>
          <w:p w:rsidR="00EB4C97" w:rsidRPr="00EB4C97" w:rsidRDefault="00EB4C97" w:rsidP="00004C7A">
            <w:pPr>
              <w:pStyle w:val="TableText"/>
              <w:jc w:val="right"/>
              <w:rPr>
                <w:rFonts w:cs="Arial"/>
                <w:color w:val="000000"/>
                <w:szCs w:val="18"/>
              </w:rPr>
            </w:pPr>
            <w:r w:rsidRPr="00EB4C97">
              <w:rPr>
                <w:rFonts w:cs="Arial"/>
                <w:color w:val="000000"/>
                <w:szCs w:val="18"/>
              </w:rPr>
              <w:t xml:space="preserve">104,102 </w:t>
            </w:r>
          </w:p>
        </w:tc>
        <w:tc>
          <w:tcPr>
            <w:tcW w:w="2694" w:type="dxa"/>
            <w:gridSpan w:val="2"/>
            <w:tcBorders>
              <w:top w:val="single" w:sz="4" w:space="0" w:color="808080"/>
              <w:left w:val="single" w:sz="8" w:space="0" w:color="808080" w:themeColor="background1" w:themeShade="80"/>
              <w:bottom w:val="single" w:sz="12" w:space="0" w:color="808080" w:themeColor="background1" w:themeShade="80"/>
              <w:right w:val="single" w:sz="12" w:space="0" w:color="808080" w:themeColor="background1" w:themeShade="80"/>
            </w:tcBorders>
            <w:tcMar>
              <w:right w:w="142" w:type="dxa"/>
            </w:tcMar>
            <w:vAlign w:val="bottom"/>
          </w:tcPr>
          <w:p w:rsidR="00EB4C97" w:rsidRPr="00EB4C97" w:rsidRDefault="00EB4C97" w:rsidP="00EB4C97">
            <w:pPr>
              <w:pStyle w:val="TableText"/>
              <w:jc w:val="center"/>
              <w:rPr>
                <w:rFonts w:cs="Arial"/>
                <w:color w:val="000000"/>
                <w:szCs w:val="18"/>
              </w:rPr>
            </w:pPr>
            <w:r w:rsidRPr="00EB4C97">
              <w:rPr>
                <w:rFonts w:cs="Arial"/>
                <w:color w:val="000000"/>
                <w:szCs w:val="18"/>
              </w:rPr>
              <w:t>258,343</w:t>
            </w:r>
          </w:p>
        </w:tc>
      </w:tr>
      <w:tr w:rsidR="00EB4C97" w:rsidRPr="00C36C8F" w:rsidTr="00F86247">
        <w:tc>
          <w:tcPr>
            <w:tcW w:w="1417" w:type="dxa"/>
            <w:tcBorders>
              <w:top w:val="single" w:sz="12" w:space="0" w:color="808080" w:themeColor="background1" w:themeShade="80"/>
              <w:left w:val="single" w:sz="12" w:space="0" w:color="808080" w:themeColor="background1" w:themeShade="80"/>
              <w:bottom w:val="single" w:sz="12" w:space="0" w:color="808080" w:themeColor="background1" w:themeShade="80"/>
            </w:tcBorders>
            <w:shd w:val="clear" w:color="auto" w:fill="auto"/>
          </w:tcPr>
          <w:p w:rsidR="00EB4C97" w:rsidRPr="00EB4C97" w:rsidRDefault="00EB4C97" w:rsidP="00004C7A">
            <w:pPr>
              <w:pStyle w:val="TableText"/>
              <w:rPr>
                <w:b/>
              </w:rPr>
            </w:pPr>
            <w:r w:rsidRPr="00EB4C97">
              <w:rPr>
                <w:b/>
              </w:rPr>
              <w:t>National</w:t>
            </w:r>
          </w:p>
        </w:tc>
        <w:tc>
          <w:tcPr>
            <w:tcW w:w="1418" w:type="dxa"/>
            <w:tcBorders>
              <w:top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rsidR="00EB4C97" w:rsidRPr="00EB4C97" w:rsidRDefault="00EB4C97" w:rsidP="009B4AF4">
            <w:pPr>
              <w:pStyle w:val="TableText"/>
              <w:jc w:val="right"/>
              <w:rPr>
                <w:rFonts w:cs="Arial"/>
                <w:b/>
                <w:color w:val="000000"/>
                <w:szCs w:val="18"/>
              </w:rPr>
            </w:pPr>
            <w:r w:rsidRPr="00EB4C97">
              <w:rPr>
                <w:rFonts w:cs="Arial"/>
                <w:b/>
                <w:color w:val="000000"/>
                <w:szCs w:val="18"/>
              </w:rPr>
              <w:t xml:space="preserve">21,872,488 </w:t>
            </w:r>
          </w:p>
        </w:tc>
        <w:tc>
          <w:tcPr>
            <w:tcW w:w="141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tcMar>
              <w:right w:w="142" w:type="dxa"/>
            </w:tcMar>
            <w:vAlign w:val="bottom"/>
          </w:tcPr>
          <w:p w:rsidR="00EB4C97" w:rsidRPr="00EB4C97" w:rsidRDefault="00EB4C97" w:rsidP="009B4AF4">
            <w:pPr>
              <w:pStyle w:val="TableText"/>
              <w:jc w:val="right"/>
              <w:rPr>
                <w:rFonts w:cs="Arial"/>
                <w:b/>
                <w:color w:val="000000"/>
                <w:szCs w:val="18"/>
              </w:rPr>
            </w:pPr>
            <w:r w:rsidRPr="00EB4C97">
              <w:rPr>
                <w:rFonts w:cs="Arial"/>
                <w:b/>
                <w:color w:val="000000"/>
                <w:szCs w:val="18"/>
              </w:rPr>
              <w:t>14,035,042</w:t>
            </w:r>
          </w:p>
        </w:tc>
        <w:tc>
          <w:tcPr>
            <w:tcW w:w="2551" w:type="dxa"/>
            <w:gridSpan w:val="2"/>
            <w:tcBorders>
              <w:top w:val="single" w:sz="12"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tcMar>
              <w:right w:w="142" w:type="dxa"/>
            </w:tcMar>
            <w:vAlign w:val="center"/>
          </w:tcPr>
          <w:p w:rsidR="00EB4C97" w:rsidRPr="00EB4C97" w:rsidRDefault="00EB4C97" w:rsidP="00C21D99">
            <w:pPr>
              <w:pStyle w:val="TableText"/>
              <w:jc w:val="center"/>
              <w:rPr>
                <w:rFonts w:cs="Arial"/>
                <w:b/>
                <w:szCs w:val="18"/>
              </w:rPr>
            </w:pPr>
            <w:r w:rsidRPr="00EB4C97">
              <w:rPr>
                <w:rFonts w:cs="Arial"/>
                <w:b/>
                <w:szCs w:val="18"/>
              </w:rPr>
              <w:t>32,809,301</w:t>
            </w:r>
          </w:p>
        </w:tc>
        <w:tc>
          <w:tcPr>
            <w:tcW w:w="127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tcMar>
              <w:right w:w="142" w:type="dxa"/>
            </w:tcMar>
            <w:vAlign w:val="bottom"/>
          </w:tcPr>
          <w:p w:rsidR="00EB4C97" w:rsidRPr="00EB4C97" w:rsidRDefault="00EB4C97" w:rsidP="00004C7A">
            <w:pPr>
              <w:pStyle w:val="TableText"/>
              <w:jc w:val="right"/>
              <w:rPr>
                <w:rFonts w:cs="Arial"/>
                <w:b/>
                <w:color w:val="000000"/>
                <w:szCs w:val="18"/>
              </w:rPr>
            </w:pPr>
            <w:r w:rsidRPr="00EB4C97">
              <w:rPr>
                <w:rFonts w:cs="Arial"/>
                <w:b/>
                <w:color w:val="000000"/>
                <w:szCs w:val="18"/>
              </w:rPr>
              <w:t xml:space="preserve">642 </w:t>
            </w:r>
          </w:p>
        </w:tc>
        <w:tc>
          <w:tcPr>
            <w:tcW w:w="2552" w:type="dxa"/>
            <w:gridSpan w:val="2"/>
            <w:tcBorders>
              <w:top w:val="single" w:sz="12"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tcMar>
              <w:right w:w="142" w:type="dxa"/>
            </w:tcMar>
            <w:vAlign w:val="bottom"/>
          </w:tcPr>
          <w:p w:rsidR="00EB4C97" w:rsidRPr="00EB4C97" w:rsidRDefault="00EB4C97" w:rsidP="00EB4C97">
            <w:pPr>
              <w:pStyle w:val="TableText"/>
              <w:jc w:val="center"/>
              <w:rPr>
                <w:rFonts w:cs="Arial"/>
                <w:b/>
                <w:color w:val="000000"/>
                <w:szCs w:val="18"/>
              </w:rPr>
            </w:pPr>
            <w:r w:rsidRPr="00EB4C97">
              <w:rPr>
                <w:rFonts w:cs="Arial"/>
                <w:b/>
                <w:color w:val="000000"/>
                <w:szCs w:val="18"/>
              </w:rPr>
              <w:t>1,500</w:t>
            </w:r>
          </w:p>
        </w:tc>
        <w:tc>
          <w:tcPr>
            <w:tcW w:w="1275" w:type="dxa"/>
            <w:tcBorders>
              <w:top w:val="single" w:sz="12" w:space="0" w:color="808080" w:themeColor="background1" w:themeShade="80"/>
              <w:left w:val="single" w:sz="12" w:space="0" w:color="808080" w:themeColor="background1" w:themeShade="80"/>
              <w:bottom w:val="single" w:sz="12" w:space="0" w:color="808080" w:themeColor="background1" w:themeShade="80"/>
            </w:tcBorders>
            <w:tcMar>
              <w:right w:w="142" w:type="dxa"/>
            </w:tcMar>
            <w:vAlign w:val="bottom"/>
          </w:tcPr>
          <w:p w:rsidR="00EB4C97" w:rsidRPr="00EB4C97" w:rsidRDefault="00EB4C97" w:rsidP="00004C7A">
            <w:pPr>
              <w:pStyle w:val="TableText"/>
              <w:jc w:val="right"/>
              <w:rPr>
                <w:rFonts w:cs="Arial"/>
                <w:b/>
                <w:color w:val="000000"/>
                <w:szCs w:val="18"/>
              </w:rPr>
            </w:pPr>
            <w:r w:rsidRPr="00EB4C97">
              <w:rPr>
                <w:rFonts w:cs="Arial"/>
                <w:b/>
                <w:color w:val="000000"/>
                <w:szCs w:val="18"/>
              </w:rPr>
              <w:t xml:space="preserve">8,132,100 </w:t>
            </w:r>
          </w:p>
        </w:tc>
        <w:tc>
          <w:tcPr>
            <w:tcW w:w="2694" w:type="dxa"/>
            <w:gridSpan w:val="2"/>
            <w:tcBorders>
              <w:top w:val="single" w:sz="12"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tcMar>
              <w:right w:w="142" w:type="dxa"/>
            </w:tcMar>
            <w:vAlign w:val="center"/>
          </w:tcPr>
          <w:p w:rsidR="00EB4C97" w:rsidRPr="00EB4C97" w:rsidRDefault="00EB4C97" w:rsidP="00EB4C97">
            <w:pPr>
              <w:pStyle w:val="TableText"/>
              <w:jc w:val="center"/>
              <w:rPr>
                <w:rFonts w:cs="Arial"/>
                <w:b/>
                <w:color w:val="000000"/>
                <w:szCs w:val="18"/>
              </w:rPr>
            </w:pPr>
            <w:r w:rsidRPr="00EB4C97">
              <w:rPr>
                <w:rFonts w:cs="Arial"/>
                <w:b/>
                <w:color w:val="000000"/>
                <w:szCs w:val="18"/>
              </w:rPr>
              <w:t>14,502,516</w:t>
            </w:r>
          </w:p>
        </w:tc>
      </w:tr>
      <w:tr w:rsidR="00004C7A" w:rsidRPr="00C36C8F" w:rsidTr="00EB4C97">
        <w:tc>
          <w:tcPr>
            <w:tcW w:w="14601" w:type="dxa"/>
            <w:gridSpan w:val="11"/>
            <w:tcBorders>
              <w:top w:val="single" w:sz="18" w:space="0" w:color="808080" w:themeColor="background1" w:themeShade="80"/>
              <w:bottom w:val="single" w:sz="4" w:space="0" w:color="808080" w:themeColor="background1" w:themeShade="80"/>
            </w:tcBorders>
          </w:tcPr>
          <w:p w:rsidR="00EB4C97" w:rsidRDefault="00004C7A" w:rsidP="00CB6550">
            <w:pPr>
              <w:pStyle w:val="TableText"/>
              <w:rPr>
                <w:sz w:val="16"/>
                <w:szCs w:val="16"/>
              </w:rPr>
            </w:pPr>
            <w:r w:rsidRPr="00C36C8F">
              <w:rPr>
                <w:sz w:val="16"/>
                <w:szCs w:val="16"/>
              </w:rPr>
              <w:t>All figures have been rounded. Minor discrepancies may occur between the stated totals and the sums of the component items, as totals are calculated using the component item values prior to rounding.</w:t>
            </w:r>
          </w:p>
          <w:p w:rsidR="00EB4C97" w:rsidRDefault="00EB4C97" w:rsidP="00EB4C97">
            <w:pPr>
              <w:pStyle w:val="TableText"/>
              <w:rPr>
                <w:sz w:val="16"/>
                <w:szCs w:val="16"/>
              </w:rPr>
            </w:pPr>
            <w:r>
              <w:rPr>
                <w:sz w:val="16"/>
                <w:szCs w:val="16"/>
              </w:rPr>
              <w:t>It has not been possible to distinguish between the C&amp;I and C&amp;D waste streams in Tasmania, the</w:t>
            </w:r>
            <w:r w:rsidR="002B42C3">
              <w:rPr>
                <w:sz w:val="16"/>
                <w:szCs w:val="16"/>
              </w:rPr>
              <w:t xml:space="preserve"> ACT and the Northern Territory. I</w:t>
            </w:r>
            <w:r>
              <w:rPr>
                <w:sz w:val="16"/>
                <w:szCs w:val="16"/>
              </w:rPr>
              <w:t xml:space="preserve">n these jurisdictions combined C&amp;I and C&amp;D </w:t>
            </w:r>
            <w:r w:rsidR="002B42C3">
              <w:rPr>
                <w:sz w:val="16"/>
                <w:szCs w:val="16"/>
              </w:rPr>
              <w:t>figures are</w:t>
            </w:r>
            <w:r>
              <w:rPr>
                <w:sz w:val="16"/>
                <w:szCs w:val="16"/>
              </w:rPr>
              <w:t xml:space="preserve"> provided</w:t>
            </w:r>
            <w:r w:rsidR="002B42C3">
              <w:rPr>
                <w:sz w:val="16"/>
                <w:szCs w:val="16"/>
              </w:rPr>
              <w:t>.</w:t>
            </w:r>
          </w:p>
          <w:p w:rsidR="00004C7A" w:rsidRDefault="00EB4C97" w:rsidP="00EB4C97">
            <w:pPr>
              <w:pStyle w:val="TableText"/>
              <w:rPr>
                <w:sz w:val="16"/>
                <w:szCs w:val="16"/>
              </w:rPr>
            </w:pPr>
            <w:r>
              <w:rPr>
                <w:sz w:val="16"/>
                <w:szCs w:val="16"/>
              </w:rPr>
              <w:t>Combined C&amp;</w:t>
            </w:r>
            <w:r w:rsidR="002B42C3">
              <w:rPr>
                <w:sz w:val="16"/>
                <w:szCs w:val="16"/>
              </w:rPr>
              <w:t>I and C&amp;D figures are provided for the national summary.</w:t>
            </w:r>
          </w:p>
          <w:p w:rsidR="000504AF" w:rsidRPr="00C36C8F" w:rsidRDefault="000504AF" w:rsidP="00EB4C97">
            <w:pPr>
              <w:pStyle w:val="TableText"/>
              <w:rPr>
                <w:sz w:val="16"/>
                <w:szCs w:val="16"/>
              </w:rPr>
            </w:pPr>
            <w:r>
              <w:rPr>
                <w:sz w:val="16"/>
                <w:szCs w:val="16"/>
              </w:rPr>
              <w:t>If the combined totals of C&amp;I and C&amp;D for Tasmania, ACT and NT were allocated on a half and half basis, then national C&amp;D generation would be 19 693 163 tonnes (42% of national generation) and C&amp;I  generation would be13 116 135 tonnes (28% of national generation). MSW would be the remaining 30% of national waste generation by stream.</w:t>
            </w:r>
          </w:p>
        </w:tc>
      </w:tr>
    </w:tbl>
    <w:p w:rsidR="00CD2D28" w:rsidRDefault="00CD2D28" w:rsidP="00DE05C7">
      <w:pPr>
        <w:pStyle w:val="ParaIndent"/>
        <w:ind w:left="0"/>
      </w:pPr>
    </w:p>
    <w:p w:rsidR="00CB6550" w:rsidRDefault="00CB6550">
      <w:pPr>
        <w:spacing w:after="0" w:line="240" w:lineRule="auto"/>
        <w:ind w:left="0"/>
      </w:pPr>
      <w:r>
        <w:br w:type="page"/>
      </w:r>
    </w:p>
    <w:p w:rsidR="009B4AF4" w:rsidRPr="00C36C8F" w:rsidRDefault="009B4AF4" w:rsidP="009B4AF4">
      <w:pPr>
        <w:pStyle w:val="Caption"/>
      </w:pPr>
      <w:bookmarkStart w:id="137" w:name="_Ref325020583"/>
      <w:r w:rsidRPr="00C36C8F">
        <w:t xml:space="preserve">Table </w:t>
      </w:r>
      <w:r w:rsidR="00B9555F">
        <w:fldChar w:fldCharType="begin"/>
      </w:r>
      <w:r w:rsidR="000C6B88">
        <w:instrText xml:space="preserve"> STYLEREF "_Heading1" \n </w:instrText>
      </w:r>
      <w:r w:rsidR="00B9555F">
        <w:fldChar w:fldCharType="separate"/>
      </w:r>
      <w:r w:rsidR="00AE7E3B">
        <w:rPr>
          <w:noProof/>
        </w:rPr>
        <w:t>4</w:t>
      </w:r>
      <w:r w:rsidR="00B9555F">
        <w:rPr>
          <w:noProof/>
        </w:rPr>
        <w:fldChar w:fldCharType="end"/>
      </w:r>
      <w:r w:rsidRPr="00C36C8F">
        <w:t>-</w:t>
      </w:r>
      <w:r w:rsidR="00B9555F">
        <w:fldChar w:fldCharType="begin"/>
      </w:r>
      <w:r w:rsidR="000C6B88">
        <w:instrText xml:space="preserve"> SEQ Table \* Arabic </w:instrText>
      </w:r>
      <w:r w:rsidR="00B9555F">
        <w:fldChar w:fldCharType="separate"/>
      </w:r>
      <w:r w:rsidR="00AE7E3B">
        <w:rPr>
          <w:noProof/>
        </w:rPr>
        <w:t>12</w:t>
      </w:r>
      <w:r w:rsidR="00B9555F">
        <w:rPr>
          <w:noProof/>
        </w:rPr>
        <w:fldChar w:fldCharType="end"/>
      </w:r>
      <w:r w:rsidRPr="00C36C8F">
        <w:tab/>
      </w:r>
      <w:r>
        <w:t>Recycling and energy recovery,</w:t>
      </w:r>
      <w:r w:rsidRPr="00C36C8F">
        <w:t xml:space="preserve"> by </w:t>
      </w:r>
      <w:r>
        <w:t>source sector and jurisdiction</w:t>
      </w:r>
      <w:r w:rsidRPr="00C36C8F">
        <w:t>, 2008–09</w:t>
      </w:r>
      <w:bookmarkEnd w:id="137"/>
    </w:p>
    <w:tbl>
      <w:tblPr>
        <w:tblW w:w="14601" w:type="dxa"/>
        <w:tblBorders>
          <w:bottom w:val="single" w:sz="18" w:space="0" w:color="808080"/>
          <w:insideH w:val="single" w:sz="4" w:space="0" w:color="808080"/>
        </w:tblBorders>
        <w:tblLayout w:type="fixed"/>
        <w:tblCellMar>
          <w:left w:w="0" w:type="dxa"/>
          <w:right w:w="0" w:type="dxa"/>
        </w:tblCellMar>
        <w:tblLook w:val="01E0"/>
      </w:tblPr>
      <w:tblGrid>
        <w:gridCol w:w="1417"/>
        <w:gridCol w:w="1418"/>
        <w:gridCol w:w="1418"/>
        <w:gridCol w:w="1276"/>
        <w:gridCol w:w="1275"/>
        <w:gridCol w:w="1276"/>
        <w:gridCol w:w="1276"/>
        <w:gridCol w:w="1276"/>
        <w:gridCol w:w="1275"/>
        <w:gridCol w:w="1418"/>
        <w:gridCol w:w="1276"/>
      </w:tblGrid>
      <w:tr w:rsidR="0070337A" w:rsidRPr="00C36C8F" w:rsidTr="00DF3FE6">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0337A" w:rsidRPr="00C36C8F" w:rsidRDefault="0070337A" w:rsidP="0070337A">
            <w:pPr>
              <w:pStyle w:val="TableHeading"/>
              <w:jc w:val="center"/>
              <w:rPr>
                <w:kern w:val="28"/>
              </w:rPr>
            </w:pPr>
            <w:r>
              <w:rPr>
                <w:kern w:val="28"/>
              </w:rPr>
              <w:t>Jurisdiction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0337A" w:rsidRPr="00C36C8F" w:rsidRDefault="0070337A" w:rsidP="0070337A">
            <w:pPr>
              <w:pStyle w:val="TableHeading"/>
              <w:jc w:val="center"/>
              <w:rPr>
                <w:kern w:val="28"/>
              </w:rPr>
            </w:pPr>
            <w:r>
              <w:rPr>
                <w:kern w:val="28"/>
              </w:rPr>
              <w:t>Population</w:t>
            </w:r>
          </w:p>
        </w:tc>
        <w:tc>
          <w:tcPr>
            <w:tcW w:w="3969" w:type="dxa"/>
            <w:gridSpan w:val="3"/>
            <w:tcBorders>
              <w:top w:val="single" w:sz="12" w:space="0" w:color="808080" w:themeColor="background1" w:themeShade="80"/>
              <w:left w:val="single" w:sz="4" w:space="0" w:color="auto"/>
              <w:bottom w:val="single" w:sz="4" w:space="0" w:color="808080"/>
              <w:right w:val="single" w:sz="12" w:space="0" w:color="808080" w:themeColor="background1" w:themeShade="80"/>
            </w:tcBorders>
            <w:shd w:val="clear" w:color="auto" w:fill="auto"/>
            <w:vAlign w:val="center"/>
          </w:tcPr>
          <w:p w:rsidR="0070337A" w:rsidRPr="00C36C8F" w:rsidRDefault="0070337A" w:rsidP="002B42C3">
            <w:pPr>
              <w:pStyle w:val="TableHeading"/>
              <w:jc w:val="center"/>
              <w:rPr>
                <w:kern w:val="28"/>
              </w:rPr>
            </w:pPr>
            <w:r>
              <w:rPr>
                <w:kern w:val="28"/>
              </w:rPr>
              <w:t>Recycling by source sector</w:t>
            </w:r>
            <w:r>
              <w:rPr>
                <w:kern w:val="28"/>
              </w:rPr>
              <w:br/>
              <w:t>(tonnes)</w:t>
            </w:r>
          </w:p>
        </w:tc>
        <w:tc>
          <w:tcPr>
            <w:tcW w:w="3828" w:type="dxa"/>
            <w:gridSpan w:val="3"/>
            <w:tcBorders>
              <w:top w:val="single" w:sz="12" w:space="0" w:color="808080" w:themeColor="background1" w:themeShade="80"/>
              <w:left w:val="single" w:sz="12" w:space="0" w:color="808080" w:themeColor="background1" w:themeShade="80"/>
              <w:bottom w:val="single" w:sz="4" w:space="0" w:color="808080"/>
              <w:right w:val="single" w:sz="12" w:space="0" w:color="808080" w:themeColor="background1" w:themeShade="80"/>
            </w:tcBorders>
            <w:shd w:val="clear" w:color="auto" w:fill="auto"/>
            <w:vAlign w:val="center"/>
          </w:tcPr>
          <w:p w:rsidR="0070337A" w:rsidRPr="00C36C8F" w:rsidRDefault="0070337A" w:rsidP="00216070">
            <w:pPr>
              <w:pStyle w:val="TableHeading"/>
              <w:jc w:val="center"/>
              <w:rPr>
                <w:kern w:val="28"/>
              </w:rPr>
            </w:pPr>
            <w:r>
              <w:rPr>
                <w:kern w:val="28"/>
              </w:rPr>
              <w:t>Energy recovery by source sector</w:t>
            </w:r>
            <w:r>
              <w:rPr>
                <w:kern w:val="28"/>
              </w:rPr>
              <w:br/>
              <w:t xml:space="preserve"> (tonnes)</w:t>
            </w:r>
          </w:p>
        </w:tc>
        <w:tc>
          <w:tcPr>
            <w:tcW w:w="3969" w:type="dxa"/>
            <w:gridSpan w:val="3"/>
            <w:tcBorders>
              <w:top w:val="single" w:sz="12" w:space="0" w:color="808080" w:themeColor="background1" w:themeShade="80"/>
              <w:left w:val="single" w:sz="12" w:space="0" w:color="808080" w:themeColor="background1" w:themeShade="80"/>
              <w:bottom w:val="single" w:sz="4" w:space="0" w:color="808080"/>
              <w:right w:val="single" w:sz="12" w:space="0" w:color="808080" w:themeColor="background1" w:themeShade="80"/>
            </w:tcBorders>
            <w:vAlign w:val="center"/>
          </w:tcPr>
          <w:p w:rsidR="0070337A" w:rsidRPr="00C36C8F" w:rsidRDefault="0070337A" w:rsidP="002B42C3">
            <w:pPr>
              <w:pStyle w:val="TableHeading"/>
              <w:jc w:val="center"/>
              <w:rPr>
                <w:kern w:val="28"/>
              </w:rPr>
            </w:pPr>
            <w:r>
              <w:rPr>
                <w:kern w:val="28"/>
              </w:rPr>
              <w:t>Resource recovery by source sector</w:t>
            </w:r>
            <w:r>
              <w:rPr>
                <w:kern w:val="28"/>
              </w:rPr>
              <w:br/>
              <w:t>(tonnes)</w:t>
            </w:r>
          </w:p>
        </w:tc>
      </w:tr>
      <w:tr w:rsidR="0070337A" w:rsidRPr="00C36C8F" w:rsidTr="00DF3FE6">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337A" w:rsidRPr="00C36C8F" w:rsidRDefault="0070337A" w:rsidP="002B42C3">
            <w:pPr>
              <w:pStyle w:val="TableHeading"/>
              <w:jc w:val="center"/>
              <w:rPr>
                <w:kern w:val="28"/>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337A" w:rsidRPr="00C36C8F" w:rsidRDefault="0070337A" w:rsidP="002B42C3">
            <w:pPr>
              <w:pStyle w:val="TableHeading"/>
              <w:jc w:val="center"/>
              <w:rPr>
                <w:kern w:val="28"/>
              </w:rPr>
            </w:pPr>
          </w:p>
        </w:tc>
        <w:tc>
          <w:tcPr>
            <w:tcW w:w="1418" w:type="dxa"/>
            <w:tcBorders>
              <w:top w:val="single" w:sz="4" w:space="0" w:color="808080"/>
              <w:left w:val="single" w:sz="4" w:space="0" w:color="auto"/>
              <w:bottom w:val="single" w:sz="4" w:space="0" w:color="808080"/>
              <w:right w:val="single" w:sz="8" w:space="0" w:color="808080" w:themeColor="background1" w:themeShade="80"/>
            </w:tcBorders>
            <w:shd w:val="clear" w:color="auto" w:fill="auto"/>
            <w:vAlign w:val="center"/>
          </w:tcPr>
          <w:p w:rsidR="0070337A" w:rsidRPr="00C36C8F" w:rsidRDefault="0070337A" w:rsidP="002B42C3">
            <w:pPr>
              <w:pStyle w:val="TableHeading"/>
              <w:jc w:val="center"/>
              <w:rPr>
                <w:kern w:val="28"/>
              </w:rPr>
            </w:pPr>
            <w:r>
              <w:rPr>
                <w:kern w:val="28"/>
              </w:rPr>
              <w:t>Municipal</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70337A" w:rsidRPr="00C36C8F" w:rsidRDefault="0070337A" w:rsidP="002B42C3">
            <w:pPr>
              <w:pStyle w:val="TableHeading"/>
              <w:jc w:val="center"/>
              <w:rPr>
                <w:kern w:val="28"/>
              </w:rPr>
            </w:pPr>
            <w:r>
              <w:rPr>
                <w:kern w:val="28"/>
              </w:rPr>
              <w:t>C&amp;I</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vAlign w:val="center"/>
          </w:tcPr>
          <w:p w:rsidR="0070337A" w:rsidRPr="00C36C8F" w:rsidRDefault="0070337A" w:rsidP="002B42C3">
            <w:pPr>
              <w:pStyle w:val="TableHeading"/>
              <w:jc w:val="center"/>
              <w:rPr>
                <w:kern w:val="28"/>
              </w:rPr>
            </w:pPr>
            <w:r>
              <w:rPr>
                <w:kern w:val="28"/>
              </w:rPr>
              <w:t>C&amp;D</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vAlign w:val="center"/>
          </w:tcPr>
          <w:p w:rsidR="0070337A" w:rsidRPr="00C36C8F" w:rsidRDefault="0070337A" w:rsidP="002B42C3">
            <w:pPr>
              <w:pStyle w:val="TableHeading"/>
              <w:jc w:val="center"/>
              <w:rPr>
                <w:kern w:val="28"/>
              </w:rPr>
            </w:pPr>
            <w:r>
              <w:rPr>
                <w:kern w:val="28"/>
              </w:rPr>
              <w:t>Municipal</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70337A" w:rsidRPr="00C36C8F" w:rsidRDefault="0070337A" w:rsidP="002B42C3">
            <w:pPr>
              <w:pStyle w:val="TableHeading"/>
              <w:jc w:val="center"/>
              <w:rPr>
                <w:kern w:val="28"/>
              </w:rPr>
            </w:pPr>
            <w:r>
              <w:rPr>
                <w:kern w:val="28"/>
              </w:rPr>
              <w:t>C&amp;I</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vAlign w:val="center"/>
          </w:tcPr>
          <w:p w:rsidR="0070337A" w:rsidRPr="00C36C8F" w:rsidRDefault="0070337A" w:rsidP="002B42C3">
            <w:pPr>
              <w:pStyle w:val="TableHeading"/>
              <w:jc w:val="center"/>
              <w:rPr>
                <w:kern w:val="28"/>
              </w:rPr>
            </w:pPr>
            <w:r>
              <w:rPr>
                <w:kern w:val="28"/>
              </w:rPr>
              <w:t>C&amp;D</w:t>
            </w:r>
          </w:p>
        </w:tc>
        <w:tc>
          <w:tcPr>
            <w:tcW w:w="1275" w:type="dxa"/>
            <w:tcBorders>
              <w:top w:val="single" w:sz="4" w:space="0" w:color="808080"/>
              <w:left w:val="single" w:sz="12" w:space="0" w:color="808080" w:themeColor="background1" w:themeShade="80"/>
              <w:bottom w:val="single" w:sz="4" w:space="0" w:color="808080"/>
            </w:tcBorders>
            <w:vAlign w:val="center"/>
          </w:tcPr>
          <w:p w:rsidR="0070337A" w:rsidRPr="00774BF1" w:rsidRDefault="0070337A" w:rsidP="002B42C3">
            <w:pPr>
              <w:pStyle w:val="TableHeading"/>
              <w:jc w:val="center"/>
              <w:rPr>
                <w:kern w:val="28"/>
              </w:rPr>
            </w:pPr>
            <w:r>
              <w:rPr>
                <w:kern w:val="28"/>
              </w:rPr>
              <w:t>Municipal</w:t>
            </w:r>
          </w:p>
        </w:tc>
        <w:tc>
          <w:tcPr>
            <w:tcW w:w="1418" w:type="dxa"/>
            <w:tcBorders>
              <w:top w:val="single" w:sz="4" w:space="0" w:color="808080"/>
              <w:left w:val="single" w:sz="8" w:space="0" w:color="808080" w:themeColor="background1" w:themeShade="80"/>
              <w:bottom w:val="single" w:sz="4" w:space="0" w:color="808080"/>
            </w:tcBorders>
            <w:vAlign w:val="center"/>
          </w:tcPr>
          <w:p w:rsidR="0070337A" w:rsidRPr="00C36C8F" w:rsidRDefault="0070337A" w:rsidP="002B42C3">
            <w:pPr>
              <w:pStyle w:val="TableHeading"/>
              <w:jc w:val="center"/>
              <w:rPr>
                <w:kern w:val="28"/>
              </w:rPr>
            </w:pPr>
            <w:r>
              <w:rPr>
                <w:kern w:val="28"/>
              </w:rPr>
              <w:t>C&amp;I</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vAlign w:val="center"/>
          </w:tcPr>
          <w:p w:rsidR="0070337A" w:rsidRPr="00C36C8F" w:rsidRDefault="0070337A" w:rsidP="002B42C3">
            <w:pPr>
              <w:pStyle w:val="TableHeading"/>
              <w:jc w:val="center"/>
              <w:rPr>
                <w:kern w:val="28"/>
              </w:rPr>
            </w:pPr>
            <w:r>
              <w:rPr>
                <w:kern w:val="28"/>
              </w:rPr>
              <w:t>C&amp;D</w:t>
            </w:r>
          </w:p>
        </w:tc>
      </w:tr>
      <w:tr w:rsidR="00216070" w:rsidRPr="00C36C8F" w:rsidTr="00DF3FE6">
        <w:tc>
          <w:tcPr>
            <w:tcW w:w="1417" w:type="dxa"/>
            <w:tcBorders>
              <w:top w:val="single" w:sz="4" w:space="0" w:color="auto"/>
              <w:left w:val="single" w:sz="12" w:space="0" w:color="808080" w:themeColor="background1" w:themeShade="80"/>
              <w:bottom w:val="single" w:sz="4" w:space="0" w:color="808080"/>
            </w:tcBorders>
            <w:shd w:val="clear" w:color="auto" w:fill="auto"/>
          </w:tcPr>
          <w:p w:rsidR="00216070" w:rsidRPr="00C36C8F" w:rsidRDefault="00216070" w:rsidP="002B42C3">
            <w:pPr>
              <w:pStyle w:val="TableText"/>
            </w:pPr>
            <w:r>
              <w:t>NSW</w:t>
            </w:r>
          </w:p>
        </w:tc>
        <w:tc>
          <w:tcPr>
            <w:tcW w:w="1418" w:type="dxa"/>
            <w:tcBorders>
              <w:top w:val="single" w:sz="4" w:space="0" w:color="auto"/>
              <w:bottom w:val="single" w:sz="4" w:space="0" w:color="808080"/>
              <w:right w:val="single" w:sz="12" w:space="0" w:color="808080" w:themeColor="background1" w:themeShade="80"/>
            </w:tcBorders>
            <w:vAlign w:val="center"/>
          </w:tcPr>
          <w:p w:rsidR="00216070" w:rsidRPr="009B4AF4" w:rsidRDefault="00216070" w:rsidP="002B42C3">
            <w:pPr>
              <w:pStyle w:val="TableText"/>
              <w:jc w:val="right"/>
              <w:rPr>
                <w:rFonts w:cs="Arial"/>
                <w:color w:val="000000"/>
                <w:szCs w:val="18"/>
              </w:rPr>
            </w:pPr>
            <w:r w:rsidRPr="009B4AF4">
              <w:rPr>
                <w:rFonts w:cs="Arial"/>
                <w:color w:val="000000"/>
                <w:szCs w:val="18"/>
              </w:rPr>
              <w:t>7,099,714</w:t>
            </w:r>
            <w:r>
              <w:rPr>
                <w:rFonts w:cs="Arial"/>
                <w:color w:val="000000"/>
                <w:szCs w:val="18"/>
              </w:rPr>
              <w:t xml:space="preserve">  </w:t>
            </w:r>
            <w:r w:rsidRPr="009B4AF4">
              <w:rPr>
                <w:rFonts w:cs="Arial"/>
                <w:color w:val="000000"/>
                <w:szCs w:val="18"/>
              </w:rPr>
              <w:t xml:space="preserve">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1,863,500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2,863,500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4,829,000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56,943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32,201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5,710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1,920,443</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2,895,701</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4,834,710</w:t>
            </w:r>
          </w:p>
        </w:tc>
      </w:tr>
      <w:tr w:rsidR="00216070" w:rsidRPr="00C36C8F" w:rsidTr="0070337A">
        <w:tc>
          <w:tcPr>
            <w:tcW w:w="1417" w:type="dxa"/>
            <w:tcBorders>
              <w:top w:val="single" w:sz="4" w:space="0" w:color="808080"/>
              <w:left w:val="single" w:sz="12" w:space="0" w:color="808080" w:themeColor="background1" w:themeShade="80"/>
              <w:bottom w:val="single" w:sz="4" w:space="0" w:color="808080"/>
            </w:tcBorders>
            <w:shd w:val="clear" w:color="auto" w:fill="auto"/>
          </w:tcPr>
          <w:p w:rsidR="00216070" w:rsidRPr="00C36C8F" w:rsidRDefault="00216070" w:rsidP="002B42C3">
            <w:pPr>
              <w:pStyle w:val="TableText"/>
            </w:pPr>
            <w:r>
              <w:t>Vic</w:t>
            </w:r>
          </w:p>
        </w:tc>
        <w:tc>
          <w:tcPr>
            <w:tcW w:w="1418" w:type="dxa"/>
            <w:tcBorders>
              <w:top w:val="single" w:sz="4" w:space="0" w:color="808080"/>
              <w:bottom w:val="single" w:sz="4" w:space="0" w:color="808080"/>
              <w:right w:val="single" w:sz="12" w:space="0" w:color="808080" w:themeColor="background1" w:themeShade="80"/>
            </w:tcBorders>
            <w:vAlign w:val="center"/>
          </w:tcPr>
          <w:p w:rsidR="00216070" w:rsidRPr="009B4AF4" w:rsidRDefault="00216070" w:rsidP="002B42C3">
            <w:pPr>
              <w:pStyle w:val="TableText"/>
              <w:jc w:val="right"/>
              <w:rPr>
                <w:rFonts w:cs="Arial"/>
                <w:color w:val="000000"/>
                <w:szCs w:val="18"/>
              </w:rPr>
            </w:pPr>
            <w:r w:rsidRPr="009B4AF4">
              <w:rPr>
                <w:rFonts w:cs="Arial"/>
                <w:color w:val="000000"/>
                <w:szCs w:val="18"/>
              </w:rPr>
              <w:t xml:space="preserve">5,427,681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985,587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1,903,194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2,602,181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30,273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32,755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3,035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1,015,860</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1,935,949</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2,605,216</w:t>
            </w:r>
          </w:p>
        </w:tc>
      </w:tr>
      <w:tr w:rsidR="00216070" w:rsidRPr="00C36C8F" w:rsidTr="0070337A">
        <w:tc>
          <w:tcPr>
            <w:tcW w:w="1417" w:type="dxa"/>
            <w:tcBorders>
              <w:top w:val="single" w:sz="4" w:space="0" w:color="808080"/>
              <w:left w:val="single" w:sz="12" w:space="0" w:color="808080" w:themeColor="background1" w:themeShade="80"/>
              <w:bottom w:val="single" w:sz="4" w:space="0" w:color="808080"/>
            </w:tcBorders>
            <w:shd w:val="clear" w:color="auto" w:fill="auto"/>
          </w:tcPr>
          <w:p w:rsidR="00216070" w:rsidRPr="00C36C8F" w:rsidRDefault="00216070" w:rsidP="002B42C3">
            <w:pPr>
              <w:pStyle w:val="TableText"/>
            </w:pPr>
            <w:r>
              <w:t>Qld</w:t>
            </w:r>
          </w:p>
        </w:tc>
        <w:tc>
          <w:tcPr>
            <w:tcW w:w="1418" w:type="dxa"/>
            <w:tcBorders>
              <w:top w:val="single" w:sz="4" w:space="0" w:color="808080"/>
              <w:bottom w:val="single" w:sz="4" w:space="0" w:color="808080"/>
              <w:right w:val="single" w:sz="12" w:space="0" w:color="808080" w:themeColor="background1" w:themeShade="80"/>
            </w:tcBorders>
            <w:vAlign w:val="center"/>
          </w:tcPr>
          <w:p w:rsidR="00216070" w:rsidRPr="009B4AF4" w:rsidRDefault="00216070" w:rsidP="002B42C3">
            <w:pPr>
              <w:pStyle w:val="TableText"/>
              <w:jc w:val="right"/>
              <w:rPr>
                <w:rFonts w:cs="Arial"/>
                <w:color w:val="000000"/>
                <w:szCs w:val="18"/>
              </w:rPr>
            </w:pPr>
            <w:r w:rsidRPr="009B4AF4">
              <w:rPr>
                <w:rFonts w:cs="Arial"/>
                <w:color w:val="000000"/>
                <w:szCs w:val="18"/>
              </w:rPr>
              <w:t xml:space="preserve">4,406,823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1,839,145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983,687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1,278,966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20,406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13,685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2,046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1,859,550</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997,372</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1,281,012</w:t>
            </w:r>
          </w:p>
        </w:tc>
      </w:tr>
      <w:tr w:rsidR="00216070" w:rsidRPr="00C36C8F" w:rsidTr="0070337A">
        <w:tc>
          <w:tcPr>
            <w:tcW w:w="1417" w:type="dxa"/>
            <w:tcBorders>
              <w:top w:val="single" w:sz="4" w:space="0" w:color="808080"/>
              <w:left w:val="single" w:sz="12" w:space="0" w:color="808080" w:themeColor="background1" w:themeShade="80"/>
              <w:bottom w:val="single" w:sz="4" w:space="0" w:color="808080"/>
            </w:tcBorders>
            <w:shd w:val="clear" w:color="auto" w:fill="auto"/>
          </w:tcPr>
          <w:p w:rsidR="00216070" w:rsidRPr="00C36C8F" w:rsidRDefault="00216070" w:rsidP="002B42C3">
            <w:pPr>
              <w:pStyle w:val="TableText"/>
            </w:pPr>
            <w:r>
              <w:t>SA</w:t>
            </w:r>
          </w:p>
        </w:tc>
        <w:tc>
          <w:tcPr>
            <w:tcW w:w="1418" w:type="dxa"/>
            <w:tcBorders>
              <w:top w:val="single" w:sz="4" w:space="0" w:color="808080"/>
              <w:bottom w:val="single" w:sz="4" w:space="0" w:color="808080"/>
              <w:right w:val="single" w:sz="12" w:space="0" w:color="808080" w:themeColor="background1" w:themeShade="80"/>
            </w:tcBorders>
            <w:vAlign w:val="center"/>
          </w:tcPr>
          <w:p w:rsidR="00216070" w:rsidRPr="009B4AF4" w:rsidRDefault="00216070" w:rsidP="002B42C3">
            <w:pPr>
              <w:pStyle w:val="TableText"/>
              <w:jc w:val="right"/>
              <w:rPr>
                <w:rFonts w:cs="Arial"/>
                <w:color w:val="000000"/>
                <w:szCs w:val="18"/>
              </w:rPr>
            </w:pPr>
            <w:r w:rsidRPr="009B4AF4">
              <w:rPr>
                <w:rFonts w:cs="Arial"/>
                <w:color w:val="000000"/>
                <w:szCs w:val="18"/>
              </w:rPr>
              <w:t xml:space="preserve">1,622,712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381,146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477,448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1,321,451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14,499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6,168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81,305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395,645</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483,615</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1,402,756</w:t>
            </w:r>
          </w:p>
        </w:tc>
      </w:tr>
      <w:tr w:rsidR="00216070" w:rsidRPr="00C36C8F" w:rsidTr="0070337A">
        <w:tc>
          <w:tcPr>
            <w:tcW w:w="1417" w:type="dxa"/>
            <w:tcBorders>
              <w:top w:val="single" w:sz="4" w:space="0" w:color="808080"/>
              <w:left w:val="single" w:sz="12" w:space="0" w:color="808080" w:themeColor="background1" w:themeShade="80"/>
              <w:bottom w:val="single" w:sz="4" w:space="0" w:color="808080"/>
            </w:tcBorders>
            <w:shd w:val="clear" w:color="auto" w:fill="auto"/>
          </w:tcPr>
          <w:p w:rsidR="00216070" w:rsidRPr="00C36C8F" w:rsidRDefault="00216070" w:rsidP="002B42C3">
            <w:pPr>
              <w:pStyle w:val="TableText"/>
            </w:pPr>
            <w:r>
              <w:t>WA</w:t>
            </w:r>
          </w:p>
        </w:tc>
        <w:tc>
          <w:tcPr>
            <w:tcW w:w="1418" w:type="dxa"/>
            <w:tcBorders>
              <w:top w:val="single" w:sz="4" w:space="0" w:color="808080"/>
              <w:bottom w:val="single" w:sz="4" w:space="0" w:color="808080"/>
              <w:right w:val="single" w:sz="12" w:space="0" w:color="808080" w:themeColor="background1" w:themeShade="80"/>
            </w:tcBorders>
            <w:vAlign w:val="center"/>
          </w:tcPr>
          <w:p w:rsidR="00216070" w:rsidRPr="009B4AF4" w:rsidRDefault="00216070" w:rsidP="002B42C3">
            <w:pPr>
              <w:pStyle w:val="TableText"/>
              <w:jc w:val="right"/>
              <w:rPr>
                <w:rFonts w:cs="Arial"/>
                <w:color w:val="000000"/>
                <w:szCs w:val="18"/>
              </w:rPr>
            </w:pPr>
            <w:r w:rsidRPr="009B4AF4">
              <w:rPr>
                <w:rFonts w:cs="Arial"/>
                <w:color w:val="000000"/>
                <w:szCs w:val="18"/>
              </w:rPr>
              <w:t xml:space="preserve">2,236,901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511,374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513,493 </w:t>
            </w:r>
          </w:p>
        </w:tc>
        <w:tc>
          <w:tcPr>
            <w:tcW w:w="1275"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839,589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16,479 </w:t>
            </w:r>
          </w:p>
        </w:tc>
        <w:tc>
          <w:tcPr>
            <w:tcW w:w="1276" w:type="dxa"/>
            <w:tcBorders>
              <w:top w:val="single" w:sz="4" w:space="0" w:color="8080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7,010 </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1,652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527,853</w:t>
            </w:r>
          </w:p>
        </w:tc>
        <w:tc>
          <w:tcPr>
            <w:tcW w:w="1418" w:type="dxa"/>
            <w:tcBorders>
              <w:top w:val="single" w:sz="4" w:space="0" w:color="808080"/>
              <w:left w:val="single" w:sz="8"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520,503</w:t>
            </w:r>
          </w:p>
        </w:tc>
        <w:tc>
          <w:tcPr>
            <w:tcW w:w="1276" w:type="dxa"/>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841,241</w:t>
            </w:r>
          </w:p>
        </w:tc>
      </w:tr>
      <w:tr w:rsidR="00216070" w:rsidRPr="00C36C8F" w:rsidTr="0070337A">
        <w:tc>
          <w:tcPr>
            <w:tcW w:w="1417" w:type="dxa"/>
            <w:tcBorders>
              <w:top w:val="single" w:sz="4" w:space="0" w:color="808080"/>
              <w:left w:val="single" w:sz="12" w:space="0" w:color="808080" w:themeColor="background1" w:themeShade="80"/>
              <w:bottom w:val="single" w:sz="4" w:space="0" w:color="808080"/>
            </w:tcBorders>
            <w:shd w:val="clear" w:color="auto" w:fill="auto"/>
            <w:vAlign w:val="center"/>
          </w:tcPr>
          <w:p w:rsidR="00216070" w:rsidRPr="00C36C8F" w:rsidRDefault="00216070" w:rsidP="002B42C3">
            <w:pPr>
              <w:pStyle w:val="TableText"/>
            </w:pPr>
            <w:r>
              <w:t>Tas</w:t>
            </w:r>
          </w:p>
        </w:tc>
        <w:tc>
          <w:tcPr>
            <w:tcW w:w="1418" w:type="dxa"/>
            <w:tcBorders>
              <w:top w:val="single" w:sz="4" w:space="0" w:color="808080"/>
              <w:bottom w:val="single" w:sz="4" w:space="0" w:color="808080"/>
              <w:right w:val="single" w:sz="12" w:space="0" w:color="808080" w:themeColor="background1" w:themeShade="80"/>
            </w:tcBorders>
            <w:vAlign w:val="center"/>
          </w:tcPr>
          <w:p w:rsidR="00216070" w:rsidRPr="009B4AF4" w:rsidRDefault="00216070" w:rsidP="002B42C3">
            <w:pPr>
              <w:pStyle w:val="TableText"/>
              <w:jc w:val="right"/>
              <w:rPr>
                <w:rFonts w:cs="Arial"/>
                <w:color w:val="000000"/>
                <w:szCs w:val="18"/>
              </w:rPr>
            </w:pPr>
            <w:r w:rsidRPr="009B4AF4">
              <w:rPr>
                <w:rFonts w:cs="Arial"/>
                <w:color w:val="000000"/>
                <w:szCs w:val="18"/>
              </w:rPr>
              <w:t xml:space="preserve">502,627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39,468 </w:t>
            </w:r>
          </w:p>
        </w:tc>
        <w:tc>
          <w:tcPr>
            <w:tcW w:w="2551"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9B4AF4" w:rsidRDefault="00216070" w:rsidP="002B42C3">
            <w:pPr>
              <w:pStyle w:val="TableText"/>
              <w:jc w:val="center"/>
              <w:rPr>
                <w:rFonts w:cs="Arial"/>
                <w:color w:val="000000"/>
                <w:szCs w:val="18"/>
              </w:rPr>
            </w:pPr>
            <w:r w:rsidRPr="00216070">
              <w:rPr>
                <w:rFonts w:cs="Arial"/>
                <w:color w:val="000000"/>
                <w:szCs w:val="18"/>
              </w:rPr>
              <w:t xml:space="preserve">37,471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6,020 </w:t>
            </w:r>
          </w:p>
        </w:tc>
        <w:tc>
          <w:tcPr>
            <w:tcW w:w="2552"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C21D99" w:rsidRDefault="00216070" w:rsidP="002B42C3">
            <w:pPr>
              <w:pStyle w:val="TableText"/>
              <w:jc w:val="center"/>
              <w:rPr>
                <w:rFonts w:cs="Arial"/>
                <w:color w:val="000000"/>
                <w:szCs w:val="18"/>
              </w:rPr>
            </w:pPr>
            <w:r w:rsidRPr="00216070">
              <w:rPr>
                <w:rFonts w:cs="Arial"/>
                <w:color w:val="000000"/>
                <w:szCs w:val="18"/>
              </w:rPr>
              <w:t xml:space="preserve">3,165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45,488</w:t>
            </w:r>
          </w:p>
        </w:tc>
        <w:tc>
          <w:tcPr>
            <w:tcW w:w="2694"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216070" w:rsidRPr="00EB4C97" w:rsidRDefault="00216070" w:rsidP="002B42C3">
            <w:pPr>
              <w:pStyle w:val="TableText"/>
              <w:jc w:val="center"/>
              <w:rPr>
                <w:rFonts w:cs="Arial"/>
                <w:color w:val="000000"/>
                <w:szCs w:val="18"/>
              </w:rPr>
            </w:pPr>
            <w:r w:rsidRPr="00216070">
              <w:rPr>
                <w:rFonts w:cs="Arial"/>
                <w:color w:val="000000"/>
                <w:szCs w:val="18"/>
              </w:rPr>
              <w:t>40,636</w:t>
            </w:r>
          </w:p>
        </w:tc>
      </w:tr>
      <w:tr w:rsidR="00216070" w:rsidRPr="00C36C8F" w:rsidTr="0070337A">
        <w:tc>
          <w:tcPr>
            <w:tcW w:w="1417" w:type="dxa"/>
            <w:tcBorders>
              <w:top w:val="single" w:sz="4" w:space="0" w:color="808080"/>
              <w:left w:val="single" w:sz="12" w:space="0" w:color="808080" w:themeColor="background1" w:themeShade="80"/>
              <w:bottom w:val="single" w:sz="4" w:space="0" w:color="808080"/>
            </w:tcBorders>
            <w:shd w:val="clear" w:color="auto" w:fill="auto"/>
          </w:tcPr>
          <w:p w:rsidR="00216070" w:rsidRPr="00C36C8F" w:rsidRDefault="00216070" w:rsidP="002B42C3">
            <w:pPr>
              <w:pStyle w:val="TableText"/>
            </w:pPr>
            <w:r>
              <w:t>ACT</w:t>
            </w:r>
          </w:p>
        </w:tc>
        <w:tc>
          <w:tcPr>
            <w:tcW w:w="1418" w:type="dxa"/>
            <w:tcBorders>
              <w:top w:val="single" w:sz="4" w:space="0" w:color="808080"/>
              <w:bottom w:val="single" w:sz="4" w:space="0" w:color="808080"/>
              <w:right w:val="single" w:sz="12" w:space="0" w:color="808080" w:themeColor="background1" w:themeShade="80"/>
            </w:tcBorders>
            <w:vAlign w:val="center"/>
          </w:tcPr>
          <w:p w:rsidR="00216070" w:rsidRPr="009B4AF4" w:rsidRDefault="00216070" w:rsidP="002B42C3">
            <w:pPr>
              <w:pStyle w:val="TableText"/>
              <w:jc w:val="right"/>
              <w:rPr>
                <w:rFonts w:cs="Arial"/>
                <w:color w:val="000000"/>
                <w:szCs w:val="18"/>
              </w:rPr>
            </w:pPr>
            <w:r w:rsidRPr="009B4AF4">
              <w:rPr>
                <w:rFonts w:cs="Arial"/>
                <w:color w:val="000000"/>
                <w:szCs w:val="18"/>
              </w:rPr>
              <w:t xml:space="preserve">351,182 </w:t>
            </w:r>
          </w:p>
        </w:tc>
        <w:tc>
          <w:tcPr>
            <w:tcW w:w="1418"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114,107 </w:t>
            </w:r>
          </w:p>
        </w:tc>
        <w:tc>
          <w:tcPr>
            <w:tcW w:w="2551"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9B4AF4" w:rsidRDefault="00216070" w:rsidP="002B42C3">
            <w:pPr>
              <w:pStyle w:val="TableText"/>
              <w:jc w:val="center"/>
              <w:rPr>
                <w:rFonts w:cs="Arial"/>
                <w:color w:val="000000"/>
                <w:szCs w:val="18"/>
              </w:rPr>
            </w:pPr>
            <w:r w:rsidRPr="00216070">
              <w:rPr>
                <w:rFonts w:cs="Arial"/>
                <w:color w:val="000000"/>
                <w:szCs w:val="18"/>
              </w:rPr>
              <w:t xml:space="preserve">464,226 </w:t>
            </w:r>
          </w:p>
        </w:tc>
        <w:tc>
          <w:tcPr>
            <w:tcW w:w="1276" w:type="dxa"/>
            <w:tcBorders>
              <w:top w:val="single" w:sz="4" w:space="0" w:color="808080"/>
              <w:left w:val="single" w:sz="12"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6,188 </w:t>
            </w:r>
          </w:p>
        </w:tc>
        <w:tc>
          <w:tcPr>
            <w:tcW w:w="2552"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shd w:val="clear" w:color="auto" w:fill="auto"/>
            <w:tcMar>
              <w:right w:w="142" w:type="dxa"/>
            </w:tcMar>
            <w:vAlign w:val="bottom"/>
          </w:tcPr>
          <w:p w:rsidR="00216070" w:rsidRPr="00C21D99" w:rsidRDefault="00216070" w:rsidP="002B42C3">
            <w:pPr>
              <w:pStyle w:val="TableText"/>
              <w:jc w:val="center"/>
              <w:rPr>
                <w:rFonts w:cs="Arial"/>
                <w:color w:val="000000"/>
                <w:szCs w:val="18"/>
              </w:rPr>
            </w:pPr>
            <w:r w:rsidRPr="00216070">
              <w:rPr>
                <w:rFonts w:cs="Arial"/>
                <w:color w:val="000000"/>
                <w:szCs w:val="18"/>
              </w:rPr>
              <w:t xml:space="preserve">3,253 </w:t>
            </w:r>
          </w:p>
        </w:tc>
        <w:tc>
          <w:tcPr>
            <w:tcW w:w="1275" w:type="dxa"/>
            <w:tcBorders>
              <w:top w:val="single" w:sz="4" w:space="0" w:color="808080"/>
              <w:left w:val="single" w:sz="12" w:space="0" w:color="808080" w:themeColor="background1" w:themeShade="80"/>
              <w:bottom w:val="single" w:sz="4" w:space="0" w:color="8080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120,295</w:t>
            </w:r>
          </w:p>
        </w:tc>
        <w:tc>
          <w:tcPr>
            <w:tcW w:w="2694" w:type="dxa"/>
            <w:gridSpan w:val="2"/>
            <w:tcBorders>
              <w:top w:val="single" w:sz="4" w:space="0" w:color="808080"/>
              <w:left w:val="single" w:sz="8" w:space="0" w:color="808080" w:themeColor="background1" w:themeShade="80"/>
              <w:bottom w:val="single" w:sz="4" w:space="0" w:color="808080"/>
              <w:right w:val="single" w:sz="12" w:space="0" w:color="808080" w:themeColor="background1" w:themeShade="80"/>
            </w:tcBorders>
            <w:tcMar>
              <w:right w:w="142" w:type="dxa"/>
            </w:tcMar>
            <w:vAlign w:val="bottom"/>
          </w:tcPr>
          <w:p w:rsidR="00216070" w:rsidRPr="00EB4C97" w:rsidRDefault="00216070" w:rsidP="002B42C3">
            <w:pPr>
              <w:pStyle w:val="TableText"/>
              <w:jc w:val="center"/>
              <w:rPr>
                <w:rFonts w:cs="Arial"/>
                <w:color w:val="000000"/>
                <w:szCs w:val="18"/>
              </w:rPr>
            </w:pPr>
            <w:r w:rsidRPr="00216070">
              <w:rPr>
                <w:rFonts w:cs="Arial"/>
                <w:color w:val="000000"/>
                <w:szCs w:val="18"/>
              </w:rPr>
              <w:t>467,478</w:t>
            </w:r>
          </w:p>
        </w:tc>
      </w:tr>
      <w:tr w:rsidR="00216070" w:rsidRPr="00C36C8F" w:rsidTr="0070337A">
        <w:tc>
          <w:tcPr>
            <w:tcW w:w="1417" w:type="dxa"/>
            <w:tcBorders>
              <w:top w:val="single" w:sz="4" w:space="0" w:color="808080"/>
              <w:left w:val="single" w:sz="12" w:space="0" w:color="808080" w:themeColor="background1" w:themeShade="80"/>
              <w:bottom w:val="single" w:sz="12" w:space="0" w:color="808080" w:themeColor="background1" w:themeShade="80"/>
            </w:tcBorders>
            <w:shd w:val="clear" w:color="auto" w:fill="auto"/>
          </w:tcPr>
          <w:p w:rsidR="00216070" w:rsidRPr="00C36C8F" w:rsidRDefault="00216070" w:rsidP="002B42C3">
            <w:pPr>
              <w:pStyle w:val="TableText"/>
            </w:pPr>
            <w:r>
              <w:t>NT</w:t>
            </w:r>
          </w:p>
        </w:tc>
        <w:tc>
          <w:tcPr>
            <w:tcW w:w="1418" w:type="dxa"/>
            <w:tcBorders>
              <w:top w:val="single" w:sz="4" w:space="0" w:color="808080"/>
              <w:bottom w:val="single" w:sz="12" w:space="0" w:color="808080" w:themeColor="background1" w:themeShade="80"/>
              <w:right w:val="single" w:sz="12" w:space="0" w:color="808080" w:themeColor="background1" w:themeShade="80"/>
            </w:tcBorders>
            <w:vAlign w:val="center"/>
          </w:tcPr>
          <w:p w:rsidR="00216070" w:rsidRPr="009B4AF4" w:rsidRDefault="00216070" w:rsidP="002B42C3">
            <w:pPr>
              <w:pStyle w:val="TableText"/>
              <w:jc w:val="right"/>
              <w:rPr>
                <w:rFonts w:cs="Arial"/>
                <w:color w:val="000000"/>
                <w:szCs w:val="18"/>
              </w:rPr>
            </w:pPr>
            <w:r w:rsidRPr="009B4AF4">
              <w:rPr>
                <w:rFonts w:cs="Arial"/>
                <w:color w:val="000000"/>
                <w:szCs w:val="18"/>
              </w:rPr>
              <w:t xml:space="preserve">224,848 </w:t>
            </w:r>
          </w:p>
        </w:tc>
        <w:tc>
          <w:tcPr>
            <w:tcW w:w="1418" w:type="dxa"/>
            <w:tcBorders>
              <w:top w:val="single" w:sz="4" w:space="0" w:color="8080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tcMar>
              <w:right w:w="142" w:type="dxa"/>
            </w:tcMar>
            <w:vAlign w:val="bottom"/>
          </w:tcPr>
          <w:p w:rsidR="00216070" w:rsidRPr="009B4AF4" w:rsidRDefault="00216070" w:rsidP="002B42C3">
            <w:pPr>
              <w:pStyle w:val="TableText"/>
              <w:jc w:val="right"/>
              <w:rPr>
                <w:rFonts w:cs="Arial"/>
                <w:color w:val="000000"/>
                <w:szCs w:val="18"/>
              </w:rPr>
            </w:pPr>
            <w:r w:rsidRPr="00216070">
              <w:rPr>
                <w:rFonts w:cs="Arial"/>
                <w:color w:val="000000"/>
                <w:szCs w:val="18"/>
              </w:rPr>
              <w:t xml:space="preserve">16,675 </w:t>
            </w:r>
          </w:p>
        </w:tc>
        <w:tc>
          <w:tcPr>
            <w:tcW w:w="2551" w:type="dxa"/>
            <w:gridSpan w:val="2"/>
            <w:tcBorders>
              <w:top w:val="single" w:sz="4" w:space="0" w:color="8080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tcMar>
              <w:right w:w="142" w:type="dxa"/>
            </w:tcMar>
            <w:vAlign w:val="bottom"/>
          </w:tcPr>
          <w:p w:rsidR="00216070" w:rsidRPr="009B4AF4" w:rsidRDefault="00216070" w:rsidP="002B42C3">
            <w:pPr>
              <w:pStyle w:val="TableText"/>
              <w:jc w:val="center"/>
              <w:rPr>
                <w:rFonts w:cs="Arial"/>
                <w:color w:val="000000"/>
                <w:szCs w:val="18"/>
              </w:rPr>
            </w:pPr>
            <w:r>
              <w:rPr>
                <w:rFonts w:cs="Arial"/>
                <w:color w:val="000000"/>
                <w:szCs w:val="18"/>
              </w:rPr>
              <w:t>-</w:t>
            </w:r>
          </w:p>
        </w:tc>
        <w:tc>
          <w:tcPr>
            <w:tcW w:w="1276" w:type="dxa"/>
            <w:tcBorders>
              <w:top w:val="single" w:sz="4" w:space="0" w:color="8080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tcMar>
              <w:right w:w="142" w:type="dxa"/>
            </w:tcMar>
            <w:vAlign w:val="bottom"/>
          </w:tcPr>
          <w:p w:rsidR="00216070" w:rsidRPr="00C21D99" w:rsidRDefault="00216070" w:rsidP="002B42C3">
            <w:pPr>
              <w:pStyle w:val="TableText"/>
              <w:jc w:val="right"/>
              <w:rPr>
                <w:rFonts w:cs="Arial"/>
                <w:color w:val="000000"/>
                <w:szCs w:val="18"/>
              </w:rPr>
            </w:pPr>
            <w:r w:rsidRPr="00216070">
              <w:rPr>
                <w:rFonts w:cs="Arial"/>
                <w:color w:val="000000"/>
                <w:szCs w:val="18"/>
              </w:rPr>
              <w:t xml:space="preserve">1,133 </w:t>
            </w:r>
          </w:p>
        </w:tc>
        <w:tc>
          <w:tcPr>
            <w:tcW w:w="2552" w:type="dxa"/>
            <w:gridSpan w:val="2"/>
            <w:tcBorders>
              <w:top w:val="single" w:sz="4" w:space="0" w:color="8080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tcMar>
              <w:right w:w="142" w:type="dxa"/>
            </w:tcMar>
            <w:vAlign w:val="bottom"/>
          </w:tcPr>
          <w:p w:rsidR="00216070" w:rsidRPr="00C21D99" w:rsidRDefault="00216070" w:rsidP="002B42C3">
            <w:pPr>
              <w:pStyle w:val="TableText"/>
              <w:jc w:val="center"/>
              <w:rPr>
                <w:rFonts w:cs="Arial"/>
                <w:color w:val="000000"/>
                <w:szCs w:val="18"/>
              </w:rPr>
            </w:pPr>
            <w:r w:rsidRPr="00216070">
              <w:rPr>
                <w:rFonts w:cs="Arial"/>
                <w:color w:val="000000"/>
                <w:szCs w:val="18"/>
              </w:rPr>
              <w:t xml:space="preserve">596 </w:t>
            </w:r>
          </w:p>
        </w:tc>
        <w:tc>
          <w:tcPr>
            <w:tcW w:w="1275" w:type="dxa"/>
            <w:tcBorders>
              <w:top w:val="single" w:sz="4" w:space="0" w:color="808080"/>
              <w:left w:val="single" w:sz="12" w:space="0" w:color="808080" w:themeColor="background1" w:themeShade="80"/>
              <w:bottom w:val="single" w:sz="12" w:space="0" w:color="808080" w:themeColor="background1" w:themeShade="80"/>
            </w:tcBorders>
            <w:tcMar>
              <w:right w:w="142" w:type="dxa"/>
            </w:tcMar>
            <w:vAlign w:val="bottom"/>
          </w:tcPr>
          <w:p w:rsidR="00216070" w:rsidRPr="00EB4C97" w:rsidRDefault="00216070" w:rsidP="002B42C3">
            <w:pPr>
              <w:pStyle w:val="TableText"/>
              <w:jc w:val="right"/>
              <w:rPr>
                <w:rFonts w:cs="Arial"/>
                <w:color w:val="000000"/>
                <w:szCs w:val="18"/>
              </w:rPr>
            </w:pPr>
            <w:r w:rsidRPr="00216070">
              <w:rPr>
                <w:rFonts w:cs="Arial"/>
                <w:color w:val="000000"/>
                <w:szCs w:val="18"/>
              </w:rPr>
              <w:t>17,808</w:t>
            </w:r>
          </w:p>
        </w:tc>
        <w:tc>
          <w:tcPr>
            <w:tcW w:w="2694" w:type="dxa"/>
            <w:gridSpan w:val="2"/>
            <w:tcBorders>
              <w:top w:val="single" w:sz="4" w:space="0" w:color="808080"/>
              <w:left w:val="single" w:sz="8" w:space="0" w:color="808080" w:themeColor="background1" w:themeShade="80"/>
              <w:bottom w:val="single" w:sz="12" w:space="0" w:color="808080" w:themeColor="background1" w:themeShade="80"/>
              <w:right w:val="single" w:sz="12" w:space="0" w:color="808080" w:themeColor="background1" w:themeShade="80"/>
            </w:tcBorders>
            <w:tcMar>
              <w:right w:w="142" w:type="dxa"/>
            </w:tcMar>
            <w:vAlign w:val="bottom"/>
          </w:tcPr>
          <w:p w:rsidR="00216070" w:rsidRPr="00EB4C97" w:rsidRDefault="00216070" w:rsidP="002B42C3">
            <w:pPr>
              <w:pStyle w:val="TableText"/>
              <w:jc w:val="center"/>
              <w:rPr>
                <w:rFonts w:cs="Arial"/>
                <w:color w:val="000000"/>
                <w:szCs w:val="18"/>
              </w:rPr>
            </w:pPr>
            <w:r w:rsidRPr="00216070">
              <w:rPr>
                <w:rFonts w:cs="Arial"/>
                <w:color w:val="000000"/>
                <w:szCs w:val="18"/>
              </w:rPr>
              <w:t>596</w:t>
            </w:r>
          </w:p>
        </w:tc>
      </w:tr>
      <w:tr w:rsidR="00216070" w:rsidRPr="00C36C8F" w:rsidTr="0070337A">
        <w:tc>
          <w:tcPr>
            <w:tcW w:w="1417" w:type="dxa"/>
            <w:tcBorders>
              <w:top w:val="single" w:sz="12" w:space="0" w:color="808080" w:themeColor="background1" w:themeShade="80"/>
              <w:left w:val="single" w:sz="12" w:space="0" w:color="808080" w:themeColor="background1" w:themeShade="80"/>
              <w:bottom w:val="single" w:sz="12" w:space="0" w:color="808080" w:themeColor="background1" w:themeShade="80"/>
            </w:tcBorders>
            <w:shd w:val="clear" w:color="auto" w:fill="auto"/>
          </w:tcPr>
          <w:p w:rsidR="00216070" w:rsidRPr="00216070" w:rsidRDefault="00216070" w:rsidP="002B42C3">
            <w:pPr>
              <w:pStyle w:val="TableText"/>
              <w:rPr>
                <w:b/>
              </w:rPr>
            </w:pPr>
            <w:r w:rsidRPr="00216070">
              <w:rPr>
                <w:b/>
              </w:rPr>
              <w:t>National</w:t>
            </w:r>
          </w:p>
        </w:tc>
        <w:tc>
          <w:tcPr>
            <w:tcW w:w="1418" w:type="dxa"/>
            <w:tcBorders>
              <w:top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rsidR="00216070" w:rsidRPr="00216070" w:rsidRDefault="00216070" w:rsidP="002B42C3">
            <w:pPr>
              <w:pStyle w:val="TableText"/>
              <w:jc w:val="right"/>
              <w:rPr>
                <w:rFonts w:cs="Arial"/>
                <w:b/>
                <w:color w:val="000000"/>
                <w:szCs w:val="18"/>
              </w:rPr>
            </w:pPr>
            <w:r w:rsidRPr="00216070">
              <w:rPr>
                <w:rFonts w:cs="Arial"/>
                <w:b/>
                <w:color w:val="000000"/>
                <w:szCs w:val="18"/>
              </w:rPr>
              <w:t xml:space="preserve">21,872,488 </w:t>
            </w:r>
          </w:p>
        </w:tc>
        <w:tc>
          <w:tcPr>
            <w:tcW w:w="141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tcMar>
              <w:right w:w="142" w:type="dxa"/>
            </w:tcMar>
            <w:vAlign w:val="bottom"/>
          </w:tcPr>
          <w:p w:rsidR="00216070" w:rsidRPr="00216070" w:rsidRDefault="00216070" w:rsidP="002B42C3">
            <w:pPr>
              <w:pStyle w:val="TableText"/>
              <w:jc w:val="right"/>
              <w:rPr>
                <w:rFonts w:cs="Arial"/>
                <w:b/>
                <w:color w:val="000000"/>
                <w:szCs w:val="18"/>
              </w:rPr>
            </w:pPr>
            <w:r w:rsidRPr="00216070">
              <w:rPr>
                <w:rFonts w:cs="Arial"/>
                <w:b/>
                <w:color w:val="000000"/>
                <w:szCs w:val="18"/>
              </w:rPr>
              <w:t xml:space="preserve">5,751,001 </w:t>
            </w:r>
          </w:p>
        </w:tc>
        <w:tc>
          <w:tcPr>
            <w:tcW w:w="2551" w:type="dxa"/>
            <w:gridSpan w:val="2"/>
            <w:tcBorders>
              <w:top w:val="single" w:sz="12"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tcMar>
              <w:right w:w="142" w:type="dxa"/>
            </w:tcMar>
            <w:vAlign w:val="center"/>
          </w:tcPr>
          <w:p w:rsidR="00216070" w:rsidRPr="00216070" w:rsidRDefault="00216070" w:rsidP="002B42C3">
            <w:pPr>
              <w:pStyle w:val="TableText"/>
              <w:jc w:val="center"/>
              <w:rPr>
                <w:rFonts w:cs="Arial"/>
                <w:b/>
                <w:color w:val="000000"/>
                <w:szCs w:val="18"/>
              </w:rPr>
            </w:pPr>
            <w:r w:rsidRPr="00216070">
              <w:rPr>
                <w:rFonts w:cs="Arial"/>
                <w:b/>
                <w:color w:val="000000"/>
                <w:szCs w:val="18"/>
              </w:rPr>
              <w:t>18,114,206</w:t>
            </w:r>
          </w:p>
        </w:tc>
        <w:tc>
          <w:tcPr>
            <w:tcW w:w="127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tcMar>
              <w:right w:w="142" w:type="dxa"/>
            </w:tcMar>
            <w:vAlign w:val="bottom"/>
          </w:tcPr>
          <w:p w:rsidR="00216070" w:rsidRPr="00216070" w:rsidRDefault="00216070" w:rsidP="002B42C3">
            <w:pPr>
              <w:pStyle w:val="TableText"/>
              <w:jc w:val="right"/>
              <w:rPr>
                <w:rFonts w:cs="Arial"/>
                <w:b/>
                <w:color w:val="000000"/>
                <w:szCs w:val="18"/>
              </w:rPr>
            </w:pPr>
            <w:r w:rsidRPr="00216070">
              <w:rPr>
                <w:rFonts w:cs="Arial"/>
                <w:b/>
                <w:color w:val="000000"/>
                <w:szCs w:val="18"/>
              </w:rPr>
              <w:t xml:space="preserve">151,940 </w:t>
            </w:r>
          </w:p>
        </w:tc>
        <w:tc>
          <w:tcPr>
            <w:tcW w:w="2552" w:type="dxa"/>
            <w:gridSpan w:val="2"/>
            <w:tcBorders>
              <w:top w:val="single" w:sz="12"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tcMar>
              <w:right w:w="142" w:type="dxa"/>
            </w:tcMar>
            <w:vAlign w:val="bottom"/>
          </w:tcPr>
          <w:p w:rsidR="00216070" w:rsidRPr="00216070" w:rsidRDefault="00216070" w:rsidP="002B42C3">
            <w:pPr>
              <w:pStyle w:val="TableText"/>
              <w:jc w:val="center"/>
              <w:rPr>
                <w:rFonts w:cs="Arial"/>
                <w:b/>
                <w:color w:val="000000"/>
                <w:szCs w:val="18"/>
              </w:rPr>
            </w:pPr>
            <w:r w:rsidRPr="00216070">
              <w:rPr>
                <w:rFonts w:cs="Arial"/>
                <w:b/>
                <w:color w:val="000000"/>
                <w:szCs w:val="18"/>
              </w:rPr>
              <w:t xml:space="preserve">192,580 </w:t>
            </w:r>
          </w:p>
        </w:tc>
        <w:tc>
          <w:tcPr>
            <w:tcW w:w="1275" w:type="dxa"/>
            <w:tcBorders>
              <w:top w:val="single" w:sz="12" w:space="0" w:color="808080" w:themeColor="background1" w:themeShade="80"/>
              <w:left w:val="single" w:sz="12" w:space="0" w:color="808080" w:themeColor="background1" w:themeShade="80"/>
              <w:bottom w:val="single" w:sz="12" w:space="0" w:color="808080" w:themeColor="background1" w:themeShade="80"/>
            </w:tcBorders>
            <w:tcMar>
              <w:right w:w="142" w:type="dxa"/>
            </w:tcMar>
            <w:vAlign w:val="bottom"/>
          </w:tcPr>
          <w:p w:rsidR="00216070" w:rsidRPr="00216070" w:rsidRDefault="00216070" w:rsidP="002B42C3">
            <w:pPr>
              <w:pStyle w:val="TableText"/>
              <w:jc w:val="right"/>
              <w:rPr>
                <w:rFonts w:cs="Arial"/>
                <w:b/>
                <w:color w:val="000000"/>
                <w:szCs w:val="18"/>
              </w:rPr>
            </w:pPr>
            <w:r w:rsidRPr="00216070">
              <w:rPr>
                <w:rFonts w:cs="Arial"/>
                <w:b/>
                <w:color w:val="000000"/>
                <w:szCs w:val="18"/>
              </w:rPr>
              <w:t>5,902,942</w:t>
            </w:r>
          </w:p>
        </w:tc>
        <w:tc>
          <w:tcPr>
            <w:tcW w:w="2694" w:type="dxa"/>
            <w:gridSpan w:val="2"/>
            <w:tcBorders>
              <w:top w:val="single" w:sz="12"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tcMar>
              <w:right w:w="142" w:type="dxa"/>
            </w:tcMar>
            <w:vAlign w:val="bottom"/>
          </w:tcPr>
          <w:p w:rsidR="00216070" w:rsidRPr="00216070" w:rsidRDefault="00216070" w:rsidP="002B42C3">
            <w:pPr>
              <w:pStyle w:val="TableText"/>
              <w:jc w:val="center"/>
              <w:rPr>
                <w:rFonts w:cs="Arial"/>
                <w:b/>
                <w:color w:val="000000"/>
                <w:szCs w:val="18"/>
              </w:rPr>
            </w:pPr>
            <w:r w:rsidRPr="00216070">
              <w:rPr>
                <w:rFonts w:cs="Arial"/>
                <w:b/>
                <w:color w:val="000000"/>
                <w:szCs w:val="18"/>
              </w:rPr>
              <w:t>18,306,785</w:t>
            </w:r>
          </w:p>
        </w:tc>
      </w:tr>
      <w:tr w:rsidR="002B42C3" w:rsidRPr="00C36C8F" w:rsidTr="002B42C3">
        <w:tc>
          <w:tcPr>
            <w:tcW w:w="14601" w:type="dxa"/>
            <w:gridSpan w:val="11"/>
            <w:tcBorders>
              <w:top w:val="single" w:sz="18" w:space="0" w:color="808080" w:themeColor="background1" w:themeShade="80"/>
              <w:bottom w:val="single" w:sz="4" w:space="0" w:color="808080" w:themeColor="background1" w:themeShade="80"/>
            </w:tcBorders>
          </w:tcPr>
          <w:p w:rsidR="002B42C3" w:rsidRDefault="002B42C3" w:rsidP="002B42C3">
            <w:pPr>
              <w:pStyle w:val="TableText"/>
              <w:rPr>
                <w:sz w:val="16"/>
                <w:szCs w:val="16"/>
              </w:rPr>
            </w:pPr>
            <w:r w:rsidRPr="00C36C8F">
              <w:rPr>
                <w:sz w:val="16"/>
                <w:szCs w:val="16"/>
              </w:rPr>
              <w:t>All figures have been rounded. Minor discrepancies may occur between the stated totals and the sums of the component items, as totals are calculated using the component item values prior to rounding.</w:t>
            </w:r>
          </w:p>
          <w:p w:rsidR="002B42C3" w:rsidRDefault="002B42C3" w:rsidP="002B42C3">
            <w:pPr>
              <w:pStyle w:val="TableText"/>
              <w:rPr>
                <w:sz w:val="16"/>
                <w:szCs w:val="16"/>
              </w:rPr>
            </w:pPr>
            <w:r>
              <w:rPr>
                <w:sz w:val="16"/>
                <w:szCs w:val="16"/>
              </w:rPr>
              <w:t>It has not been possible to distinguish between the C&amp;I and C&amp;D waste streams in Tas, the ACT and the NT. In these jurisdictions combined C&amp;I and C&amp;D figures are provided.</w:t>
            </w:r>
          </w:p>
          <w:p w:rsidR="002B42C3" w:rsidRPr="00C36C8F" w:rsidRDefault="002B42C3" w:rsidP="002B42C3">
            <w:pPr>
              <w:pStyle w:val="TableText"/>
              <w:rPr>
                <w:sz w:val="16"/>
                <w:szCs w:val="16"/>
              </w:rPr>
            </w:pPr>
            <w:r>
              <w:rPr>
                <w:sz w:val="16"/>
                <w:szCs w:val="16"/>
              </w:rPr>
              <w:t>Combined C&amp;I and C&amp;D figures are provided for the national summary.</w:t>
            </w:r>
          </w:p>
        </w:tc>
      </w:tr>
    </w:tbl>
    <w:p w:rsidR="00CB6550" w:rsidRDefault="00CB6550" w:rsidP="00DE05C7">
      <w:pPr>
        <w:pStyle w:val="ParaIndent"/>
        <w:ind w:left="0"/>
      </w:pPr>
    </w:p>
    <w:p w:rsidR="00CB6550" w:rsidRDefault="00CB6550" w:rsidP="00DE05C7">
      <w:pPr>
        <w:pStyle w:val="ParaIndent"/>
        <w:ind w:left="0"/>
      </w:pPr>
    </w:p>
    <w:p w:rsidR="00CD2D28" w:rsidRDefault="00CD2D28" w:rsidP="00DE05C7">
      <w:pPr>
        <w:pStyle w:val="ParaIndent"/>
        <w:ind w:left="0"/>
      </w:pPr>
    </w:p>
    <w:p w:rsidR="00CD2D28" w:rsidRPr="00C36C8F" w:rsidRDefault="00CD2D28" w:rsidP="00DE05C7">
      <w:pPr>
        <w:pStyle w:val="ParaIndent"/>
        <w:ind w:left="0"/>
        <w:sectPr w:rsidR="00CD2D28" w:rsidRPr="00C36C8F" w:rsidSect="00860B52">
          <w:footerReference w:type="default" r:id="rId28"/>
          <w:pgSz w:w="16840" w:h="11907" w:orient="landscape" w:code="9"/>
          <w:pgMar w:top="1134" w:right="1134" w:bottom="1134" w:left="1134" w:header="567" w:footer="567" w:gutter="0"/>
          <w:cols w:space="708"/>
          <w:docGrid w:linePitch="360"/>
        </w:sectPr>
      </w:pPr>
    </w:p>
    <w:p w:rsidR="00DE05C7" w:rsidRPr="00C36C8F" w:rsidRDefault="00DE05C7" w:rsidP="00DE05C7">
      <w:pPr>
        <w:pStyle w:val="Heading2"/>
      </w:pPr>
      <w:bookmarkStart w:id="138" w:name="_Toc284316463"/>
      <w:bookmarkStart w:id="139" w:name="_Toc325020105"/>
      <w:bookmarkStart w:id="140" w:name="_Toc305049753"/>
      <w:r w:rsidRPr="00C36C8F">
        <w:t>New South Wales waste disposal and recovery</w:t>
      </w:r>
      <w:bookmarkEnd w:id="138"/>
      <w:bookmarkEnd w:id="139"/>
      <w:bookmarkEnd w:id="140"/>
    </w:p>
    <w:p w:rsidR="00DE05C7" w:rsidRPr="00C36C8F" w:rsidRDefault="00B9555F" w:rsidP="00F85334">
      <w:pPr>
        <w:pStyle w:val="ParaIndent"/>
        <w:jc w:val="both"/>
      </w:pPr>
      <w:r w:rsidRPr="00C36C8F">
        <w:fldChar w:fldCharType="begin"/>
      </w:r>
      <w:r w:rsidR="00DE05C7" w:rsidRPr="00C36C8F">
        <w:instrText xml:space="preserve"> REF _Ref284591241 \h </w:instrText>
      </w:r>
      <w:r w:rsidRPr="00C36C8F">
        <w:fldChar w:fldCharType="separate"/>
      </w:r>
      <w:r w:rsidR="00AE7E3B" w:rsidRPr="00C36C8F">
        <w:t xml:space="preserve">Table </w:t>
      </w:r>
      <w:r w:rsidR="00AE7E3B">
        <w:rPr>
          <w:noProof/>
        </w:rPr>
        <w:t>4</w:t>
      </w:r>
      <w:r w:rsidR="00AE7E3B" w:rsidRPr="00C36C8F">
        <w:t>-</w:t>
      </w:r>
      <w:r w:rsidR="00AE7E3B">
        <w:rPr>
          <w:noProof/>
        </w:rPr>
        <w:t>13</w:t>
      </w:r>
      <w:r w:rsidRPr="00C36C8F">
        <w:fldChar w:fldCharType="end"/>
      </w:r>
      <w:r w:rsidR="00DE05C7" w:rsidRPr="00C36C8F">
        <w:t xml:space="preserve"> provides an overview of the sources of NSW waste disposal and recovery data, upon which the jurisdictional review and national figures for the 2008</w:t>
      </w:r>
      <w:r w:rsidR="00BC2906" w:rsidRPr="00C36C8F">
        <w:t>–</w:t>
      </w:r>
      <w:r w:rsidR="003C4164" w:rsidRPr="00C36C8F">
        <w:t>0</w:t>
      </w:r>
      <w:r w:rsidR="00DE05C7" w:rsidRPr="00C36C8F">
        <w:t>9 reporting period are based.</w:t>
      </w:r>
      <w:r w:rsidR="00690F1F" w:rsidRPr="00C36C8F">
        <w:t xml:space="preserve"> </w:t>
      </w:r>
    </w:p>
    <w:p w:rsidR="00DE05C7" w:rsidRPr="00C36C8F" w:rsidRDefault="00DE05C7" w:rsidP="00DE05C7">
      <w:pPr>
        <w:pStyle w:val="Caption"/>
      </w:pPr>
      <w:bookmarkStart w:id="141" w:name="_Ref284591241"/>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13</w:t>
      </w:r>
      <w:r w:rsidR="00B9555F" w:rsidRPr="00C36C8F">
        <w:rPr>
          <w:noProof/>
        </w:rPr>
        <w:fldChar w:fldCharType="end"/>
      </w:r>
      <w:bookmarkEnd w:id="141"/>
      <w:r w:rsidRPr="00C36C8F">
        <w:tab/>
        <w:t>Sources of NSW waste disposal and recovery data</w:t>
      </w:r>
    </w:p>
    <w:tbl>
      <w:tblPr>
        <w:tblW w:w="0" w:type="auto"/>
        <w:tblInd w:w="1134" w:type="dxa"/>
        <w:tblBorders>
          <w:top w:val="single" w:sz="4" w:space="0" w:color="808080"/>
          <w:bottom w:val="single" w:sz="4" w:space="0" w:color="808080"/>
          <w:insideH w:val="single" w:sz="4" w:space="0" w:color="808080"/>
        </w:tblBorders>
        <w:tblCellMar>
          <w:left w:w="0" w:type="dxa"/>
          <w:right w:w="0" w:type="dxa"/>
        </w:tblCellMar>
        <w:tblLook w:val="01E0"/>
      </w:tblPr>
      <w:tblGrid>
        <w:gridCol w:w="1236"/>
        <w:gridCol w:w="2875"/>
        <w:gridCol w:w="4536"/>
      </w:tblGrid>
      <w:tr w:rsidR="00360A7A" w:rsidRPr="00C36C8F" w:rsidTr="00D11D58">
        <w:trPr>
          <w:cantSplit/>
          <w:tblHeader/>
        </w:trPr>
        <w:tc>
          <w:tcPr>
            <w:tcW w:w="0" w:type="auto"/>
            <w:shd w:val="clear" w:color="auto" w:fill="auto"/>
            <w:tcMar>
              <w:right w:w="142" w:type="dxa"/>
            </w:tcMar>
          </w:tcPr>
          <w:p w:rsidR="00360A7A" w:rsidRPr="00C36C8F" w:rsidRDefault="00360A7A" w:rsidP="00F2642F">
            <w:pPr>
              <w:pStyle w:val="TableHeading"/>
              <w:rPr>
                <w:kern w:val="28"/>
              </w:rPr>
            </w:pPr>
            <w:r w:rsidRPr="00C36C8F">
              <w:rPr>
                <w:kern w:val="28"/>
              </w:rPr>
              <w:t>Data field</w:t>
            </w:r>
          </w:p>
        </w:tc>
        <w:tc>
          <w:tcPr>
            <w:tcW w:w="2875" w:type="dxa"/>
            <w:shd w:val="clear" w:color="auto" w:fill="auto"/>
            <w:tcMar>
              <w:right w:w="142" w:type="dxa"/>
            </w:tcMar>
          </w:tcPr>
          <w:p w:rsidR="00360A7A" w:rsidRPr="00C36C8F" w:rsidRDefault="00360A7A" w:rsidP="00F2642F">
            <w:pPr>
              <w:pStyle w:val="TableHeading"/>
              <w:rPr>
                <w:kern w:val="28"/>
              </w:rPr>
            </w:pPr>
            <w:r w:rsidRPr="00C36C8F">
              <w:rPr>
                <w:kern w:val="28"/>
              </w:rPr>
              <w:t>Data Sources</w:t>
            </w:r>
          </w:p>
        </w:tc>
        <w:tc>
          <w:tcPr>
            <w:tcW w:w="4536" w:type="dxa"/>
            <w:tcMar>
              <w:right w:w="142" w:type="dxa"/>
            </w:tcMar>
          </w:tcPr>
          <w:p w:rsidR="00360A7A" w:rsidRPr="00C36C8F" w:rsidRDefault="00360A7A" w:rsidP="00F2642F">
            <w:pPr>
              <w:pStyle w:val="TableHeading"/>
              <w:rPr>
                <w:kern w:val="28"/>
              </w:rPr>
            </w:pPr>
            <w:r w:rsidRPr="00C36C8F">
              <w:rPr>
                <w:kern w:val="28"/>
              </w:rPr>
              <w:t>Data collation assumptions &amp; calculation methods</w:t>
            </w:r>
          </w:p>
        </w:tc>
      </w:tr>
      <w:tr w:rsidR="00360A7A" w:rsidRPr="00C36C8F" w:rsidTr="00D11D58">
        <w:trPr>
          <w:cantSplit/>
        </w:trPr>
        <w:tc>
          <w:tcPr>
            <w:tcW w:w="0" w:type="auto"/>
            <w:shd w:val="clear" w:color="auto" w:fill="auto"/>
            <w:tcMar>
              <w:right w:w="142" w:type="dxa"/>
            </w:tcMar>
          </w:tcPr>
          <w:p w:rsidR="00360A7A" w:rsidRPr="00C36C8F" w:rsidRDefault="00360A7A" w:rsidP="00F2642F">
            <w:pPr>
              <w:pStyle w:val="TableText"/>
            </w:pPr>
            <w:r w:rsidRPr="00C36C8F">
              <w:rPr>
                <w:szCs w:val="18"/>
              </w:rPr>
              <w:t>Population data</w:t>
            </w:r>
          </w:p>
        </w:tc>
        <w:tc>
          <w:tcPr>
            <w:tcW w:w="2875" w:type="dxa"/>
            <w:shd w:val="clear" w:color="auto" w:fill="auto"/>
            <w:tcMar>
              <w:right w:w="142" w:type="dxa"/>
            </w:tcMar>
          </w:tcPr>
          <w:p w:rsidR="00360A7A" w:rsidRPr="00C36C8F" w:rsidRDefault="00360A7A" w:rsidP="00F2642F">
            <w:pPr>
              <w:pStyle w:val="TableText"/>
            </w:pPr>
            <w:r w:rsidRPr="00C36C8F">
              <w:rPr>
                <w:szCs w:val="18"/>
              </w:rPr>
              <w:t xml:space="preserve">Australian Bureau of Statistics, </w:t>
            </w:r>
            <w:r w:rsidR="005338E9" w:rsidRPr="00C36C8F">
              <w:rPr>
                <w:i/>
                <w:szCs w:val="18"/>
              </w:rPr>
              <w:t>ABS Release 3101.04 – Estimated Resident Population, States and Territories (Number),</w:t>
            </w:r>
            <w:r w:rsidRPr="00C36C8F">
              <w:rPr>
                <w:szCs w:val="18"/>
              </w:rPr>
              <w:t xml:space="preserve"> June 2009, Canberra, Australia.</w:t>
            </w:r>
          </w:p>
        </w:tc>
        <w:tc>
          <w:tcPr>
            <w:tcW w:w="4536" w:type="dxa"/>
            <w:tcMar>
              <w:right w:w="142" w:type="dxa"/>
            </w:tcMar>
          </w:tcPr>
          <w:p w:rsidR="00360A7A" w:rsidRPr="00C36C8F" w:rsidRDefault="00360A7A" w:rsidP="00F2642F">
            <w:pPr>
              <w:pStyle w:val="TableText"/>
            </w:pPr>
            <w:r w:rsidRPr="00C36C8F">
              <w:rPr>
                <w:szCs w:val="18"/>
              </w:rPr>
              <w:t>None.</w:t>
            </w:r>
          </w:p>
        </w:tc>
      </w:tr>
      <w:tr w:rsidR="00360A7A" w:rsidRPr="00C36C8F" w:rsidTr="00D11D58">
        <w:trPr>
          <w:cantSplit/>
        </w:trPr>
        <w:tc>
          <w:tcPr>
            <w:tcW w:w="0" w:type="auto"/>
            <w:shd w:val="clear" w:color="auto" w:fill="auto"/>
            <w:tcMar>
              <w:right w:w="142" w:type="dxa"/>
            </w:tcMar>
          </w:tcPr>
          <w:p w:rsidR="00360A7A" w:rsidRPr="00C36C8F" w:rsidRDefault="00360A7A" w:rsidP="00F2642F">
            <w:pPr>
              <w:pStyle w:val="TableText"/>
            </w:pPr>
            <w:r w:rsidRPr="00C36C8F">
              <w:rPr>
                <w:szCs w:val="18"/>
              </w:rPr>
              <w:t>Disposal to landfill - total quantity</w:t>
            </w:r>
          </w:p>
        </w:tc>
        <w:tc>
          <w:tcPr>
            <w:tcW w:w="2875" w:type="dxa"/>
            <w:shd w:val="clear" w:color="auto" w:fill="auto"/>
            <w:tcMar>
              <w:right w:w="142" w:type="dxa"/>
            </w:tcMar>
          </w:tcPr>
          <w:p w:rsidR="00360A7A" w:rsidRPr="00C36C8F" w:rsidRDefault="00360A7A" w:rsidP="00427BE4">
            <w:pPr>
              <w:pStyle w:val="TableText"/>
            </w:pPr>
            <w:r w:rsidRPr="00C36C8F">
              <w:rPr>
                <w:szCs w:val="18"/>
              </w:rPr>
              <w:t xml:space="preserve">1. Department of Environment and Climate Change NSW, </w:t>
            </w:r>
            <w:r w:rsidR="005338E9" w:rsidRPr="00C36C8F">
              <w:rPr>
                <w:i/>
                <w:szCs w:val="18"/>
              </w:rPr>
              <w:t>Waste Avoidance and Resource</w:t>
            </w:r>
            <w:r w:rsidRPr="00C36C8F">
              <w:rPr>
                <w:szCs w:val="18"/>
              </w:rPr>
              <w:t xml:space="preserve"> </w:t>
            </w:r>
            <w:r w:rsidR="005338E9" w:rsidRPr="00C36C8F">
              <w:rPr>
                <w:i/>
                <w:szCs w:val="18"/>
              </w:rPr>
              <w:t>Recovery Strategy Progress Report, 2010</w:t>
            </w:r>
            <w:r w:rsidRPr="00C36C8F">
              <w:rPr>
                <w:szCs w:val="18"/>
              </w:rPr>
              <w:t>.</w:t>
            </w:r>
            <w:r w:rsidRPr="00C36C8F">
              <w:rPr>
                <w:szCs w:val="18"/>
              </w:rPr>
              <w:br/>
            </w:r>
            <w:r w:rsidR="00774036" w:rsidRPr="00C36C8F">
              <w:rPr>
                <w:szCs w:val="18"/>
              </w:rPr>
              <w:t>2</w:t>
            </w:r>
            <w:r w:rsidRPr="00C36C8F">
              <w:rPr>
                <w:szCs w:val="18"/>
              </w:rPr>
              <w:t xml:space="preserve">. Ash Development Association of Australia, </w:t>
            </w:r>
            <w:r w:rsidRPr="00C36C8F">
              <w:rPr>
                <w:i/>
                <w:szCs w:val="18"/>
              </w:rPr>
              <w:t>Annual membership survey results</w:t>
            </w:r>
            <w:r w:rsidRPr="00C36C8F">
              <w:rPr>
                <w:szCs w:val="18"/>
              </w:rPr>
              <w:t>: January - December 2009. Prepared by HBM Group Pty Ltd.</w:t>
            </w:r>
            <w:r w:rsidRPr="00C36C8F">
              <w:rPr>
                <w:szCs w:val="18"/>
              </w:rPr>
              <w:br/>
            </w:r>
            <w:r w:rsidR="00774036" w:rsidRPr="00C36C8F">
              <w:rPr>
                <w:szCs w:val="18"/>
              </w:rPr>
              <w:t>3</w:t>
            </w:r>
            <w:r w:rsidRPr="00C36C8F">
              <w:rPr>
                <w:szCs w:val="18"/>
              </w:rPr>
              <w:t>. Energy recovery estimates - various sources [Clean Energy Council (2010); Golder (2009); Green Energy Markets for Energy Developments (2008)].</w:t>
            </w:r>
          </w:p>
        </w:tc>
        <w:tc>
          <w:tcPr>
            <w:tcW w:w="4536" w:type="dxa"/>
            <w:tcMar>
              <w:right w:w="142" w:type="dxa"/>
            </w:tcMar>
          </w:tcPr>
          <w:p w:rsidR="00360A7A" w:rsidRPr="00C36C8F" w:rsidRDefault="00360A7A" w:rsidP="00427BE4">
            <w:pPr>
              <w:pStyle w:val="TableText"/>
            </w:pPr>
            <w:r w:rsidRPr="00C36C8F">
              <w:rPr>
                <w:szCs w:val="18"/>
              </w:rPr>
              <w:t>1. Total disposal to landfill data for NSW during 2008</w:t>
            </w:r>
            <w:r w:rsidR="003C4164" w:rsidRPr="00C36C8F">
              <w:t>–</w:t>
            </w:r>
            <w:r w:rsidRPr="00C36C8F">
              <w:rPr>
                <w:szCs w:val="18"/>
              </w:rPr>
              <w:t>09 was primarily based upon data in the DECC (2010) report.</w:t>
            </w:r>
            <w:r w:rsidRPr="00C36C8F">
              <w:rPr>
                <w:szCs w:val="18"/>
              </w:rPr>
              <w:br/>
            </w:r>
            <w:r w:rsidR="00774036" w:rsidRPr="00C36C8F">
              <w:rPr>
                <w:szCs w:val="18"/>
              </w:rPr>
              <w:t>2</w:t>
            </w:r>
            <w:r w:rsidRPr="00C36C8F">
              <w:rPr>
                <w:szCs w:val="18"/>
              </w:rPr>
              <w:t>. Fly ash disposal is based upon the national aggregated value, which is not disaggregated to the state level. NSW fly ash disposal is based upon the jurisdiction</w:t>
            </w:r>
            <w:r w:rsidR="003C4164" w:rsidRPr="00C36C8F">
              <w:rPr>
                <w:szCs w:val="18"/>
              </w:rPr>
              <w:t>’</w:t>
            </w:r>
            <w:r w:rsidRPr="00C36C8F">
              <w:rPr>
                <w:szCs w:val="18"/>
              </w:rPr>
              <w:t>s proportion of national installed capacity of coal fired power stations.</w:t>
            </w:r>
            <w:r w:rsidRPr="00C36C8F">
              <w:rPr>
                <w:szCs w:val="18"/>
              </w:rPr>
              <w:br/>
            </w:r>
            <w:r w:rsidR="00774036" w:rsidRPr="00C36C8F">
              <w:rPr>
                <w:szCs w:val="18"/>
              </w:rPr>
              <w:t>3</w:t>
            </w:r>
            <w:r w:rsidRPr="00C36C8F">
              <w:rPr>
                <w:szCs w:val="18"/>
              </w:rPr>
              <w:t>. An estimate of the relatively small quantity of organic materials recovered through energy recovery, was also subtracted from NSW disposal to landfill in 2008</w:t>
            </w:r>
            <w:r w:rsidR="00312CC0" w:rsidRPr="00C36C8F">
              <w:rPr>
                <w:szCs w:val="18"/>
              </w:rPr>
              <w:t>–</w:t>
            </w:r>
            <w:r w:rsidRPr="00C36C8F">
              <w:rPr>
                <w:szCs w:val="18"/>
              </w:rPr>
              <w:t>09. See Section 3.1 (Recommendation 6) for a detailed outline of the method applied to determine the total quantity of waste recovered through energy recovery processes.</w:t>
            </w:r>
          </w:p>
        </w:tc>
      </w:tr>
      <w:tr w:rsidR="00360A7A" w:rsidRPr="00C36C8F" w:rsidTr="00D11D58">
        <w:trPr>
          <w:cantSplit/>
        </w:trPr>
        <w:tc>
          <w:tcPr>
            <w:tcW w:w="0" w:type="auto"/>
            <w:shd w:val="clear" w:color="auto" w:fill="auto"/>
            <w:tcMar>
              <w:right w:w="142" w:type="dxa"/>
            </w:tcMar>
          </w:tcPr>
          <w:p w:rsidR="00360A7A" w:rsidRPr="00C36C8F" w:rsidRDefault="00360A7A" w:rsidP="00F2642F">
            <w:pPr>
              <w:spacing w:before="60" w:after="60" w:line="240" w:lineRule="atLeast"/>
              <w:ind w:left="0"/>
              <w:rPr>
                <w:sz w:val="18"/>
                <w:szCs w:val="18"/>
              </w:rPr>
            </w:pPr>
            <w:r w:rsidRPr="00C36C8F">
              <w:rPr>
                <w:sz w:val="18"/>
                <w:szCs w:val="18"/>
              </w:rPr>
              <w:t>Recycling - total quantity</w:t>
            </w:r>
          </w:p>
        </w:tc>
        <w:tc>
          <w:tcPr>
            <w:tcW w:w="2875" w:type="dxa"/>
            <w:shd w:val="clear" w:color="auto" w:fill="auto"/>
            <w:tcMar>
              <w:right w:w="142" w:type="dxa"/>
            </w:tcMar>
          </w:tcPr>
          <w:p w:rsidR="00360A7A" w:rsidRPr="00C36C8F" w:rsidRDefault="00360A7A" w:rsidP="00427BE4">
            <w:pPr>
              <w:spacing w:before="60" w:after="60" w:line="240" w:lineRule="atLeast"/>
              <w:ind w:left="0"/>
              <w:rPr>
                <w:sz w:val="18"/>
                <w:szCs w:val="18"/>
              </w:rPr>
            </w:pPr>
            <w:r w:rsidRPr="00C36C8F">
              <w:rPr>
                <w:sz w:val="18"/>
                <w:szCs w:val="18"/>
              </w:rPr>
              <w:t xml:space="preserve">1. Department of Environment and Climate Change NSW, </w:t>
            </w:r>
            <w:r w:rsidR="005338E9" w:rsidRPr="00C36C8F">
              <w:rPr>
                <w:i/>
                <w:sz w:val="18"/>
                <w:szCs w:val="18"/>
              </w:rPr>
              <w:t>Waste Avoidance and Resource, Recovery Strategy Progress Report, 2010.</w:t>
            </w:r>
            <w:r w:rsidR="005338E9" w:rsidRPr="00C36C8F">
              <w:rPr>
                <w:i/>
                <w:sz w:val="18"/>
                <w:szCs w:val="18"/>
              </w:rPr>
              <w:br/>
            </w:r>
            <w:r w:rsidRPr="00C36C8F">
              <w:rPr>
                <w:sz w:val="18"/>
                <w:szCs w:val="18"/>
              </w:rPr>
              <w:t>2. Recycled Organics Unit</w:t>
            </w:r>
            <w:r w:rsidR="002925FD">
              <w:rPr>
                <w:sz w:val="18"/>
                <w:szCs w:val="18"/>
              </w:rPr>
              <w:t xml:space="preserve"> (ROU)</w:t>
            </w:r>
            <w:r w:rsidRPr="00C36C8F">
              <w:rPr>
                <w:sz w:val="18"/>
                <w:szCs w:val="18"/>
              </w:rPr>
              <w:t xml:space="preserve">, </w:t>
            </w:r>
            <w:r w:rsidR="005338E9" w:rsidRPr="00C36C8F">
              <w:rPr>
                <w:i/>
                <w:sz w:val="18"/>
                <w:szCs w:val="18"/>
              </w:rPr>
              <w:t>Organics Recycling in Australia: Industry Statistics 2009, revised edition</w:t>
            </w:r>
            <w:r w:rsidRPr="00C36C8F">
              <w:rPr>
                <w:sz w:val="18"/>
                <w:szCs w:val="18"/>
              </w:rPr>
              <w:t xml:space="preserve"> December 2009.</w:t>
            </w:r>
            <w:r w:rsidRPr="00C36C8F">
              <w:rPr>
                <w:sz w:val="18"/>
                <w:szCs w:val="18"/>
              </w:rPr>
              <w:br/>
            </w:r>
            <w:r w:rsidR="00774036" w:rsidRPr="00C36C8F">
              <w:rPr>
                <w:sz w:val="18"/>
                <w:szCs w:val="18"/>
              </w:rPr>
              <w:t>3</w:t>
            </w:r>
            <w:r w:rsidRPr="00C36C8F">
              <w:rPr>
                <w:sz w:val="18"/>
                <w:szCs w:val="18"/>
              </w:rPr>
              <w:t>. Ash Development Association of Australia, Annual membership survey results: January - December 2009. Prepared by HBM Group Pty Ltd.</w:t>
            </w:r>
          </w:p>
        </w:tc>
        <w:tc>
          <w:tcPr>
            <w:tcW w:w="4536" w:type="dxa"/>
            <w:tcMar>
              <w:right w:w="142" w:type="dxa"/>
            </w:tcMar>
          </w:tcPr>
          <w:p w:rsidR="00360A7A" w:rsidRPr="00C36C8F" w:rsidRDefault="00360A7A" w:rsidP="00427BE4">
            <w:pPr>
              <w:spacing w:before="60" w:after="60" w:line="240" w:lineRule="atLeast"/>
              <w:ind w:left="0"/>
              <w:rPr>
                <w:sz w:val="18"/>
                <w:szCs w:val="18"/>
              </w:rPr>
            </w:pPr>
            <w:r w:rsidRPr="00C36C8F">
              <w:rPr>
                <w:sz w:val="18"/>
                <w:szCs w:val="18"/>
              </w:rPr>
              <w:t>1. Total recycling data for NSW during 2008</w:t>
            </w:r>
            <w:r w:rsidR="00312CC0" w:rsidRPr="00C36C8F">
              <w:rPr>
                <w:sz w:val="18"/>
                <w:szCs w:val="18"/>
              </w:rPr>
              <w:t>–</w:t>
            </w:r>
            <w:r w:rsidRPr="00C36C8F">
              <w:rPr>
                <w:sz w:val="18"/>
                <w:szCs w:val="18"/>
              </w:rPr>
              <w:t>09 was primarily based upon data in the DECC (2010) report.</w:t>
            </w:r>
            <w:r w:rsidRPr="00C36C8F">
              <w:rPr>
                <w:sz w:val="18"/>
                <w:szCs w:val="18"/>
              </w:rPr>
              <w:br/>
              <w:t>2. An exception to point 1 above relates to the quantification of organics recycling, which was sourced from ROU (2009). Primary production wastes relating to Recommendation 10 and 11 (Section 3.5) were excluded from the ROU (2009) data.</w:t>
            </w:r>
            <w:r w:rsidRPr="00C36C8F">
              <w:rPr>
                <w:sz w:val="18"/>
                <w:szCs w:val="18"/>
              </w:rPr>
              <w:br/>
            </w:r>
            <w:r w:rsidR="00774036" w:rsidRPr="00C36C8F">
              <w:rPr>
                <w:sz w:val="18"/>
                <w:szCs w:val="18"/>
              </w:rPr>
              <w:t>3</w:t>
            </w:r>
            <w:r w:rsidRPr="00C36C8F">
              <w:rPr>
                <w:sz w:val="18"/>
                <w:szCs w:val="18"/>
              </w:rPr>
              <w:t>. Fly ash recycling is based upon the national aggregated data. NSW fly ash recycling is based upon the jurisdiction</w:t>
            </w:r>
            <w:r w:rsidR="003C4164" w:rsidRPr="00C36C8F">
              <w:rPr>
                <w:sz w:val="18"/>
                <w:szCs w:val="18"/>
              </w:rPr>
              <w:t>’</w:t>
            </w:r>
            <w:r w:rsidRPr="00C36C8F">
              <w:rPr>
                <w:sz w:val="18"/>
                <w:szCs w:val="18"/>
              </w:rPr>
              <w:t>s proportion of national installed capacity of coal fired power stations.</w:t>
            </w:r>
          </w:p>
        </w:tc>
      </w:tr>
      <w:tr w:rsidR="00360A7A" w:rsidRPr="00C36C8F" w:rsidTr="00D11D58">
        <w:trPr>
          <w:cantSplit/>
        </w:trPr>
        <w:tc>
          <w:tcPr>
            <w:tcW w:w="0" w:type="auto"/>
            <w:shd w:val="clear" w:color="auto" w:fill="auto"/>
            <w:tcMar>
              <w:right w:w="142" w:type="dxa"/>
            </w:tcMar>
          </w:tcPr>
          <w:p w:rsidR="00360A7A" w:rsidRPr="00C36C8F" w:rsidRDefault="00383A21" w:rsidP="00F2642F">
            <w:pPr>
              <w:pStyle w:val="TableText"/>
            </w:pPr>
            <w:r w:rsidRPr="00C36C8F">
              <w:t>Energy recovery - total quantity</w:t>
            </w:r>
          </w:p>
        </w:tc>
        <w:tc>
          <w:tcPr>
            <w:tcW w:w="2875" w:type="dxa"/>
            <w:shd w:val="clear" w:color="auto" w:fill="auto"/>
            <w:tcMar>
              <w:right w:w="142" w:type="dxa"/>
            </w:tcMar>
          </w:tcPr>
          <w:p w:rsidR="00360A7A" w:rsidRPr="00C36C8F" w:rsidRDefault="00383A21" w:rsidP="00F2642F">
            <w:pPr>
              <w:pStyle w:val="TableText"/>
            </w:pPr>
            <w:r w:rsidRPr="00C36C8F">
              <w:t>1 Landfill and AWT energy recovery estimates - various sources [Clean Energy Council (2010); Golder (2009); Green Energy Markets for Energy Developments (2008)].</w:t>
            </w:r>
          </w:p>
        </w:tc>
        <w:tc>
          <w:tcPr>
            <w:tcW w:w="4536" w:type="dxa"/>
            <w:tcMar>
              <w:right w:w="142" w:type="dxa"/>
            </w:tcMar>
          </w:tcPr>
          <w:p w:rsidR="00360A7A" w:rsidRPr="00C36C8F" w:rsidRDefault="00383A21" w:rsidP="003C4164">
            <w:pPr>
              <w:pStyle w:val="TableText"/>
            </w:pPr>
            <w:r w:rsidRPr="00C36C8F">
              <w:t>1. The total quantity of waste recovered through energy recovery processes was calculated using the method outlined in detail in Section 3.1 (Recommendation 6). All energy recovery in NSW during 2008</w:t>
            </w:r>
            <w:r w:rsidR="006816F1" w:rsidRPr="00C36C8F">
              <w:t>–</w:t>
            </w:r>
            <w:r w:rsidRPr="00C36C8F">
              <w:t>09 was</w:t>
            </w:r>
            <w:r w:rsidR="003C4164" w:rsidRPr="00C36C8F">
              <w:t xml:space="preserve"> </w:t>
            </w:r>
            <w:r w:rsidRPr="00C36C8F">
              <w:t>through methane capture at landfills, sewage treatment plants and AWTs</w:t>
            </w:r>
            <w:r w:rsidR="00626A05" w:rsidRPr="00C36C8F">
              <w:t>.</w:t>
            </w:r>
            <w:r w:rsidRPr="00C36C8F">
              <w:t xml:space="preserve"> </w:t>
            </w:r>
            <w:r w:rsidR="00626A05" w:rsidRPr="00C36C8F">
              <w:t>T</w:t>
            </w:r>
            <w:r w:rsidRPr="00C36C8F">
              <w:t>here was no energy recovery from solid waste combustion identified.</w:t>
            </w:r>
          </w:p>
        </w:tc>
      </w:tr>
      <w:tr w:rsidR="00383A21" w:rsidRPr="00C36C8F" w:rsidTr="00D11D58">
        <w:trPr>
          <w:cantSplit/>
        </w:trPr>
        <w:tc>
          <w:tcPr>
            <w:tcW w:w="0" w:type="auto"/>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Disposal to landfill - waste stream splits</w:t>
            </w:r>
          </w:p>
        </w:tc>
        <w:tc>
          <w:tcPr>
            <w:tcW w:w="2875" w:type="dxa"/>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 xml:space="preserve">1. Department of Environment and Climate Change NSW, </w:t>
            </w:r>
            <w:r w:rsidR="005338E9" w:rsidRPr="00C36C8F">
              <w:rPr>
                <w:i/>
                <w:sz w:val="18"/>
                <w:szCs w:val="18"/>
              </w:rPr>
              <w:t>Waste Avoidance and Resource Recovery Strategy Progress Report, 2010</w:t>
            </w:r>
            <w:r w:rsidRPr="00C36C8F">
              <w:rPr>
                <w:sz w:val="18"/>
                <w:szCs w:val="18"/>
              </w:rPr>
              <w:t>.</w:t>
            </w:r>
          </w:p>
        </w:tc>
        <w:tc>
          <w:tcPr>
            <w:tcW w:w="4536" w:type="dxa"/>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1. Data for the disposal to landfill by waste stream was calculated using percentage estimates calculated from DECC (2010), and the "Disposal to landfill - total quantity" value previously estimated.</w:t>
            </w:r>
          </w:p>
        </w:tc>
      </w:tr>
      <w:tr w:rsidR="00383A21" w:rsidRPr="00C36C8F" w:rsidTr="00D11D58">
        <w:trPr>
          <w:cantSplit/>
        </w:trPr>
        <w:tc>
          <w:tcPr>
            <w:tcW w:w="0" w:type="auto"/>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Recycling - waste stream splits</w:t>
            </w:r>
          </w:p>
        </w:tc>
        <w:tc>
          <w:tcPr>
            <w:tcW w:w="2875" w:type="dxa"/>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 xml:space="preserve">1. Department of Environment and Climate Change NSW, </w:t>
            </w:r>
            <w:r w:rsidR="005338E9" w:rsidRPr="00C36C8F">
              <w:rPr>
                <w:i/>
                <w:sz w:val="18"/>
                <w:szCs w:val="18"/>
              </w:rPr>
              <w:t>Waste Avoidance and Resource</w:t>
            </w:r>
            <w:r w:rsidR="002B361D" w:rsidRPr="00C36C8F">
              <w:rPr>
                <w:i/>
                <w:sz w:val="18"/>
                <w:szCs w:val="18"/>
              </w:rPr>
              <w:t xml:space="preserve"> </w:t>
            </w:r>
            <w:r w:rsidR="005338E9" w:rsidRPr="00C36C8F">
              <w:rPr>
                <w:i/>
                <w:sz w:val="18"/>
                <w:szCs w:val="18"/>
              </w:rPr>
              <w:t>Recovery Strategy Progress Report, 2010.</w:t>
            </w:r>
            <w:r w:rsidRPr="00C36C8F">
              <w:rPr>
                <w:sz w:val="18"/>
                <w:szCs w:val="18"/>
              </w:rPr>
              <w:br/>
              <w:t>2. Ash Development Association of Australia, Annual membership survey results: January - December 2009. Prepared by HBM Group Pty Ltd.</w:t>
            </w:r>
          </w:p>
        </w:tc>
        <w:tc>
          <w:tcPr>
            <w:tcW w:w="4536" w:type="dxa"/>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1. Recycling by waste stream was primarily calculated using waste stream splits data estimated from DECC (2010), and the "Recycling - total quantity" value previously estimated.</w:t>
            </w:r>
            <w:r w:rsidRPr="00C36C8F">
              <w:rPr>
                <w:sz w:val="18"/>
                <w:szCs w:val="18"/>
              </w:rPr>
              <w:br/>
              <w:t>2. The exception to point 1 above was fly ash recycling data, which was sourced from ADAA (2009), all this material was categorised as sourced from the C&amp;I sector (see Section 3.3, Recommendation 14, for full details).</w:t>
            </w:r>
          </w:p>
        </w:tc>
      </w:tr>
      <w:tr w:rsidR="00383A21" w:rsidRPr="00C36C8F" w:rsidTr="00D11D58">
        <w:trPr>
          <w:cantSplit/>
        </w:trPr>
        <w:tc>
          <w:tcPr>
            <w:tcW w:w="0" w:type="auto"/>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Energy recovery - waste stream splits</w:t>
            </w:r>
          </w:p>
        </w:tc>
        <w:tc>
          <w:tcPr>
            <w:tcW w:w="2875" w:type="dxa"/>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1. Landfill and AWT energy recovery estimates - various sources [Clean Energy Council (2010); Golder (2009); Green Energy Markets for Energy Developments (2008)].</w:t>
            </w:r>
          </w:p>
        </w:tc>
        <w:tc>
          <w:tcPr>
            <w:tcW w:w="4536" w:type="dxa"/>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1. Energy recovery by waste stream was calculated using the data sources identified here and the method outlined in detail in Section 3.1 (Recommendation 6). All energy rec</w:t>
            </w:r>
            <w:r w:rsidR="002B361D" w:rsidRPr="00C36C8F">
              <w:rPr>
                <w:sz w:val="18"/>
                <w:szCs w:val="18"/>
              </w:rPr>
              <w:t>overy in NSW during 2008</w:t>
            </w:r>
            <w:r w:rsidR="002B361D" w:rsidRPr="00C36C8F">
              <w:t>–</w:t>
            </w:r>
            <w:r w:rsidR="002B361D" w:rsidRPr="00C36C8F">
              <w:rPr>
                <w:sz w:val="18"/>
                <w:szCs w:val="18"/>
              </w:rPr>
              <w:t>09 was</w:t>
            </w:r>
            <w:r w:rsidRPr="00C36C8F">
              <w:rPr>
                <w:sz w:val="18"/>
                <w:szCs w:val="18"/>
              </w:rPr>
              <w:t xml:space="preserve"> through methane capture at landfills and AWTs</w:t>
            </w:r>
            <w:r w:rsidR="002B361D" w:rsidRPr="00C36C8F">
              <w:rPr>
                <w:sz w:val="18"/>
                <w:szCs w:val="18"/>
              </w:rPr>
              <w:t>.</w:t>
            </w:r>
            <w:r w:rsidRPr="00C36C8F">
              <w:rPr>
                <w:sz w:val="18"/>
                <w:szCs w:val="18"/>
              </w:rPr>
              <w:t xml:space="preserve"> </w:t>
            </w:r>
            <w:r w:rsidR="00626A05" w:rsidRPr="00C36C8F">
              <w:rPr>
                <w:sz w:val="18"/>
                <w:szCs w:val="18"/>
              </w:rPr>
              <w:t>T</w:t>
            </w:r>
            <w:r w:rsidRPr="00C36C8F">
              <w:rPr>
                <w:sz w:val="18"/>
                <w:szCs w:val="18"/>
              </w:rPr>
              <w:t>here was no energy recovery from solid waste combustion identified.</w:t>
            </w:r>
          </w:p>
        </w:tc>
      </w:tr>
      <w:tr w:rsidR="00383A21" w:rsidRPr="00C36C8F" w:rsidTr="00D11D58">
        <w:tblPrEx>
          <w:tblBorders>
            <w:top w:val="none" w:sz="0" w:space="0" w:color="auto"/>
            <w:bottom w:val="single" w:sz="18" w:space="0" w:color="808080"/>
          </w:tblBorders>
        </w:tblPrEx>
        <w:trPr>
          <w:cantSplit/>
        </w:trPr>
        <w:tc>
          <w:tcPr>
            <w:tcW w:w="0" w:type="auto"/>
            <w:tcBorders>
              <w:top w:val="single" w:sz="4" w:space="0" w:color="808080"/>
              <w:bottom w:val="single" w:sz="4" w:space="0" w:color="808080"/>
            </w:tcBorders>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Disposal to landfill - material splits</w:t>
            </w:r>
          </w:p>
        </w:tc>
        <w:tc>
          <w:tcPr>
            <w:tcW w:w="2875" w:type="dxa"/>
            <w:tcBorders>
              <w:top w:val="single" w:sz="4" w:space="0" w:color="808080"/>
              <w:bottom w:val="single" w:sz="4" w:space="0" w:color="808080"/>
            </w:tcBorders>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1. Ash Development Association of Australia, Annual membership survey results: January - December 2009. Prepared by HBM Group Pty Ltd.</w:t>
            </w:r>
            <w:r w:rsidRPr="00C36C8F">
              <w:rPr>
                <w:sz w:val="18"/>
                <w:szCs w:val="18"/>
              </w:rPr>
              <w:br/>
              <w:t>2. Various MSW waste audits [APC (2007); DECC (2004); Hyder (2008); Murdoch (1999); WACS and Golder (2005); ZWSA (2007)].</w:t>
            </w:r>
            <w:r w:rsidRPr="00C36C8F">
              <w:rPr>
                <w:sz w:val="18"/>
                <w:szCs w:val="18"/>
              </w:rPr>
              <w:br/>
              <w:t>3. Various C&amp;I waste audits [DEC NSW (2003); Golder and WACS (2007); WACS and Golder (2005); ZWSA (2007)].</w:t>
            </w:r>
            <w:r w:rsidRPr="00C36C8F">
              <w:rPr>
                <w:sz w:val="18"/>
                <w:szCs w:val="18"/>
              </w:rPr>
              <w:br/>
              <w:t>4. Various C&amp;D waste audits [DECC (2007); Golder and WACS (2007); WACS and Golder (2005); ZWSA (2007)].</w:t>
            </w:r>
          </w:p>
        </w:tc>
        <w:tc>
          <w:tcPr>
            <w:tcW w:w="4536" w:type="dxa"/>
            <w:tcBorders>
              <w:top w:val="single" w:sz="4" w:space="0" w:color="808080"/>
              <w:bottom w:val="single" w:sz="4" w:space="0" w:color="808080"/>
            </w:tcBorders>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1. The material splits for disposal to landfill in NSW during 2008</w:t>
            </w:r>
            <w:r w:rsidR="00312CC0" w:rsidRPr="00C36C8F">
              <w:rPr>
                <w:sz w:val="18"/>
                <w:szCs w:val="18"/>
              </w:rPr>
              <w:t>–</w:t>
            </w:r>
            <w:r w:rsidRPr="00C36C8F">
              <w:rPr>
                <w:sz w:val="18"/>
                <w:szCs w:val="18"/>
              </w:rPr>
              <w:t xml:space="preserve">09 were calculated separately for each waste stream (MSW, C&amp;I and C&amp;D), using the waste stream split quantifications determined as previously outlined. The estimated material quantities for each waste stream were calculated using the available audit data (described in points 2 to 4 immediately below), which were then aggregated to calculate disposal to landfill, by material type, for the </w:t>
            </w:r>
            <w:r w:rsidR="00774036" w:rsidRPr="00C36C8F">
              <w:rPr>
                <w:sz w:val="18"/>
                <w:szCs w:val="18"/>
              </w:rPr>
              <w:t>jurisdiction</w:t>
            </w:r>
            <w:r w:rsidRPr="00C36C8F">
              <w:rPr>
                <w:sz w:val="18"/>
                <w:szCs w:val="18"/>
              </w:rPr>
              <w:t>. The exception to this approach was fly ash disposal data, which was sourced from ADAA (2009).</w:t>
            </w:r>
            <w:r w:rsidRPr="00C36C8F">
              <w:rPr>
                <w:sz w:val="18"/>
                <w:szCs w:val="18"/>
              </w:rPr>
              <w:br/>
              <w:t>2. The material splits for the MSW waste stream were estimated based on the available large-scale MSW audit data. The available MSW audit data was weighted against the size of the audits that were undertaken, and then aggregated to generate default (average) material splits in percentage terms.</w:t>
            </w:r>
            <w:r w:rsidRPr="00C36C8F">
              <w:rPr>
                <w:sz w:val="18"/>
                <w:szCs w:val="18"/>
              </w:rPr>
              <w:br/>
              <w:t>3. The material splits for the C&amp;I waste stream were estimated based on the available large-scale C&amp;I audit data. The available C&amp;I audit data was weighted against the size of the audits that were undertaken, and then aggregated to generate default (average) material splits in percentage terms.</w:t>
            </w:r>
            <w:r w:rsidRPr="00C36C8F">
              <w:rPr>
                <w:sz w:val="18"/>
                <w:szCs w:val="18"/>
              </w:rPr>
              <w:br/>
              <w:t>4. The material splits for the C&amp;D waste stream were estimated based on the available large-scale C&amp;D audit data. The available C&amp;D audit data was weighted against the size of the audits that were undertaken, and then aggregated to generate default (average) material splits in percentage terms.</w:t>
            </w:r>
          </w:p>
        </w:tc>
      </w:tr>
      <w:tr w:rsidR="00383A21" w:rsidRPr="00C36C8F" w:rsidTr="00277859">
        <w:tblPrEx>
          <w:tblBorders>
            <w:top w:val="none" w:sz="0" w:space="0" w:color="auto"/>
            <w:bottom w:val="single" w:sz="18" w:space="0" w:color="808080"/>
          </w:tblBorders>
        </w:tblPrEx>
        <w:trPr>
          <w:cantSplit/>
        </w:trPr>
        <w:tc>
          <w:tcPr>
            <w:tcW w:w="0" w:type="auto"/>
            <w:tcBorders>
              <w:top w:val="single" w:sz="4" w:space="0" w:color="808080"/>
              <w:bottom w:val="single" w:sz="4" w:space="0" w:color="808080"/>
            </w:tcBorders>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Recycling - material splits</w:t>
            </w:r>
          </w:p>
        </w:tc>
        <w:tc>
          <w:tcPr>
            <w:tcW w:w="2875" w:type="dxa"/>
            <w:tcBorders>
              <w:top w:val="single" w:sz="4" w:space="0" w:color="808080"/>
              <w:bottom w:val="single" w:sz="4" w:space="0" w:color="808080"/>
            </w:tcBorders>
            <w:shd w:val="clear" w:color="auto" w:fill="auto"/>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 xml:space="preserve">1. Department of Environment and Climate Change NSW, </w:t>
            </w:r>
            <w:r w:rsidR="005338E9" w:rsidRPr="00C36C8F">
              <w:rPr>
                <w:i/>
                <w:sz w:val="18"/>
                <w:szCs w:val="18"/>
              </w:rPr>
              <w:t>Waste Avoidance and Resource</w:t>
            </w:r>
            <w:r w:rsidR="00B739C3" w:rsidRPr="00C36C8F">
              <w:rPr>
                <w:i/>
                <w:sz w:val="18"/>
                <w:szCs w:val="18"/>
              </w:rPr>
              <w:t xml:space="preserve"> </w:t>
            </w:r>
            <w:r w:rsidR="005338E9" w:rsidRPr="00C36C8F">
              <w:rPr>
                <w:i/>
                <w:sz w:val="18"/>
                <w:szCs w:val="18"/>
              </w:rPr>
              <w:t>Recovery Strategy Progress Report, 2010</w:t>
            </w:r>
            <w:r w:rsidRPr="00C36C8F">
              <w:rPr>
                <w:sz w:val="18"/>
                <w:szCs w:val="18"/>
              </w:rPr>
              <w:t>.</w:t>
            </w:r>
            <w:r w:rsidRPr="00C36C8F">
              <w:rPr>
                <w:sz w:val="18"/>
                <w:szCs w:val="18"/>
              </w:rPr>
              <w:br/>
              <w:t>2. Various recycling data studies [Hyder (2010b); Hyder (2010c); SV (2010)].</w:t>
            </w:r>
            <w:r w:rsidRPr="00C36C8F">
              <w:rPr>
                <w:sz w:val="18"/>
                <w:szCs w:val="18"/>
              </w:rPr>
              <w:br/>
              <w:t xml:space="preserve">3. Recycled Organics Unit, </w:t>
            </w:r>
            <w:r w:rsidR="005338E9" w:rsidRPr="00C36C8F">
              <w:rPr>
                <w:i/>
                <w:sz w:val="18"/>
                <w:szCs w:val="18"/>
              </w:rPr>
              <w:t>Organics Recycling in Australia: Industry Statistics 2009, revised edition December 2009</w:t>
            </w:r>
            <w:r w:rsidRPr="00C36C8F">
              <w:rPr>
                <w:sz w:val="18"/>
                <w:szCs w:val="18"/>
              </w:rPr>
              <w:t>.</w:t>
            </w:r>
            <w:r w:rsidRPr="00C36C8F">
              <w:rPr>
                <w:sz w:val="18"/>
                <w:szCs w:val="18"/>
              </w:rPr>
              <w:br/>
              <w:t xml:space="preserve">4. Hyder, </w:t>
            </w:r>
            <w:r w:rsidR="005338E9" w:rsidRPr="00C36C8F">
              <w:rPr>
                <w:i/>
                <w:sz w:val="18"/>
                <w:szCs w:val="18"/>
              </w:rPr>
              <w:t>2009 National Plastics Recycling Survey</w:t>
            </w:r>
            <w:r w:rsidRPr="00C36C8F">
              <w:rPr>
                <w:sz w:val="18"/>
                <w:szCs w:val="18"/>
              </w:rPr>
              <w:t>, prepared for the Plastic and Chemicals Industry Association, December 2009d.</w:t>
            </w:r>
            <w:r w:rsidRPr="00C36C8F">
              <w:rPr>
                <w:sz w:val="18"/>
                <w:szCs w:val="18"/>
              </w:rPr>
              <w:br/>
              <w:t>5. Ash Development Association of Australia, Annual membership survey results: January - December 2009. Prepared by HBM Group Pty Ltd.</w:t>
            </w:r>
          </w:p>
        </w:tc>
        <w:tc>
          <w:tcPr>
            <w:tcW w:w="4536" w:type="dxa"/>
            <w:tcBorders>
              <w:top w:val="single" w:sz="4" w:space="0" w:color="808080"/>
              <w:bottom w:val="single" w:sz="4" w:space="0" w:color="808080"/>
            </w:tcBorders>
            <w:tcMar>
              <w:right w:w="142" w:type="dxa"/>
            </w:tcMar>
          </w:tcPr>
          <w:p w:rsidR="00383A21" w:rsidRPr="00C36C8F" w:rsidRDefault="00383A21" w:rsidP="00F2642F">
            <w:pPr>
              <w:spacing w:before="60" w:after="60" w:line="240" w:lineRule="atLeast"/>
              <w:ind w:left="0"/>
              <w:rPr>
                <w:sz w:val="18"/>
                <w:szCs w:val="18"/>
              </w:rPr>
            </w:pPr>
            <w:r w:rsidRPr="00C36C8F">
              <w:rPr>
                <w:sz w:val="18"/>
                <w:szCs w:val="18"/>
              </w:rPr>
              <w:t xml:space="preserve">1. The material splits for recycling in NSW during 2008-09 were calculated separately for the recycled component of each waste stream (MSW, C&amp;I and C&amp;D), using the recycling waste stream split quantifications determinations as previously outlined. The estimated material quantities for each waste stream were then calculated using the available recycling data, by waste stream (described in points 2 to 4 immediately below). These estimates were then aggregated to calculate recycling, by material type, for the </w:t>
            </w:r>
            <w:r w:rsidR="00B739C3" w:rsidRPr="00C36C8F">
              <w:rPr>
                <w:sz w:val="18"/>
                <w:szCs w:val="18"/>
              </w:rPr>
              <w:t>jurisdiction</w:t>
            </w:r>
            <w:r w:rsidRPr="00C36C8F">
              <w:rPr>
                <w:sz w:val="18"/>
                <w:szCs w:val="18"/>
              </w:rPr>
              <w:t>. The exceptions to this approach were organics, plastics and fly ash recycling data, which were respectively sourced (in aggregate across MSW, C&amp;I and C&amp;D) from ROU (2009), Hyder (2009d) and ADAA (2009).</w:t>
            </w:r>
            <w:r w:rsidRPr="00C36C8F">
              <w:rPr>
                <w:sz w:val="18"/>
                <w:szCs w:val="18"/>
              </w:rPr>
              <w:br/>
              <w:t>2. The recycled material splits for the MSW waste stream were estimated based on data provided in DECC (2010).</w:t>
            </w:r>
            <w:r w:rsidRPr="00C36C8F">
              <w:rPr>
                <w:sz w:val="18"/>
                <w:szCs w:val="18"/>
              </w:rPr>
              <w:br/>
              <w:t>3. The recycled material splits for the C&amp;I waste stream were estimated based on recycling quantification studies undertaken in Victoria, SA and WA. The available C&amp;I recycling data was aggregated to generate default (average) material splits in percentage terms, which were then applied to NSW C&amp;I recycling.</w:t>
            </w:r>
            <w:r w:rsidRPr="00C36C8F">
              <w:rPr>
                <w:sz w:val="18"/>
                <w:szCs w:val="18"/>
              </w:rPr>
              <w:br/>
              <w:t>4. The recycled material splits for the C&amp;D waste stream were estimated based on recycling quantification studies undertaken in Victoria, SA and WA. The available C&amp;D recycling data was aggregated to generate default (average) material splits in percentage terms, which were then applied to NSW C&amp;I recycling.</w:t>
            </w:r>
          </w:p>
        </w:tc>
      </w:tr>
      <w:tr w:rsidR="00383A21" w:rsidRPr="00C36C8F" w:rsidTr="00277859">
        <w:tblPrEx>
          <w:tblBorders>
            <w:top w:val="none" w:sz="0" w:space="0" w:color="auto"/>
            <w:bottom w:val="none" w:sz="0" w:space="0" w:color="auto"/>
            <w:insideH w:val="none" w:sz="0" w:space="0" w:color="auto"/>
          </w:tblBorders>
          <w:tblCellMar>
            <w:left w:w="108" w:type="dxa"/>
            <w:right w:w="108" w:type="dxa"/>
          </w:tblCellMar>
        </w:tblPrEx>
        <w:trPr>
          <w:cantSplit/>
        </w:trPr>
        <w:tc>
          <w:tcPr>
            <w:tcW w:w="0" w:type="auto"/>
            <w:tcBorders>
              <w:top w:val="single" w:sz="4" w:space="0" w:color="808080"/>
              <w:bottom w:val="single" w:sz="4" w:space="0" w:color="808080"/>
            </w:tcBorders>
          </w:tcPr>
          <w:p w:rsidR="00383A21" w:rsidRPr="00C36C8F" w:rsidRDefault="00383A21" w:rsidP="003510CD">
            <w:pPr>
              <w:spacing w:before="60" w:after="60" w:line="240" w:lineRule="atLeast"/>
              <w:ind w:left="0"/>
              <w:rPr>
                <w:sz w:val="18"/>
                <w:szCs w:val="18"/>
              </w:rPr>
            </w:pPr>
            <w:r w:rsidRPr="00C36C8F">
              <w:rPr>
                <w:sz w:val="18"/>
                <w:szCs w:val="18"/>
              </w:rPr>
              <w:t>Energy recovery - material splits</w:t>
            </w:r>
          </w:p>
        </w:tc>
        <w:tc>
          <w:tcPr>
            <w:tcW w:w="2875" w:type="dxa"/>
            <w:tcBorders>
              <w:top w:val="single" w:sz="4" w:space="0" w:color="808080"/>
              <w:bottom w:val="single" w:sz="4" w:space="0" w:color="808080"/>
            </w:tcBorders>
          </w:tcPr>
          <w:p w:rsidR="00383A21" w:rsidRPr="00C36C8F" w:rsidRDefault="00383A21" w:rsidP="003510CD">
            <w:pPr>
              <w:spacing w:before="60" w:after="60" w:line="240" w:lineRule="atLeast"/>
              <w:ind w:left="0"/>
              <w:rPr>
                <w:sz w:val="18"/>
                <w:szCs w:val="18"/>
              </w:rPr>
            </w:pPr>
            <w:r w:rsidRPr="00C36C8F">
              <w:rPr>
                <w:sz w:val="18"/>
                <w:szCs w:val="18"/>
              </w:rPr>
              <w:t>See sources against "Energy recovery - total quantity" above.</w:t>
            </w:r>
          </w:p>
        </w:tc>
        <w:tc>
          <w:tcPr>
            <w:tcW w:w="4536" w:type="dxa"/>
            <w:tcBorders>
              <w:top w:val="single" w:sz="4" w:space="0" w:color="808080"/>
              <w:bottom w:val="single" w:sz="4" w:space="0" w:color="808080"/>
            </w:tcBorders>
          </w:tcPr>
          <w:p w:rsidR="00383A21" w:rsidRPr="00C36C8F" w:rsidRDefault="00383A21" w:rsidP="003510CD">
            <w:pPr>
              <w:spacing w:before="60" w:after="60" w:line="240" w:lineRule="atLeast"/>
              <w:ind w:left="0"/>
              <w:rPr>
                <w:sz w:val="18"/>
                <w:szCs w:val="18"/>
              </w:rPr>
            </w:pPr>
            <w:r w:rsidRPr="00C36C8F">
              <w:rPr>
                <w:sz w:val="18"/>
                <w:szCs w:val="18"/>
              </w:rPr>
              <w:t>See comments against "Energy recovery - total quantity"</w:t>
            </w:r>
            <w:r w:rsidR="00707FD9" w:rsidRPr="00C36C8F">
              <w:rPr>
                <w:sz w:val="18"/>
                <w:szCs w:val="18"/>
              </w:rPr>
              <w:t xml:space="preserve"> </w:t>
            </w:r>
            <w:r w:rsidRPr="00C36C8F">
              <w:rPr>
                <w:sz w:val="18"/>
                <w:szCs w:val="18"/>
              </w:rPr>
              <w:t>.</w:t>
            </w:r>
          </w:p>
        </w:tc>
      </w:tr>
    </w:tbl>
    <w:p w:rsidR="00D11D58" w:rsidRDefault="00D11D58">
      <w:pPr>
        <w:spacing w:after="0" w:line="240" w:lineRule="auto"/>
        <w:ind w:left="0"/>
      </w:pPr>
    </w:p>
    <w:p w:rsidR="00D11D58" w:rsidRDefault="00D11D58">
      <w:pPr>
        <w:spacing w:after="0" w:line="240" w:lineRule="auto"/>
        <w:ind w:left="0"/>
      </w:pPr>
      <w:r>
        <w:br w:type="page"/>
      </w:r>
    </w:p>
    <w:p w:rsidR="00C36C8F" w:rsidRDefault="00C36C8F">
      <w:pPr>
        <w:spacing w:after="0" w:line="240" w:lineRule="auto"/>
        <w:ind w:left="0"/>
      </w:pPr>
    </w:p>
    <w:p w:rsidR="00F85334" w:rsidRPr="00C36C8F" w:rsidRDefault="00B9555F" w:rsidP="00F85334">
      <w:pPr>
        <w:pStyle w:val="ParaIndent"/>
        <w:spacing w:before="120"/>
        <w:jc w:val="both"/>
      </w:pPr>
      <w:r w:rsidRPr="00C36C8F">
        <w:fldChar w:fldCharType="begin"/>
      </w:r>
      <w:r w:rsidR="004636FB" w:rsidRPr="00C36C8F">
        <w:instrText xml:space="preserve"> REF _Ref287275245 \h </w:instrText>
      </w:r>
      <w:r w:rsidRPr="00C36C8F">
        <w:fldChar w:fldCharType="separate"/>
      </w:r>
      <w:r w:rsidR="00AE7E3B" w:rsidRPr="00C36C8F">
        <w:rPr>
          <w:b/>
          <w:color w:val="1F497D" w:themeColor="text2"/>
        </w:rPr>
        <w:t xml:space="preserve">Figure </w:t>
      </w:r>
      <w:r w:rsidR="00AE7E3B">
        <w:rPr>
          <w:b/>
          <w:noProof/>
          <w:color w:val="1F497D" w:themeColor="text2"/>
        </w:rPr>
        <w:t>4</w:t>
      </w:r>
      <w:r w:rsidR="00AE7E3B" w:rsidRPr="00C36C8F">
        <w:rPr>
          <w:b/>
          <w:color w:val="1F497D" w:themeColor="text2"/>
        </w:rPr>
        <w:t>-</w:t>
      </w:r>
      <w:r w:rsidR="00AE7E3B">
        <w:rPr>
          <w:b/>
          <w:noProof/>
          <w:color w:val="1F497D" w:themeColor="text2"/>
        </w:rPr>
        <w:t>11</w:t>
      </w:r>
      <w:r w:rsidRPr="00C36C8F">
        <w:fldChar w:fldCharType="end"/>
      </w:r>
      <w:r w:rsidR="004636FB" w:rsidRPr="00C36C8F">
        <w:t xml:space="preserve"> </w:t>
      </w:r>
      <w:r w:rsidR="00DE05C7" w:rsidRPr="00C36C8F">
        <w:t xml:space="preserve">charts NSW </w:t>
      </w:r>
      <w:r w:rsidR="00313465" w:rsidRPr="00C36C8F">
        <w:t xml:space="preserve">waste </w:t>
      </w:r>
      <w:r w:rsidR="00F5319B" w:rsidRPr="00C36C8F">
        <w:t>disposal, recycling and energy recovery</w:t>
      </w:r>
      <w:r w:rsidR="006B3EFD" w:rsidRPr="00C36C8F">
        <w:t xml:space="preserve"> for the years 2002-03, 2006–07 and 2008–09. Data for 2002–03 and 2006–07 has been taken directly from the previous </w:t>
      </w:r>
      <w:r w:rsidR="006B3EFD" w:rsidRPr="00C36C8F">
        <w:rPr>
          <w:i/>
        </w:rPr>
        <w:t xml:space="preserve">Waste and Recycling in Australia </w:t>
      </w:r>
      <w:r w:rsidR="006B3EFD" w:rsidRPr="00C36C8F">
        <w:t xml:space="preserve">reports and has not had the new data compilation method introduced in this report </w:t>
      </w:r>
      <w:r w:rsidR="007D2F30" w:rsidRPr="00C36C8F">
        <w:t xml:space="preserve">retrospectively </w:t>
      </w:r>
      <w:r w:rsidR="006B3EFD" w:rsidRPr="00C36C8F">
        <w:t>applied.</w:t>
      </w:r>
    </w:p>
    <w:p w:rsidR="00DE05C7" w:rsidRPr="00C36C8F" w:rsidRDefault="00774BF1" w:rsidP="006B3EFD">
      <w:pPr>
        <w:pStyle w:val="ParaIndent"/>
        <w:spacing w:before="120"/>
      </w:pPr>
      <w:r>
        <w:rPr>
          <w:noProof/>
          <w:lang w:eastAsia="en-AU"/>
        </w:rPr>
        <w:drawing>
          <wp:inline distT="0" distB="0" distL="0" distR="0">
            <wp:extent cx="5167842" cy="2871083"/>
            <wp:effectExtent l="0" t="0" r="0" b="571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6B3EFD" w:rsidRPr="00C36C8F">
        <w:t xml:space="preserve"> </w:t>
      </w:r>
    </w:p>
    <w:p w:rsidR="00F85334" w:rsidRPr="00C36C8F" w:rsidRDefault="00F85334" w:rsidP="005B65D5">
      <w:pPr>
        <w:pStyle w:val="ParaIndent"/>
        <w:spacing w:before="120"/>
        <w:rPr>
          <w:b/>
          <w:color w:val="1F497D" w:themeColor="text2"/>
        </w:rPr>
      </w:pPr>
      <w:bookmarkStart w:id="142" w:name="_Ref287275245"/>
      <w:r w:rsidRPr="00C36C8F">
        <w:rPr>
          <w:b/>
          <w:color w:val="1F497D" w:themeColor="text2"/>
        </w:rPr>
        <w:t xml:space="preserve">Figure </w:t>
      </w:r>
      <w:r w:rsidR="00B9555F" w:rsidRPr="00C36C8F">
        <w:rPr>
          <w:b/>
          <w:color w:val="1F497D" w:themeColor="text2"/>
        </w:rPr>
        <w:fldChar w:fldCharType="begin"/>
      </w:r>
      <w:r w:rsidRPr="00C36C8F">
        <w:rPr>
          <w:b/>
          <w:color w:val="1F497D" w:themeColor="text2"/>
        </w:rPr>
        <w:instrText xml:space="preserve"> STYLEREF "_Heading1" \n </w:instrText>
      </w:r>
      <w:r w:rsidR="00B9555F" w:rsidRPr="00C36C8F">
        <w:rPr>
          <w:b/>
          <w:color w:val="1F497D" w:themeColor="text2"/>
        </w:rPr>
        <w:fldChar w:fldCharType="separate"/>
      </w:r>
      <w:r w:rsidR="00AE7E3B">
        <w:rPr>
          <w:b/>
          <w:noProof/>
          <w:color w:val="1F497D" w:themeColor="text2"/>
        </w:rPr>
        <w:t>4</w:t>
      </w:r>
      <w:r w:rsidR="00B9555F" w:rsidRPr="00C36C8F">
        <w:rPr>
          <w:b/>
          <w:noProof/>
          <w:color w:val="1F497D" w:themeColor="text2"/>
        </w:rPr>
        <w:fldChar w:fldCharType="end"/>
      </w:r>
      <w:r w:rsidRPr="00C36C8F">
        <w:rPr>
          <w:b/>
          <w:color w:val="1F497D" w:themeColor="text2"/>
        </w:rPr>
        <w:t>-</w:t>
      </w:r>
      <w:r w:rsidR="00B9555F" w:rsidRPr="00C36C8F">
        <w:rPr>
          <w:b/>
          <w:color w:val="1F497D" w:themeColor="text2"/>
        </w:rPr>
        <w:fldChar w:fldCharType="begin"/>
      </w:r>
      <w:r w:rsidRPr="00C36C8F">
        <w:rPr>
          <w:b/>
          <w:color w:val="1F497D" w:themeColor="text2"/>
        </w:rPr>
        <w:instrText xml:space="preserve"> SEQ Figure \* Arabic </w:instrText>
      </w:r>
      <w:r w:rsidR="00B9555F" w:rsidRPr="00C36C8F">
        <w:rPr>
          <w:b/>
          <w:color w:val="1F497D" w:themeColor="text2"/>
        </w:rPr>
        <w:fldChar w:fldCharType="separate"/>
      </w:r>
      <w:r w:rsidR="00AE7E3B">
        <w:rPr>
          <w:b/>
          <w:noProof/>
          <w:color w:val="1F497D" w:themeColor="text2"/>
        </w:rPr>
        <w:t>11</w:t>
      </w:r>
      <w:r w:rsidR="00B9555F" w:rsidRPr="00C36C8F">
        <w:rPr>
          <w:b/>
          <w:noProof/>
          <w:color w:val="1F497D" w:themeColor="text2"/>
        </w:rPr>
        <w:fldChar w:fldCharType="end"/>
      </w:r>
      <w:bookmarkEnd w:id="142"/>
      <w:r w:rsidRPr="00C36C8F">
        <w:rPr>
          <w:b/>
          <w:color w:val="1F497D" w:themeColor="text2"/>
        </w:rPr>
        <w:tab/>
        <w:t>NSW total waste generation, disposal, recycling &amp; energy recovery, 2002–03, 2006–07 &amp; 2008–09</w:t>
      </w:r>
    </w:p>
    <w:p w:rsidR="00F85334" w:rsidRPr="00C36C8F" w:rsidRDefault="00F85334" w:rsidP="00F85334">
      <w:pPr>
        <w:pStyle w:val="TableText"/>
        <w:spacing w:line="240" w:lineRule="auto"/>
        <w:ind w:left="1134"/>
        <w:rPr>
          <w:sz w:val="16"/>
          <w:szCs w:val="16"/>
        </w:rPr>
      </w:pPr>
    </w:p>
    <w:p w:rsidR="00F85334" w:rsidRPr="00C36C8F" w:rsidRDefault="00F85334" w:rsidP="00F85334">
      <w:pPr>
        <w:pStyle w:val="TableText"/>
        <w:spacing w:line="240" w:lineRule="auto"/>
        <w:ind w:left="1134"/>
        <w:rPr>
          <w:sz w:val="16"/>
          <w:szCs w:val="16"/>
        </w:rPr>
      </w:pPr>
      <w:r w:rsidRPr="00C36C8F">
        <w:rPr>
          <w:sz w:val="16"/>
          <w:szCs w:val="16"/>
        </w:rPr>
        <w:t xml:space="preserve">2002-03 and 2006-07 data sources are </w:t>
      </w:r>
      <w:r w:rsidRPr="00C36C8F">
        <w:rPr>
          <w:i/>
          <w:sz w:val="16"/>
          <w:szCs w:val="16"/>
        </w:rPr>
        <w:t>Waste and Recycling in Australia</w:t>
      </w:r>
      <w:r w:rsidRPr="00C36C8F">
        <w:rPr>
          <w:sz w:val="16"/>
          <w:szCs w:val="16"/>
        </w:rPr>
        <w:t xml:space="preserve"> </w:t>
      </w:r>
      <w:r w:rsidRPr="00860B52">
        <w:rPr>
          <w:i/>
          <w:sz w:val="16"/>
          <w:szCs w:val="16"/>
        </w:rPr>
        <w:t>2009</w:t>
      </w:r>
      <w:r w:rsidRPr="00C36C8F">
        <w:rPr>
          <w:sz w:val="16"/>
          <w:szCs w:val="16"/>
        </w:rPr>
        <w:t>.</w:t>
      </w:r>
    </w:p>
    <w:p w:rsidR="00F85334" w:rsidRPr="00C36C8F" w:rsidRDefault="00F85334" w:rsidP="00F85334">
      <w:pPr>
        <w:pStyle w:val="TableText"/>
        <w:spacing w:line="240" w:lineRule="auto"/>
        <w:ind w:left="1134"/>
        <w:rPr>
          <w:sz w:val="16"/>
          <w:szCs w:val="16"/>
        </w:rPr>
      </w:pPr>
      <w:r w:rsidRPr="00C36C8F">
        <w:rPr>
          <w:sz w:val="16"/>
          <w:szCs w:val="16"/>
        </w:rPr>
        <w:t>2008-09 “Subtotal” excludes fly ash data.</w:t>
      </w:r>
    </w:p>
    <w:p w:rsidR="00F85334" w:rsidRPr="00C36C8F" w:rsidRDefault="00F85334" w:rsidP="00F85334">
      <w:pPr>
        <w:pStyle w:val="ParaIndent"/>
        <w:spacing w:before="60" w:after="60" w:line="240" w:lineRule="auto"/>
        <w:ind w:left="567" w:firstLine="567"/>
      </w:pPr>
      <w:r w:rsidRPr="00C36C8F">
        <w:rPr>
          <w:sz w:val="16"/>
          <w:szCs w:val="16"/>
        </w:rPr>
        <w:t>2008-09 “Total” include fly ash data</w:t>
      </w:r>
      <w:r w:rsidR="00626A05" w:rsidRPr="00C36C8F">
        <w:rPr>
          <w:sz w:val="16"/>
          <w:szCs w:val="16"/>
        </w:rPr>
        <w:t>.</w:t>
      </w:r>
    </w:p>
    <w:p w:rsidR="00DE05C7" w:rsidRPr="00C36C8F" w:rsidRDefault="00B9555F" w:rsidP="00F85334">
      <w:pPr>
        <w:pStyle w:val="ParaIndent"/>
        <w:keepNext/>
        <w:spacing w:before="120"/>
        <w:jc w:val="both"/>
      </w:pPr>
      <w:fldSimple w:instr=" REF _Ref284591358 \h  \* MERGEFORMAT ">
        <w:r w:rsidR="00AE7E3B" w:rsidRPr="00C36C8F">
          <w:t xml:space="preserve">Table </w:t>
        </w:r>
        <w:r w:rsidR="00AE7E3B">
          <w:t>4</w:t>
        </w:r>
        <w:r w:rsidR="00AE7E3B" w:rsidRPr="00C36C8F">
          <w:t>-</w:t>
        </w:r>
        <w:r w:rsidR="00AE7E3B">
          <w:t>14</w:t>
        </w:r>
      </w:fldSimple>
      <w:r w:rsidR="00DE05C7" w:rsidRPr="00C36C8F">
        <w:t xml:space="preserve"> details NSW waste generation and disposal </w:t>
      </w:r>
      <w:r w:rsidR="003751DB" w:rsidRPr="00C36C8F">
        <w:t xml:space="preserve">to landfill </w:t>
      </w:r>
      <w:r w:rsidR="00DE05C7" w:rsidRPr="00C36C8F">
        <w:t xml:space="preserve">data by material for </w:t>
      </w:r>
      <w:r w:rsidR="003751DB" w:rsidRPr="00C36C8F">
        <w:t>2008–</w:t>
      </w:r>
      <w:r w:rsidR="00DE05C7" w:rsidRPr="00C36C8F">
        <w:t>09, and compares the a</w:t>
      </w:r>
      <w:r w:rsidR="00921E93" w:rsidRPr="00C36C8F">
        <w:t xml:space="preserve">ssociated per capita disposal </w:t>
      </w:r>
      <w:r w:rsidR="00131E90" w:rsidRPr="00C36C8F">
        <w:t xml:space="preserve">for NSW with the </w:t>
      </w:r>
      <w:r w:rsidR="003751DB" w:rsidRPr="00C36C8F">
        <w:t>national</w:t>
      </w:r>
      <w:r w:rsidR="00131E90" w:rsidRPr="00C36C8F">
        <w:t xml:space="preserve"> average</w:t>
      </w:r>
      <w:r w:rsidR="00DE05C7" w:rsidRPr="00C36C8F">
        <w:t>.</w:t>
      </w:r>
    </w:p>
    <w:p w:rsidR="00DE05C7" w:rsidRPr="00C36C8F" w:rsidRDefault="00DE05C7" w:rsidP="00DE05C7">
      <w:pPr>
        <w:pStyle w:val="Caption"/>
        <w:tabs>
          <w:tab w:val="left" w:pos="7275"/>
        </w:tabs>
      </w:pPr>
      <w:bookmarkStart w:id="143" w:name="_Ref284591358"/>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14</w:t>
      </w:r>
      <w:r w:rsidR="00B9555F" w:rsidRPr="00C36C8F">
        <w:rPr>
          <w:noProof/>
        </w:rPr>
        <w:fldChar w:fldCharType="end"/>
      </w:r>
      <w:bookmarkEnd w:id="143"/>
      <w:r w:rsidRPr="00C36C8F">
        <w:tab/>
      </w:r>
      <w:r w:rsidR="003751DB" w:rsidRPr="00C36C8F">
        <w:t>NSW w</w:t>
      </w:r>
      <w:r w:rsidRPr="00C36C8F">
        <w:t>aste generation and dis</w:t>
      </w:r>
      <w:r w:rsidR="003751DB" w:rsidRPr="00C36C8F">
        <w:t>posal data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3751DB" w:rsidRPr="00C36C8F" w:rsidTr="00270FA8">
        <w:tc>
          <w:tcPr>
            <w:tcW w:w="4111" w:type="dxa"/>
            <w:gridSpan w:val="2"/>
            <w:tcBorders>
              <w:right w:val="single" w:sz="4" w:space="0" w:color="808080"/>
            </w:tcBorders>
            <w:shd w:val="clear" w:color="auto" w:fill="auto"/>
            <w:vAlign w:val="center"/>
          </w:tcPr>
          <w:p w:rsidR="003751DB" w:rsidRPr="00C36C8F" w:rsidRDefault="003751DB" w:rsidP="00270FA8">
            <w:pPr>
              <w:pStyle w:val="TableHeading"/>
              <w:keepLines/>
              <w:jc w:val="center"/>
              <w:rPr>
                <w:kern w:val="28"/>
              </w:rPr>
            </w:pPr>
          </w:p>
        </w:tc>
        <w:tc>
          <w:tcPr>
            <w:tcW w:w="1329"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3751DB" w:rsidRPr="00C36C8F" w:rsidRDefault="003751DB" w:rsidP="00270FA8">
            <w:pPr>
              <w:pStyle w:val="TableHeading"/>
              <w:keepLines/>
              <w:jc w:val="center"/>
              <w:rPr>
                <w:kern w:val="28"/>
              </w:rPr>
            </w:pPr>
            <w:r w:rsidRPr="00C36C8F">
              <w:rPr>
                <w:kern w:val="28"/>
              </w:rPr>
              <w:t>NSW waste generation</w:t>
            </w:r>
          </w:p>
        </w:tc>
        <w:tc>
          <w:tcPr>
            <w:tcW w:w="2658" w:type="dxa"/>
            <w:gridSpan w:val="2"/>
            <w:tcBorders>
              <w:top w:val="nil"/>
              <w:left w:val="single" w:sz="8" w:space="0" w:color="808080" w:themeColor="background1" w:themeShade="80"/>
              <w:right w:val="single" w:sz="8" w:space="0" w:color="808080" w:themeColor="background1" w:themeShade="80"/>
            </w:tcBorders>
            <w:shd w:val="clear" w:color="auto" w:fill="auto"/>
            <w:vAlign w:val="center"/>
          </w:tcPr>
          <w:p w:rsidR="003751DB" w:rsidRPr="00C36C8F" w:rsidRDefault="003751DB" w:rsidP="00270FA8">
            <w:pPr>
              <w:pStyle w:val="TableHeading"/>
              <w:keepLines/>
              <w:jc w:val="center"/>
              <w:rPr>
                <w:kern w:val="28"/>
              </w:rPr>
            </w:pPr>
            <w:r w:rsidRPr="00C36C8F">
              <w:rPr>
                <w:kern w:val="28"/>
              </w:rPr>
              <w:t>NSW waste disposal</w:t>
            </w:r>
          </w:p>
        </w:tc>
        <w:tc>
          <w:tcPr>
            <w:tcW w:w="1329" w:type="dxa"/>
            <w:tcBorders>
              <w:left w:val="single" w:sz="8" w:space="0" w:color="808080" w:themeColor="background1" w:themeShade="80"/>
            </w:tcBorders>
            <w:shd w:val="clear" w:color="auto" w:fill="auto"/>
            <w:vAlign w:val="center"/>
          </w:tcPr>
          <w:p w:rsidR="003751DB" w:rsidRPr="00C36C8F" w:rsidRDefault="003751DB" w:rsidP="00270FA8">
            <w:pPr>
              <w:pStyle w:val="TableHeading"/>
              <w:keepLines/>
              <w:jc w:val="center"/>
              <w:rPr>
                <w:kern w:val="28"/>
              </w:rPr>
            </w:pPr>
            <w:r w:rsidRPr="00C36C8F">
              <w:rPr>
                <w:kern w:val="28"/>
              </w:rPr>
              <w:t>National average</w:t>
            </w:r>
            <w:r w:rsidR="00AC5BC2" w:rsidRPr="00C36C8F">
              <w:rPr>
                <w:kern w:val="28"/>
              </w:rPr>
              <w:t xml:space="preserve"> disposal</w:t>
            </w:r>
          </w:p>
        </w:tc>
      </w:tr>
      <w:tr w:rsidR="003751DB" w:rsidRPr="00C36C8F" w:rsidTr="00270FA8">
        <w:tc>
          <w:tcPr>
            <w:tcW w:w="2127" w:type="dxa"/>
            <w:tcBorders>
              <w:bottom w:val="single" w:sz="4" w:space="0" w:color="808080"/>
              <w:right w:val="nil"/>
            </w:tcBorders>
            <w:shd w:val="clear" w:color="auto" w:fill="auto"/>
          </w:tcPr>
          <w:p w:rsidR="003751DB" w:rsidRPr="00C36C8F" w:rsidRDefault="003751DB" w:rsidP="003B428C">
            <w:pPr>
              <w:pStyle w:val="TableHeading"/>
              <w:keepLines/>
              <w:jc w:val="center"/>
              <w:rPr>
                <w:kern w:val="28"/>
              </w:rPr>
            </w:pPr>
            <w:r w:rsidRPr="00C36C8F">
              <w:rPr>
                <w:kern w:val="28"/>
              </w:rPr>
              <w:t>Ma</w:t>
            </w:r>
            <w:r w:rsidR="003B428C"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3751DB" w:rsidRPr="00C36C8F" w:rsidRDefault="003B428C" w:rsidP="00270FA8">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3751DB" w:rsidRPr="00C36C8F" w:rsidRDefault="003751DB" w:rsidP="00270FA8">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3751DB" w:rsidRPr="00C36C8F" w:rsidRDefault="003751DB" w:rsidP="00270FA8">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3751DB" w:rsidRPr="00C36C8F" w:rsidRDefault="003751DB" w:rsidP="00270FA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tcBorders>
            <w:vAlign w:val="center"/>
          </w:tcPr>
          <w:p w:rsidR="003751DB" w:rsidRPr="00C36C8F" w:rsidRDefault="003751DB" w:rsidP="00270FA8">
            <w:pPr>
              <w:pStyle w:val="TableHeading"/>
              <w:keepLines/>
              <w:jc w:val="center"/>
              <w:rPr>
                <w:kern w:val="28"/>
              </w:rPr>
            </w:pPr>
            <w:r w:rsidRPr="00C36C8F">
              <w:rPr>
                <w:kern w:val="28"/>
              </w:rPr>
              <w:t>kg per capita</w:t>
            </w:r>
          </w:p>
        </w:tc>
      </w:tr>
      <w:tr w:rsidR="00476BAA" w:rsidRPr="00C36C8F" w:rsidTr="00270FA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270FA8">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270FA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B739C3">
            <w:pPr>
              <w:pStyle w:val="TableText"/>
              <w:keepNext/>
              <w:keepLines/>
              <w:jc w:val="right"/>
              <w:rPr>
                <w:rFonts w:cs="Arial"/>
                <w:szCs w:val="18"/>
              </w:rPr>
            </w:pPr>
            <w:r w:rsidRPr="00C36C8F">
              <w:rPr>
                <w:rFonts w:cs="Arial"/>
                <w:color w:val="000000"/>
                <w:szCs w:val="18"/>
              </w:rPr>
              <w:t>5,374,100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B739C3">
            <w:pPr>
              <w:pStyle w:val="TableText"/>
              <w:keepNext/>
              <w:keepLines/>
              <w:jc w:val="right"/>
              <w:rPr>
                <w:rFonts w:cs="Arial"/>
                <w:szCs w:val="18"/>
              </w:rPr>
            </w:pPr>
            <w:r w:rsidRPr="00C36C8F">
              <w:rPr>
                <w:rFonts w:cs="Arial"/>
                <w:color w:val="000000"/>
                <w:szCs w:val="18"/>
              </w:rPr>
              <w:t>957,900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B739C3">
            <w:pPr>
              <w:pStyle w:val="TableText"/>
              <w:keepNext/>
              <w:keepLines/>
              <w:jc w:val="right"/>
              <w:rPr>
                <w:rFonts w:cs="Arial"/>
                <w:szCs w:val="18"/>
              </w:rPr>
            </w:pPr>
            <w:r w:rsidRPr="00C36C8F">
              <w:rPr>
                <w:rFonts w:cs="Arial"/>
                <w:color w:val="000000"/>
                <w:szCs w:val="18"/>
              </w:rPr>
              <w:t>135</w:t>
            </w:r>
          </w:p>
        </w:tc>
        <w:tc>
          <w:tcPr>
            <w:tcW w:w="1329" w:type="dxa"/>
            <w:tcBorders>
              <w:left w:val="single" w:sz="8" w:space="0" w:color="808080" w:themeColor="background1" w:themeShade="80"/>
            </w:tcBorders>
            <w:tcMar>
              <w:right w:w="142" w:type="dxa"/>
            </w:tcMar>
            <w:vAlign w:val="center"/>
          </w:tcPr>
          <w:p w:rsidR="00476BAA" w:rsidRPr="00C36C8F" w:rsidRDefault="00476BAA" w:rsidP="00270FA8">
            <w:pPr>
              <w:pStyle w:val="TableText"/>
              <w:keepNext/>
              <w:keepLines/>
              <w:jc w:val="right"/>
              <w:rPr>
                <w:rFonts w:cs="Arial"/>
                <w:szCs w:val="18"/>
              </w:rPr>
            </w:pPr>
            <w:r w:rsidRPr="00476BAA">
              <w:rPr>
                <w:rFonts w:cs="Arial"/>
                <w:color w:val="000000"/>
                <w:szCs w:val="18"/>
              </w:rPr>
              <w:t>312</w:t>
            </w:r>
          </w:p>
        </w:tc>
      </w:tr>
      <w:tr w:rsidR="00476BAA" w:rsidRPr="00C36C8F" w:rsidTr="00270FA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270FA8">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270FA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B739C3">
            <w:pPr>
              <w:pStyle w:val="TableText"/>
              <w:keepNext/>
              <w:keepLines/>
              <w:jc w:val="right"/>
              <w:rPr>
                <w:rFonts w:cs="Arial"/>
                <w:szCs w:val="18"/>
              </w:rPr>
            </w:pPr>
            <w:r w:rsidRPr="00C36C8F">
              <w:rPr>
                <w:rFonts w:cs="Arial"/>
                <w:color w:val="000000"/>
                <w:szCs w:val="18"/>
              </w:rPr>
              <w:t>1,785,100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B739C3">
            <w:pPr>
              <w:pStyle w:val="TableText"/>
              <w:keepNext/>
              <w:keepLines/>
              <w:jc w:val="right"/>
              <w:rPr>
                <w:rFonts w:cs="Arial"/>
                <w:szCs w:val="18"/>
              </w:rPr>
            </w:pPr>
            <w:r w:rsidRPr="00C36C8F">
              <w:rPr>
                <w:rFonts w:cs="Arial"/>
                <w:color w:val="000000"/>
                <w:szCs w:val="18"/>
              </w:rPr>
              <w:t>176,400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B739C3">
            <w:pPr>
              <w:pStyle w:val="TableText"/>
              <w:keepNext/>
              <w:keepLines/>
              <w:jc w:val="right"/>
              <w:rPr>
                <w:rFonts w:cs="Arial"/>
                <w:szCs w:val="18"/>
              </w:rPr>
            </w:pPr>
            <w:r w:rsidRPr="00C36C8F">
              <w:rPr>
                <w:rFonts w:cs="Arial"/>
                <w:color w:val="000000"/>
                <w:szCs w:val="18"/>
              </w:rPr>
              <w:t>25</w:t>
            </w:r>
          </w:p>
        </w:tc>
        <w:tc>
          <w:tcPr>
            <w:tcW w:w="1329" w:type="dxa"/>
            <w:tcBorders>
              <w:left w:val="single" w:sz="8" w:space="0" w:color="808080" w:themeColor="background1" w:themeShade="80"/>
            </w:tcBorders>
            <w:tcMar>
              <w:right w:w="142" w:type="dxa"/>
            </w:tcMar>
            <w:vAlign w:val="center"/>
          </w:tcPr>
          <w:p w:rsidR="00476BAA" w:rsidRPr="00C36C8F" w:rsidRDefault="00476BAA" w:rsidP="00B739C3">
            <w:pPr>
              <w:pStyle w:val="TableText"/>
              <w:keepNext/>
              <w:keepLines/>
              <w:jc w:val="right"/>
              <w:rPr>
                <w:rFonts w:cs="Arial"/>
                <w:szCs w:val="18"/>
              </w:rPr>
            </w:pPr>
            <w:r w:rsidRPr="00476BAA">
              <w:rPr>
                <w:rFonts w:cs="Arial"/>
                <w:color w:val="000000"/>
                <w:szCs w:val="18"/>
              </w:rPr>
              <w:t>24</w:t>
            </w:r>
          </w:p>
        </w:tc>
      </w:tr>
      <w:tr w:rsidR="00476BAA" w:rsidRPr="00C36C8F" w:rsidTr="00270FA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270FA8">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270FA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3,471,500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2,300,700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324</w:t>
            </w:r>
          </w:p>
        </w:tc>
        <w:tc>
          <w:tcPr>
            <w:tcW w:w="1329" w:type="dxa"/>
            <w:tcBorders>
              <w:left w:val="single" w:sz="8" w:space="0" w:color="808080" w:themeColor="background1" w:themeShade="80"/>
            </w:tcBorders>
            <w:tcMar>
              <w:right w:w="142" w:type="dxa"/>
            </w:tcMar>
            <w:vAlign w:val="center"/>
          </w:tcPr>
          <w:p w:rsidR="00476BAA" w:rsidRPr="00C36C8F" w:rsidRDefault="00476BAA" w:rsidP="00D74E0E">
            <w:pPr>
              <w:pStyle w:val="TableText"/>
              <w:keepNext/>
              <w:keepLines/>
              <w:jc w:val="right"/>
              <w:rPr>
                <w:rFonts w:cs="Arial"/>
                <w:szCs w:val="18"/>
              </w:rPr>
            </w:pPr>
            <w:r w:rsidRPr="00476BAA">
              <w:rPr>
                <w:rFonts w:cs="Arial"/>
                <w:color w:val="000000"/>
                <w:szCs w:val="18"/>
              </w:rPr>
              <w:t>332</w:t>
            </w:r>
          </w:p>
        </w:tc>
      </w:tr>
      <w:tr w:rsidR="00476BAA" w:rsidRPr="00C36C8F" w:rsidTr="00270FA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270FA8">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270FA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2,595,500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904,400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127</w:t>
            </w:r>
          </w:p>
        </w:tc>
        <w:tc>
          <w:tcPr>
            <w:tcW w:w="1329" w:type="dxa"/>
            <w:tcBorders>
              <w:left w:val="single" w:sz="8" w:space="0" w:color="808080" w:themeColor="background1" w:themeShade="80"/>
            </w:tcBorders>
            <w:tcMar>
              <w:right w:w="142" w:type="dxa"/>
            </w:tcMar>
            <w:vAlign w:val="center"/>
          </w:tcPr>
          <w:p w:rsidR="00476BAA" w:rsidRPr="00C36C8F" w:rsidRDefault="00476BAA" w:rsidP="00270FA8">
            <w:pPr>
              <w:pStyle w:val="TableText"/>
              <w:keepNext/>
              <w:keepLines/>
              <w:jc w:val="right"/>
              <w:rPr>
                <w:rFonts w:cs="Arial"/>
                <w:szCs w:val="18"/>
              </w:rPr>
            </w:pPr>
            <w:r w:rsidRPr="00476BAA">
              <w:rPr>
                <w:rFonts w:cs="Arial"/>
                <w:color w:val="000000"/>
                <w:szCs w:val="18"/>
              </w:rPr>
              <w:t>113</w:t>
            </w:r>
          </w:p>
        </w:tc>
      </w:tr>
      <w:tr w:rsidR="00476BAA" w:rsidRPr="00C36C8F" w:rsidTr="00270FA8">
        <w:tc>
          <w:tcPr>
            <w:tcW w:w="2127" w:type="dxa"/>
            <w:tcBorders>
              <w:top w:val="single" w:sz="4" w:space="0" w:color="808080"/>
              <w:bottom w:val="single" w:sz="4" w:space="0" w:color="808080"/>
              <w:right w:val="nil"/>
            </w:tcBorders>
            <w:shd w:val="clear" w:color="auto" w:fill="auto"/>
            <w:vAlign w:val="center"/>
          </w:tcPr>
          <w:p w:rsidR="00476BAA" w:rsidRPr="007E43D0" w:rsidRDefault="00476BAA" w:rsidP="00270FA8">
            <w:pPr>
              <w:pStyle w:val="TableText"/>
              <w:keepNext/>
              <w:keepLines/>
            </w:pPr>
            <w:r w:rsidRPr="007E43D0">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7E43D0" w:rsidRDefault="00476BAA" w:rsidP="00270FA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7E43D0" w:rsidRDefault="00476BAA" w:rsidP="00270FA8">
            <w:pPr>
              <w:pStyle w:val="TableText"/>
              <w:keepNext/>
              <w:keepLines/>
              <w:jc w:val="right"/>
              <w:rPr>
                <w:rFonts w:cs="Arial"/>
                <w:szCs w:val="18"/>
              </w:rPr>
            </w:pPr>
            <w:r w:rsidRPr="007E43D0">
              <w:rPr>
                <w:rFonts w:cs="Arial"/>
                <w:color w:val="000000"/>
                <w:szCs w:val="18"/>
              </w:rPr>
              <w:t>957,900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7E43D0" w:rsidRDefault="00476BAA" w:rsidP="00270FA8">
            <w:pPr>
              <w:pStyle w:val="TableText"/>
              <w:keepNext/>
              <w:keepLines/>
              <w:jc w:val="right"/>
              <w:rPr>
                <w:rFonts w:cs="Arial"/>
                <w:szCs w:val="18"/>
              </w:rPr>
            </w:pPr>
            <w:r w:rsidRPr="007E43D0">
              <w:rPr>
                <w:rFonts w:cs="Arial"/>
                <w:color w:val="000000"/>
                <w:szCs w:val="18"/>
              </w:rPr>
              <w:t>658,100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7E43D0" w:rsidRDefault="00476BAA" w:rsidP="00270FA8">
            <w:pPr>
              <w:pStyle w:val="TableText"/>
              <w:keepNext/>
              <w:keepLines/>
              <w:jc w:val="right"/>
              <w:rPr>
                <w:rFonts w:cs="Arial"/>
                <w:szCs w:val="18"/>
              </w:rPr>
            </w:pPr>
            <w:r w:rsidRPr="007E43D0">
              <w:rPr>
                <w:rFonts w:cs="Arial"/>
                <w:color w:val="000000"/>
                <w:szCs w:val="18"/>
              </w:rPr>
              <w:t>93</w:t>
            </w:r>
          </w:p>
        </w:tc>
        <w:tc>
          <w:tcPr>
            <w:tcW w:w="1329" w:type="dxa"/>
            <w:tcBorders>
              <w:left w:val="single" w:sz="8" w:space="0" w:color="808080" w:themeColor="background1" w:themeShade="80"/>
            </w:tcBorders>
            <w:tcMar>
              <w:right w:w="142" w:type="dxa"/>
            </w:tcMar>
            <w:vAlign w:val="center"/>
          </w:tcPr>
          <w:p w:rsidR="00476BAA" w:rsidRPr="007E43D0" w:rsidRDefault="00476BAA" w:rsidP="00270FA8">
            <w:pPr>
              <w:pStyle w:val="TableText"/>
              <w:keepNext/>
              <w:keepLines/>
              <w:jc w:val="right"/>
              <w:rPr>
                <w:rFonts w:cs="Arial"/>
                <w:szCs w:val="18"/>
              </w:rPr>
            </w:pPr>
            <w:r w:rsidRPr="00476BAA">
              <w:rPr>
                <w:rFonts w:cs="Arial"/>
                <w:color w:val="000000"/>
                <w:szCs w:val="18"/>
              </w:rPr>
              <w:t>80</w:t>
            </w:r>
          </w:p>
        </w:tc>
      </w:tr>
      <w:tr w:rsidR="00476BAA" w:rsidRPr="00C36C8F" w:rsidTr="00270FA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270FA8">
            <w:pPr>
              <w:pStyle w:val="TableText"/>
              <w:keepNext/>
              <w:keepLines/>
            </w:pPr>
            <w:r w:rsidRPr="00C36C8F">
              <w:t>Glass</w:t>
            </w:r>
            <w:r w:rsidRPr="00C36C8F" w:rsidDel="005670AC">
              <w:t xml:space="preserve"> </w:t>
            </w: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270FA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627,400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163,200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23</w:t>
            </w:r>
          </w:p>
        </w:tc>
        <w:tc>
          <w:tcPr>
            <w:tcW w:w="1329" w:type="dxa"/>
            <w:tcBorders>
              <w:left w:val="single" w:sz="8" w:space="0" w:color="808080" w:themeColor="background1" w:themeShade="80"/>
            </w:tcBorders>
            <w:tcMar>
              <w:right w:w="142" w:type="dxa"/>
            </w:tcMar>
            <w:vAlign w:val="center"/>
          </w:tcPr>
          <w:p w:rsidR="00476BAA" w:rsidRPr="00C36C8F" w:rsidRDefault="00476BAA" w:rsidP="00D74E0E">
            <w:pPr>
              <w:pStyle w:val="TableText"/>
              <w:keepNext/>
              <w:keepLines/>
              <w:jc w:val="right"/>
              <w:rPr>
                <w:rFonts w:cs="Arial"/>
                <w:szCs w:val="18"/>
              </w:rPr>
            </w:pPr>
            <w:r w:rsidRPr="00476BAA">
              <w:rPr>
                <w:rFonts w:cs="Arial"/>
                <w:color w:val="000000"/>
                <w:szCs w:val="18"/>
              </w:rPr>
              <w:t>21</w:t>
            </w:r>
          </w:p>
        </w:tc>
      </w:tr>
      <w:tr w:rsidR="00476BAA" w:rsidRPr="00C36C8F" w:rsidTr="006170C4">
        <w:tc>
          <w:tcPr>
            <w:tcW w:w="2127" w:type="dxa"/>
            <w:vMerge w:val="restart"/>
            <w:tcBorders>
              <w:top w:val="single" w:sz="4" w:space="0" w:color="808080"/>
              <w:right w:val="nil"/>
            </w:tcBorders>
            <w:shd w:val="clear" w:color="auto" w:fill="auto"/>
            <w:vAlign w:val="center"/>
          </w:tcPr>
          <w:p w:rsidR="00476BAA" w:rsidRPr="00C36C8F" w:rsidRDefault="00476BAA" w:rsidP="00270FA8">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270FA8">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174,200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174,200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25</w:t>
            </w:r>
          </w:p>
        </w:tc>
        <w:tc>
          <w:tcPr>
            <w:tcW w:w="1329" w:type="dxa"/>
            <w:tcBorders>
              <w:left w:val="single" w:sz="8" w:space="0" w:color="808080" w:themeColor="background1" w:themeShade="80"/>
            </w:tcBorders>
            <w:tcMar>
              <w:right w:w="142" w:type="dxa"/>
            </w:tcMar>
            <w:vAlign w:val="center"/>
          </w:tcPr>
          <w:p w:rsidR="00476BAA" w:rsidRPr="00C36C8F" w:rsidRDefault="00476BAA" w:rsidP="00D74E0E">
            <w:pPr>
              <w:pStyle w:val="TableText"/>
              <w:keepNext/>
              <w:keepLines/>
              <w:jc w:val="right"/>
              <w:rPr>
                <w:rFonts w:cs="Arial"/>
                <w:szCs w:val="18"/>
              </w:rPr>
            </w:pPr>
            <w:r w:rsidRPr="00476BAA">
              <w:rPr>
                <w:rFonts w:cs="Arial"/>
                <w:color w:val="000000"/>
                <w:szCs w:val="18"/>
              </w:rPr>
              <w:t>22</w:t>
            </w:r>
          </w:p>
        </w:tc>
      </w:tr>
      <w:tr w:rsidR="00476BAA" w:rsidRPr="00C36C8F" w:rsidTr="006170C4">
        <w:tc>
          <w:tcPr>
            <w:tcW w:w="2127" w:type="dxa"/>
            <w:vMerge/>
            <w:tcBorders>
              <w:bottom w:val="single" w:sz="4" w:space="0" w:color="808080"/>
              <w:right w:val="nil"/>
            </w:tcBorders>
            <w:shd w:val="clear" w:color="auto" w:fill="auto"/>
            <w:vAlign w:val="center"/>
          </w:tcPr>
          <w:p w:rsidR="00476BAA" w:rsidRPr="00C36C8F" w:rsidRDefault="00476BAA" w:rsidP="00270FA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270FA8">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C36C8F">
              <w:rPr>
                <w:rFonts w:cs="Arial"/>
                <w:color w:val="000000"/>
                <w:szCs w:val="18"/>
              </w:rPr>
              <w:t>29,400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D74E0E">
            <w:pPr>
              <w:pStyle w:val="TableText"/>
              <w:keepNext/>
              <w:keepLines/>
              <w:jc w:val="right"/>
              <w:rPr>
                <w:rFonts w:cs="Arial"/>
                <w:szCs w:val="18"/>
              </w:rPr>
            </w:pPr>
            <w:r w:rsidRPr="000B315F">
              <w:rPr>
                <w:color w:val="000000"/>
              </w:rPr>
              <w:t>29,400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4</w:t>
            </w:r>
          </w:p>
        </w:tc>
        <w:tc>
          <w:tcPr>
            <w:tcW w:w="1329" w:type="dxa"/>
            <w:tcBorders>
              <w:left w:val="single" w:sz="8" w:space="0" w:color="808080" w:themeColor="background1" w:themeShade="80"/>
            </w:tcBorders>
            <w:tcMar>
              <w:right w:w="142" w:type="dxa"/>
            </w:tcMar>
            <w:vAlign w:val="center"/>
          </w:tcPr>
          <w:p w:rsidR="00476BAA" w:rsidRPr="00C36C8F" w:rsidRDefault="00476BAA" w:rsidP="00D74E0E">
            <w:pPr>
              <w:pStyle w:val="TableText"/>
              <w:keepNext/>
              <w:keepLines/>
              <w:jc w:val="right"/>
              <w:rPr>
                <w:rFonts w:cs="Arial"/>
                <w:szCs w:val="18"/>
              </w:rPr>
            </w:pPr>
            <w:r w:rsidRPr="00476BAA">
              <w:rPr>
                <w:rFonts w:cs="Arial"/>
                <w:color w:val="000000"/>
                <w:szCs w:val="18"/>
              </w:rPr>
              <w:t>12</w:t>
            </w:r>
          </w:p>
        </w:tc>
      </w:tr>
      <w:tr w:rsidR="00476BAA" w:rsidRPr="00C36C8F" w:rsidTr="00270FA8">
        <w:tc>
          <w:tcPr>
            <w:tcW w:w="2127" w:type="dxa"/>
            <w:vMerge w:val="restart"/>
            <w:tcBorders>
              <w:top w:val="single" w:sz="4" w:space="0" w:color="808080"/>
              <w:bottom w:val="single" w:sz="4" w:space="0" w:color="808080"/>
              <w:right w:val="nil"/>
            </w:tcBorders>
            <w:shd w:val="clear" w:color="auto" w:fill="auto"/>
            <w:vAlign w:val="center"/>
          </w:tcPr>
          <w:p w:rsidR="00476BAA" w:rsidRPr="00C36C8F" w:rsidRDefault="00476BAA" w:rsidP="00270FA8">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270FA8">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tcBorders>
            <w:tcMar>
              <w:right w:w="142" w:type="dxa"/>
            </w:tcMar>
            <w:vAlign w:val="center"/>
          </w:tcPr>
          <w:p w:rsidR="00476BAA" w:rsidRPr="00C36C8F" w:rsidRDefault="00476BAA" w:rsidP="00270FA8">
            <w:pPr>
              <w:pStyle w:val="TableText"/>
              <w:keepNext/>
              <w:keepLines/>
              <w:jc w:val="right"/>
              <w:rPr>
                <w:rFonts w:cs="Arial"/>
                <w:szCs w:val="18"/>
              </w:rPr>
            </w:pPr>
            <w:r w:rsidRPr="00476BAA">
              <w:rPr>
                <w:rFonts w:cs="Arial"/>
                <w:color w:val="000000"/>
                <w:szCs w:val="18"/>
              </w:rPr>
              <w:t>1</w:t>
            </w:r>
          </w:p>
        </w:tc>
      </w:tr>
      <w:tr w:rsidR="00476BAA" w:rsidRPr="00C36C8F" w:rsidTr="00270FA8">
        <w:tc>
          <w:tcPr>
            <w:tcW w:w="2127" w:type="dxa"/>
            <w:vMerge/>
            <w:tcBorders>
              <w:top w:val="single" w:sz="4" w:space="0" w:color="808080"/>
              <w:bottom w:val="single" w:sz="4" w:space="0" w:color="808080"/>
              <w:right w:val="nil"/>
            </w:tcBorders>
            <w:shd w:val="clear" w:color="auto" w:fill="auto"/>
            <w:vAlign w:val="center"/>
          </w:tcPr>
          <w:p w:rsidR="00476BAA" w:rsidRPr="00C36C8F" w:rsidRDefault="00476BAA" w:rsidP="00270FA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270FA8">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C044FF">
            <w:pPr>
              <w:pStyle w:val="TableText"/>
              <w:keepNext/>
              <w:keepLines/>
              <w:jc w:val="right"/>
              <w:rPr>
                <w:rFonts w:cs="Arial"/>
                <w:szCs w:val="18"/>
              </w:rPr>
            </w:pPr>
            <w:r w:rsidRPr="00C36C8F">
              <w:rPr>
                <w:rFonts w:cs="Arial"/>
                <w:color w:val="000000"/>
                <w:szCs w:val="18"/>
              </w:rPr>
              <w:t>371,600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C044FF">
            <w:pPr>
              <w:pStyle w:val="TableText"/>
              <w:keepNext/>
              <w:keepLines/>
              <w:jc w:val="right"/>
              <w:rPr>
                <w:rFonts w:cs="Arial"/>
                <w:szCs w:val="18"/>
              </w:rPr>
            </w:pPr>
            <w:r w:rsidRPr="00C36C8F">
              <w:rPr>
                <w:rFonts w:cs="Arial"/>
                <w:color w:val="000000"/>
                <w:szCs w:val="18"/>
              </w:rPr>
              <w:t>371,600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C044FF">
            <w:pPr>
              <w:pStyle w:val="TableText"/>
              <w:keepNext/>
              <w:keepLines/>
              <w:jc w:val="right"/>
              <w:rPr>
                <w:rFonts w:cs="Arial"/>
                <w:szCs w:val="18"/>
              </w:rPr>
            </w:pPr>
            <w:r w:rsidRPr="00C36C8F">
              <w:rPr>
                <w:rFonts w:cs="Arial"/>
                <w:color w:val="000000"/>
                <w:szCs w:val="18"/>
              </w:rPr>
              <w:t>52</w:t>
            </w:r>
          </w:p>
        </w:tc>
        <w:tc>
          <w:tcPr>
            <w:tcW w:w="1329" w:type="dxa"/>
            <w:tcBorders>
              <w:left w:val="single" w:sz="8" w:space="0" w:color="808080" w:themeColor="background1" w:themeShade="80"/>
            </w:tcBorders>
            <w:tcMar>
              <w:right w:w="142" w:type="dxa"/>
            </w:tcMar>
            <w:vAlign w:val="center"/>
          </w:tcPr>
          <w:p w:rsidR="00476BAA" w:rsidRPr="00C36C8F" w:rsidRDefault="00476BAA" w:rsidP="00270FA8">
            <w:pPr>
              <w:pStyle w:val="TableText"/>
              <w:keepNext/>
              <w:keepLines/>
              <w:jc w:val="right"/>
              <w:rPr>
                <w:rFonts w:cs="Arial"/>
                <w:szCs w:val="18"/>
              </w:rPr>
            </w:pPr>
            <w:r w:rsidRPr="00476BAA">
              <w:rPr>
                <w:rFonts w:cs="Arial"/>
                <w:color w:val="000000"/>
                <w:szCs w:val="18"/>
              </w:rPr>
              <w:t>57</w:t>
            </w:r>
          </w:p>
        </w:tc>
      </w:tr>
      <w:tr w:rsidR="00476BAA" w:rsidRPr="00C36C8F" w:rsidTr="00270FA8">
        <w:tc>
          <w:tcPr>
            <w:tcW w:w="2127" w:type="dxa"/>
            <w:vMerge/>
            <w:tcBorders>
              <w:top w:val="single" w:sz="4" w:space="0" w:color="808080"/>
              <w:bottom w:val="single" w:sz="4" w:space="0" w:color="808080"/>
              <w:right w:val="nil"/>
            </w:tcBorders>
            <w:shd w:val="clear" w:color="auto" w:fill="auto"/>
            <w:vAlign w:val="center"/>
          </w:tcPr>
          <w:p w:rsidR="00476BAA" w:rsidRPr="00C36C8F" w:rsidRDefault="00476BAA" w:rsidP="00270FA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270FA8">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467,900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467,900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66</w:t>
            </w:r>
          </w:p>
        </w:tc>
        <w:tc>
          <w:tcPr>
            <w:tcW w:w="1329" w:type="dxa"/>
            <w:tcBorders>
              <w:left w:val="single" w:sz="8" w:space="0" w:color="808080" w:themeColor="background1" w:themeShade="80"/>
            </w:tcBorders>
            <w:tcMar>
              <w:right w:w="142" w:type="dxa"/>
            </w:tcMar>
            <w:vAlign w:val="center"/>
          </w:tcPr>
          <w:p w:rsidR="00476BAA" w:rsidRPr="00C36C8F" w:rsidRDefault="00476BAA" w:rsidP="00270FA8">
            <w:pPr>
              <w:pStyle w:val="TableText"/>
              <w:keepNext/>
              <w:keepLines/>
              <w:jc w:val="right"/>
              <w:rPr>
                <w:rFonts w:cs="Arial"/>
                <w:szCs w:val="18"/>
              </w:rPr>
            </w:pPr>
            <w:r w:rsidRPr="00476BAA">
              <w:rPr>
                <w:rFonts w:cs="Arial"/>
                <w:color w:val="000000"/>
                <w:szCs w:val="18"/>
              </w:rPr>
              <w:t>34</w:t>
            </w:r>
          </w:p>
        </w:tc>
      </w:tr>
      <w:tr w:rsidR="00476BAA" w:rsidRPr="00C36C8F" w:rsidTr="00270FA8">
        <w:tc>
          <w:tcPr>
            <w:tcW w:w="2127" w:type="dxa"/>
            <w:vMerge/>
            <w:tcBorders>
              <w:top w:val="single" w:sz="4" w:space="0" w:color="808080"/>
              <w:bottom w:val="single" w:sz="4" w:space="0" w:color="808080"/>
              <w:right w:val="nil"/>
            </w:tcBorders>
            <w:shd w:val="clear" w:color="auto" w:fill="auto"/>
            <w:vAlign w:val="center"/>
          </w:tcPr>
          <w:p w:rsidR="00476BAA" w:rsidRPr="00C36C8F" w:rsidRDefault="00476BAA" w:rsidP="00270FA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270FA8">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C044FF">
            <w:pPr>
              <w:pStyle w:val="TableText"/>
              <w:keepNext/>
              <w:keepLines/>
              <w:jc w:val="right"/>
              <w:rPr>
                <w:rFonts w:cs="Arial"/>
                <w:szCs w:val="18"/>
              </w:rPr>
            </w:pPr>
            <w:r w:rsidRPr="00C36C8F">
              <w:rPr>
                <w:rFonts w:cs="Arial"/>
                <w:color w:val="000000"/>
                <w:szCs w:val="18"/>
              </w:rPr>
              <w:t>434,900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C044FF">
            <w:pPr>
              <w:pStyle w:val="TableText"/>
              <w:keepNext/>
              <w:keepLines/>
              <w:jc w:val="right"/>
              <w:rPr>
                <w:rFonts w:cs="Arial"/>
                <w:szCs w:val="18"/>
              </w:rPr>
            </w:pPr>
            <w:r w:rsidRPr="00C36C8F">
              <w:rPr>
                <w:rFonts w:cs="Arial"/>
                <w:color w:val="000000"/>
                <w:szCs w:val="18"/>
              </w:rPr>
              <w:t>434,900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61</w:t>
            </w:r>
          </w:p>
        </w:tc>
        <w:tc>
          <w:tcPr>
            <w:tcW w:w="1329" w:type="dxa"/>
            <w:tcBorders>
              <w:left w:val="single" w:sz="8" w:space="0" w:color="808080" w:themeColor="background1" w:themeShade="80"/>
              <w:bottom w:val="single" w:sz="4" w:space="0" w:color="808080"/>
            </w:tcBorders>
            <w:tcMar>
              <w:right w:w="142" w:type="dxa"/>
            </w:tcMar>
            <w:vAlign w:val="center"/>
          </w:tcPr>
          <w:p w:rsidR="00476BAA" w:rsidRPr="00C36C8F" w:rsidRDefault="00476BAA" w:rsidP="00270FA8">
            <w:pPr>
              <w:pStyle w:val="TableText"/>
              <w:keepNext/>
              <w:keepLines/>
              <w:jc w:val="right"/>
              <w:rPr>
                <w:rFonts w:cs="Arial"/>
                <w:szCs w:val="18"/>
              </w:rPr>
            </w:pPr>
            <w:r w:rsidRPr="00476BAA">
              <w:rPr>
                <w:rFonts w:cs="Arial"/>
                <w:color w:val="000000"/>
                <w:szCs w:val="18"/>
              </w:rPr>
              <w:t>25</w:t>
            </w:r>
          </w:p>
        </w:tc>
      </w:tr>
      <w:tr w:rsidR="00476BAA" w:rsidRPr="00C36C8F" w:rsidTr="00270FA8">
        <w:tc>
          <w:tcPr>
            <w:tcW w:w="2127" w:type="dxa"/>
            <w:tcBorders>
              <w:top w:val="single" w:sz="4" w:space="0" w:color="808080"/>
              <w:bottom w:val="single" w:sz="18" w:space="0" w:color="808080" w:themeColor="background1" w:themeShade="80"/>
              <w:right w:val="nil"/>
            </w:tcBorders>
            <w:shd w:val="clear" w:color="auto" w:fill="auto"/>
            <w:vAlign w:val="center"/>
          </w:tcPr>
          <w:p w:rsidR="00476BAA" w:rsidRPr="00C36C8F" w:rsidRDefault="00476BAA" w:rsidP="00270FA8">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476BAA" w:rsidRPr="00C36C8F" w:rsidRDefault="00476BAA" w:rsidP="00270FA8">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C044FF">
            <w:pPr>
              <w:pStyle w:val="TableText"/>
              <w:keepNext/>
              <w:keepLines/>
              <w:jc w:val="right"/>
              <w:rPr>
                <w:rFonts w:cs="Arial"/>
                <w:b/>
                <w:szCs w:val="18"/>
              </w:rPr>
            </w:pPr>
            <w:r w:rsidRPr="00C36C8F">
              <w:rPr>
                <w:rFonts w:cs="Arial"/>
                <w:b/>
                <w:bCs/>
                <w:color w:val="000000"/>
                <w:szCs w:val="18"/>
              </w:rPr>
              <w:t>16,289,600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b/>
                <w:szCs w:val="18"/>
              </w:rPr>
            </w:pPr>
            <w:r w:rsidRPr="00C36C8F">
              <w:rPr>
                <w:rFonts w:cs="Arial"/>
                <w:b/>
                <w:bCs/>
                <w:color w:val="000000"/>
                <w:szCs w:val="18"/>
              </w:rPr>
              <w:t>6,638,800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b/>
                <w:szCs w:val="18"/>
              </w:rPr>
            </w:pPr>
            <w:r w:rsidRPr="00C36C8F">
              <w:rPr>
                <w:rFonts w:cs="Arial"/>
                <w:b/>
                <w:bCs/>
                <w:color w:val="000000"/>
                <w:szCs w:val="18"/>
              </w:rPr>
              <w:t>935</w:t>
            </w:r>
          </w:p>
        </w:tc>
        <w:tc>
          <w:tcPr>
            <w:tcW w:w="1329"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C36C8F" w:rsidRDefault="00476BAA" w:rsidP="00C044FF">
            <w:pPr>
              <w:pStyle w:val="TableText"/>
              <w:keepNext/>
              <w:keepLines/>
              <w:jc w:val="right"/>
              <w:rPr>
                <w:rFonts w:cs="Arial"/>
                <w:b/>
                <w:szCs w:val="18"/>
              </w:rPr>
            </w:pPr>
            <w:r w:rsidRPr="00476BAA">
              <w:rPr>
                <w:rFonts w:cs="Arial"/>
                <w:b/>
                <w:bCs/>
                <w:color w:val="000000"/>
                <w:szCs w:val="18"/>
              </w:rPr>
              <w:t>1,035</w:t>
            </w:r>
          </w:p>
        </w:tc>
      </w:tr>
      <w:tr w:rsidR="00476BAA" w:rsidRPr="00C36C8F" w:rsidTr="00270FA8">
        <w:tc>
          <w:tcPr>
            <w:tcW w:w="2127" w:type="dxa"/>
            <w:tcBorders>
              <w:top w:val="single" w:sz="18" w:space="0" w:color="808080" w:themeColor="background1" w:themeShade="80"/>
              <w:bottom w:val="single" w:sz="4" w:space="0" w:color="808080"/>
              <w:right w:val="nil"/>
            </w:tcBorders>
            <w:shd w:val="clear" w:color="auto" w:fill="auto"/>
            <w:vAlign w:val="center"/>
          </w:tcPr>
          <w:p w:rsidR="00476BAA" w:rsidRPr="00C36C8F" w:rsidRDefault="00476BAA" w:rsidP="00270FA8">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476BAA" w:rsidRPr="00C36C8F" w:rsidRDefault="00476BAA" w:rsidP="00270FA8">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ascii="Calibri" w:hAnsi="Calibri" w:cs="Calibri"/>
                <w:color w:val="000000"/>
                <w:sz w:val="20"/>
              </w:rPr>
              <w:t>4,477,900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3,772,100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szCs w:val="18"/>
              </w:rPr>
            </w:pPr>
            <w:r w:rsidRPr="00C36C8F">
              <w:rPr>
                <w:rFonts w:cs="Arial"/>
                <w:color w:val="000000"/>
                <w:szCs w:val="18"/>
              </w:rPr>
              <w:t>531</w:t>
            </w:r>
          </w:p>
        </w:tc>
        <w:tc>
          <w:tcPr>
            <w:tcW w:w="1329" w:type="dxa"/>
            <w:tcBorders>
              <w:top w:val="single" w:sz="18" w:space="0" w:color="808080" w:themeColor="background1" w:themeShade="80"/>
              <w:left w:val="single" w:sz="8" w:space="0" w:color="808080" w:themeColor="background1" w:themeShade="80"/>
              <w:bottom w:val="single" w:sz="4" w:space="0" w:color="808080"/>
            </w:tcBorders>
            <w:tcMar>
              <w:right w:w="142" w:type="dxa"/>
            </w:tcMar>
            <w:vAlign w:val="center"/>
          </w:tcPr>
          <w:p w:rsidR="00476BAA" w:rsidRPr="00C36C8F" w:rsidRDefault="00476BAA" w:rsidP="00270FA8">
            <w:pPr>
              <w:pStyle w:val="TableText"/>
              <w:keepNext/>
              <w:keepLines/>
              <w:jc w:val="right"/>
              <w:rPr>
                <w:rFonts w:cs="Arial"/>
                <w:szCs w:val="18"/>
              </w:rPr>
            </w:pPr>
            <w:r w:rsidRPr="00476BAA">
              <w:rPr>
                <w:rFonts w:cs="Arial"/>
                <w:color w:val="000000"/>
                <w:szCs w:val="18"/>
              </w:rPr>
              <w:t>532</w:t>
            </w:r>
          </w:p>
        </w:tc>
      </w:tr>
      <w:tr w:rsidR="00476BAA" w:rsidRPr="00C36C8F" w:rsidTr="00270FA8">
        <w:tc>
          <w:tcPr>
            <w:tcW w:w="2127" w:type="dxa"/>
            <w:tcBorders>
              <w:top w:val="single" w:sz="4" w:space="0" w:color="808080"/>
              <w:bottom w:val="single" w:sz="18" w:space="0" w:color="7F7F7F" w:themeColor="text1" w:themeTint="80"/>
              <w:right w:val="nil"/>
            </w:tcBorders>
            <w:shd w:val="clear" w:color="auto" w:fill="auto"/>
            <w:vAlign w:val="center"/>
          </w:tcPr>
          <w:p w:rsidR="00476BAA" w:rsidRPr="00C36C8F" w:rsidRDefault="00476BAA" w:rsidP="00270FA8">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476BAA" w:rsidRPr="00C36C8F" w:rsidRDefault="00476BAA" w:rsidP="00270FA8">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C36C8F" w:rsidRDefault="00476BAA" w:rsidP="00C044FF">
            <w:pPr>
              <w:pStyle w:val="TableText"/>
              <w:keepNext/>
              <w:keepLines/>
              <w:jc w:val="right"/>
              <w:rPr>
                <w:rFonts w:cs="Arial"/>
                <w:b/>
                <w:szCs w:val="18"/>
              </w:rPr>
            </w:pPr>
            <w:r w:rsidRPr="00C36C8F">
              <w:rPr>
                <w:rFonts w:cs="Arial"/>
                <w:b/>
                <w:bCs/>
                <w:color w:val="000000"/>
                <w:szCs w:val="18"/>
              </w:rPr>
              <w:t>20,767,500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b/>
                <w:szCs w:val="18"/>
              </w:rPr>
            </w:pPr>
            <w:r w:rsidRPr="00C36C8F">
              <w:rPr>
                <w:rFonts w:cs="Arial"/>
                <w:b/>
                <w:bCs/>
                <w:color w:val="000000"/>
                <w:szCs w:val="18"/>
              </w:rPr>
              <w:t>10,410,800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C36C8F" w:rsidRDefault="00476BAA" w:rsidP="00270FA8">
            <w:pPr>
              <w:pStyle w:val="TableText"/>
              <w:keepNext/>
              <w:keepLines/>
              <w:jc w:val="right"/>
              <w:rPr>
                <w:rFonts w:cs="Arial"/>
                <w:b/>
                <w:szCs w:val="18"/>
              </w:rPr>
            </w:pPr>
            <w:r w:rsidRPr="00C36C8F">
              <w:rPr>
                <w:rFonts w:cs="Arial"/>
                <w:b/>
                <w:bCs/>
                <w:color w:val="000000"/>
                <w:szCs w:val="18"/>
              </w:rPr>
              <w:t>1,466</w:t>
            </w:r>
          </w:p>
        </w:tc>
        <w:tc>
          <w:tcPr>
            <w:tcW w:w="1329" w:type="dxa"/>
            <w:tcBorders>
              <w:top w:val="single" w:sz="4" w:space="0" w:color="808080"/>
              <w:left w:val="single" w:sz="8" w:space="0" w:color="808080" w:themeColor="background1" w:themeShade="80"/>
              <w:bottom w:val="single" w:sz="18" w:space="0" w:color="7F7F7F" w:themeColor="text1" w:themeTint="80"/>
            </w:tcBorders>
            <w:tcMar>
              <w:right w:w="142" w:type="dxa"/>
            </w:tcMar>
            <w:vAlign w:val="center"/>
          </w:tcPr>
          <w:p w:rsidR="00476BAA" w:rsidRPr="00C36C8F" w:rsidRDefault="00476BAA" w:rsidP="00270FA8">
            <w:pPr>
              <w:pStyle w:val="TableText"/>
              <w:keepNext/>
              <w:keepLines/>
              <w:jc w:val="right"/>
              <w:rPr>
                <w:rFonts w:cs="Arial"/>
                <w:b/>
                <w:szCs w:val="18"/>
              </w:rPr>
            </w:pPr>
            <w:r w:rsidRPr="00476BAA">
              <w:rPr>
                <w:rFonts w:cs="Arial"/>
                <w:b/>
                <w:bCs/>
                <w:color w:val="000000"/>
                <w:szCs w:val="18"/>
              </w:rPr>
              <w:t>1,567</w:t>
            </w:r>
          </w:p>
        </w:tc>
      </w:tr>
    </w:tbl>
    <w:p w:rsidR="003751DB" w:rsidRPr="00C36C8F" w:rsidRDefault="002E4BF3" w:rsidP="00802C9D">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DE05C7" w:rsidRPr="00C36C8F" w:rsidRDefault="00B9555F" w:rsidP="00F85334">
      <w:pPr>
        <w:pStyle w:val="ParaIndent"/>
        <w:keepNext/>
        <w:keepLines/>
        <w:spacing w:before="120"/>
        <w:jc w:val="both"/>
      </w:pPr>
      <w:fldSimple w:instr=" REF _Ref284591405 \h  \* MERGEFORMAT ">
        <w:r w:rsidR="00AE7E3B" w:rsidRPr="00C36C8F">
          <w:t xml:space="preserve">Table </w:t>
        </w:r>
        <w:r w:rsidR="00AE7E3B">
          <w:t>4</w:t>
        </w:r>
        <w:r w:rsidR="00AE7E3B" w:rsidRPr="00C36C8F">
          <w:t>-</w:t>
        </w:r>
        <w:r w:rsidR="00AE7E3B">
          <w:t>15</w:t>
        </w:r>
      </w:fldSimple>
      <w:r w:rsidR="00802C9D" w:rsidRPr="00C36C8F">
        <w:t xml:space="preserve"> presents the</w:t>
      </w:r>
      <w:r w:rsidR="00DE05C7" w:rsidRPr="00C36C8F">
        <w:t xml:space="preserve"> total recycling by mat</w:t>
      </w:r>
      <w:r w:rsidR="00802C9D" w:rsidRPr="00C36C8F">
        <w:t xml:space="preserve">erial for NSW during 2008–09, </w:t>
      </w:r>
      <w:r w:rsidR="00DE05C7" w:rsidRPr="00C36C8F">
        <w:t>in terms of total tonnes, per</w:t>
      </w:r>
      <w:r w:rsidR="00EE5960" w:rsidRPr="00C36C8F">
        <w:t xml:space="preserve"> capita </w:t>
      </w:r>
      <w:r w:rsidR="00802C9D" w:rsidRPr="00C36C8F">
        <w:t>rate and recycling</w:t>
      </w:r>
      <w:r w:rsidR="00DE05C7" w:rsidRPr="00C36C8F">
        <w:t xml:space="preserve"> ra</w:t>
      </w:r>
      <w:r w:rsidR="00690F1F" w:rsidRPr="00C36C8F">
        <w:t>te.</w:t>
      </w:r>
      <w:r w:rsidR="00EE5960" w:rsidRPr="00C36C8F">
        <w:t xml:space="preserve"> The per capita</w:t>
      </w:r>
      <w:r w:rsidR="00802C9D" w:rsidRPr="00C36C8F">
        <w:t xml:space="preserve"> recycling</w:t>
      </w:r>
      <w:r w:rsidR="00DE05C7" w:rsidRPr="00C36C8F">
        <w:t xml:space="preserve"> </w:t>
      </w:r>
      <w:r w:rsidR="00802C9D" w:rsidRPr="00C36C8F">
        <w:t xml:space="preserve">rate </w:t>
      </w:r>
      <w:r w:rsidR="00DE05C7" w:rsidRPr="00C36C8F">
        <w:t>for NSW is</w:t>
      </w:r>
      <w:r w:rsidR="00802C9D" w:rsidRPr="00C36C8F">
        <w:t xml:space="preserve"> also</w:t>
      </w:r>
      <w:r w:rsidR="00DE05C7" w:rsidRPr="00C36C8F">
        <w:t xml:space="preserve"> compared to the nationa</w:t>
      </w:r>
      <w:r w:rsidR="00EE5960" w:rsidRPr="00C36C8F">
        <w:t>l a</w:t>
      </w:r>
      <w:r w:rsidR="00802C9D" w:rsidRPr="00C36C8F">
        <w:t>verage per capita recycling rate</w:t>
      </w:r>
      <w:r w:rsidR="008C7E57" w:rsidRPr="00C36C8F">
        <w:t>.</w:t>
      </w:r>
    </w:p>
    <w:p w:rsidR="00DE05C7" w:rsidRPr="00C36C8F" w:rsidRDefault="00DE05C7" w:rsidP="00DE05C7">
      <w:pPr>
        <w:pStyle w:val="Caption"/>
        <w:tabs>
          <w:tab w:val="left" w:pos="7275"/>
        </w:tabs>
      </w:pPr>
      <w:bookmarkStart w:id="144" w:name="_Ref284591405"/>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15</w:t>
      </w:r>
      <w:r w:rsidR="00B9555F" w:rsidRPr="00C36C8F">
        <w:rPr>
          <w:noProof/>
        </w:rPr>
        <w:fldChar w:fldCharType="end"/>
      </w:r>
      <w:bookmarkEnd w:id="144"/>
      <w:r w:rsidRPr="00C36C8F">
        <w:tab/>
      </w:r>
      <w:r w:rsidR="00E61926" w:rsidRPr="00C36C8F">
        <w:t>NSW r</w:t>
      </w:r>
      <w:r w:rsidRPr="00C36C8F">
        <w:t>ecycling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270FA8" w:rsidRPr="00C36C8F" w:rsidTr="00270FA8">
        <w:tc>
          <w:tcPr>
            <w:tcW w:w="4111" w:type="dxa"/>
            <w:gridSpan w:val="2"/>
            <w:tcBorders>
              <w:right w:val="single" w:sz="4" w:space="0" w:color="808080"/>
            </w:tcBorders>
            <w:shd w:val="clear" w:color="auto" w:fill="auto"/>
            <w:vAlign w:val="center"/>
          </w:tcPr>
          <w:p w:rsidR="00270FA8" w:rsidRPr="00C36C8F" w:rsidRDefault="00270FA8" w:rsidP="008C7E57">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270FA8" w:rsidRPr="00C36C8F" w:rsidRDefault="00270FA8" w:rsidP="008C7E57">
            <w:pPr>
              <w:pStyle w:val="TableHeading"/>
              <w:keepLines/>
              <w:jc w:val="center"/>
              <w:rPr>
                <w:kern w:val="28"/>
              </w:rPr>
            </w:pPr>
            <w:r w:rsidRPr="00C36C8F">
              <w:rPr>
                <w:kern w:val="28"/>
              </w:rPr>
              <w:t>NSW recycling</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270FA8" w:rsidRPr="00C36C8F" w:rsidRDefault="00270FA8" w:rsidP="008C7E57">
            <w:pPr>
              <w:pStyle w:val="TableHeading"/>
              <w:keepLines/>
              <w:jc w:val="center"/>
              <w:rPr>
                <w:kern w:val="28"/>
              </w:rPr>
            </w:pPr>
            <w:r w:rsidRPr="00C36C8F">
              <w:rPr>
                <w:kern w:val="28"/>
              </w:rPr>
              <w:t>National average</w:t>
            </w:r>
          </w:p>
        </w:tc>
        <w:tc>
          <w:tcPr>
            <w:tcW w:w="1329" w:type="dxa"/>
            <w:tcBorders>
              <w:left w:val="single" w:sz="8" w:space="0" w:color="808080" w:themeColor="background1" w:themeShade="80"/>
            </w:tcBorders>
            <w:shd w:val="clear" w:color="auto" w:fill="auto"/>
            <w:vAlign w:val="center"/>
          </w:tcPr>
          <w:p w:rsidR="00270FA8" w:rsidRPr="00C36C8F" w:rsidRDefault="00270FA8" w:rsidP="008C7E57">
            <w:pPr>
              <w:pStyle w:val="TableHeading"/>
              <w:keepLines/>
              <w:jc w:val="center"/>
              <w:rPr>
                <w:kern w:val="28"/>
              </w:rPr>
            </w:pPr>
            <w:r w:rsidRPr="00C36C8F">
              <w:rPr>
                <w:kern w:val="28"/>
              </w:rPr>
              <w:t>NSW recycling rate</w:t>
            </w:r>
          </w:p>
        </w:tc>
      </w:tr>
      <w:tr w:rsidR="00270FA8" w:rsidRPr="00C36C8F" w:rsidTr="00270FA8">
        <w:tc>
          <w:tcPr>
            <w:tcW w:w="2127" w:type="dxa"/>
            <w:tcBorders>
              <w:bottom w:val="single" w:sz="4" w:space="0" w:color="808080"/>
              <w:right w:val="nil"/>
            </w:tcBorders>
            <w:shd w:val="clear" w:color="auto" w:fill="auto"/>
          </w:tcPr>
          <w:p w:rsidR="00270FA8" w:rsidRPr="00C36C8F" w:rsidRDefault="00270FA8" w:rsidP="003B428C">
            <w:pPr>
              <w:pStyle w:val="TableHeading"/>
              <w:keepLines/>
              <w:jc w:val="center"/>
              <w:rPr>
                <w:kern w:val="28"/>
              </w:rPr>
            </w:pPr>
            <w:r w:rsidRPr="00C36C8F">
              <w:rPr>
                <w:kern w:val="28"/>
              </w:rPr>
              <w:t>Ma</w:t>
            </w:r>
            <w:r w:rsidR="003B428C"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270FA8" w:rsidRPr="00C36C8F" w:rsidRDefault="003B428C" w:rsidP="008C7E57">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270FA8" w:rsidRPr="00C36C8F" w:rsidRDefault="00270FA8" w:rsidP="008C7E57">
            <w:pPr>
              <w:pStyle w:val="TableHeading"/>
              <w:keepLines/>
              <w:jc w:val="center"/>
              <w:rPr>
                <w:kern w:val="28"/>
              </w:rPr>
            </w:pPr>
            <w:bookmarkStart w:id="145" w:name="RANGE!J78"/>
            <w:r w:rsidRPr="00C36C8F">
              <w:rPr>
                <w:kern w:val="28"/>
              </w:rPr>
              <w:t>tonnes</w:t>
            </w:r>
            <w:bookmarkEnd w:id="145"/>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270FA8" w:rsidRPr="00C36C8F" w:rsidRDefault="00270FA8" w:rsidP="008C7E57">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270FA8" w:rsidRPr="00C36C8F" w:rsidRDefault="00270FA8" w:rsidP="008C7E57">
            <w:pPr>
              <w:pStyle w:val="TableHeading"/>
              <w:keepLines/>
              <w:jc w:val="center"/>
              <w:rPr>
                <w:kern w:val="28"/>
              </w:rPr>
            </w:pPr>
            <w:r w:rsidRPr="00C36C8F">
              <w:rPr>
                <w:kern w:val="28"/>
              </w:rPr>
              <w:t>kg per capita</w:t>
            </w:r>
          </w:p>
        </w:tc>
        <w:tc>
          <w:tcPr>
            <w:tcW w:w="1329" w:type="dxa"/>
            <w:tcBorders>
              <w:left w:val="single" w:sz="8" w:space="0" w:color="808080" w:themeColor="background1" w:themeShade="80"/>
            </w:tcBorders>
            <w:vAlign w:val="center"/>
          </w:tcPr>
          <w:p w:rsidR="00270FA8" w:rsidRPr="00C36C8F" w:rsidRDefault="00270FA8" w:rsidP="008C7E57">
            <w:pPr>
              <w:pStyle w:val="TableHeading"/>
              <w:keepLines/>
              <w:jc w:val="center"/>
              <w:rPr>
                <w:kern w:val="28"/>
              </w:rPr>
            </w:pPr>
            <w:r w:rsidRPr="00C36C8F">
              <w:rPr>
                <w:kern w:val="28"/>
              </w:rPr>
              <w:t>%</w:t>
            </w:r>
          </w:p>
        </w:tc>
      </w:tr>
      <w:tr w:rsidR="00E665FC" w:rsidRPr="00C36C8F" w:rsidTr="00270FA8">
        <w:tc>
          <w:tcPr>
            <w:tcW w:w="2127" w:type="dxa"/>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E665FC" w:rsidRPr="00C36C8F" w:rsidRDefault="00E665FC" w:rsidP="008C7E57">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4,416,200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622</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462</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82%</w:t>
            </w:r>
          </w:p>
        </w:tc>
      </w:tr>
      <w:tr w:rsidR="00E665FC" w:rsidRPr="00C36C8F" w:rsidTr="00270FA8">
        <w:tc>
          <w:tcPr>
            <w:tcW w:w="2127" w:type="dxa"/>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E665FC" w:rsidRPr="00C36C8F" w:rsidRDefault="00E665FC" w:rsidP="008C7E57">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1,608,800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227</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189</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90%</w:t>
            </w:r>
          </w:p>
        </w:tc>
      </w:tr>
      <w:tr w:rsidR="00E665FC" w:rsidRPr="00C36C8F" w:rsidTr="00270FA8">
        <w:tc>
          <w:tcPr>
            <w:tcW w:w="2127" w:type="dxa"/>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E665FC" w:rsidRPr="00C36C8F" w:rsidRDefault="00E665FC" w:rsidP="008C7E57">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1,076,000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152</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172</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32%</w:t>
            </w:r>
          </w:p>
        </w:tc>
      </w:tr>
      <w:tr w:rsidR="00E665FC" w:rsidRPr="00C36C8F" w:rsidTr="00270FA8">
        <w:tc>
          <w:tcPr>
            <w:tcW w:w="2127" w:type="dxa"/>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E665FC" w:rsidRPr="00C36C8F" w:rsidRDefault="00E665FC" w:rsidP="008C7E57">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1,691,000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238</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178</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65%</w:t>
            </w:r>
          </w:p>
        </w:tc>
      </w:tr>
      <w:tr w:rsidR="00E665FC" w:rsidRPr="00C36C8F" w:rsidTr="00270FA8">
        <w:tc>
          <w:tcPr>
            <w:tcW w:w="2127" w:type="dxa"/>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E665FC" w:rsidRPr="00C36C8F" w:rsidRDefault="00E665FC" w:rsidP="008C7E57">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299,800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42</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24</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31%</w:t>
            </w:r>
          </w:p>
        </w:tc>
      </w:tr>
      <w:tr w:rsidR="00E665FC" w:rsidRPr="00C36C8F" w:rsidTr="00270FA8">
        <w:tc>
          <w:tcPr>
            <w:tcW w:w="2127" w:type="dxa"/>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r w:rsidRPr="00C36C8F">
              <w:t>Glass</w:t>
            </w:r>
            <w:r w:rsidRPr="00C36C8F" w:rsidDel="005670AC">
              <w:t xml:space="preserve"> </w:t>
            </w:r>
          </w:p>
        </w:tc>
        <w:tc>
          <w:tcPr>
            <w:tcW w:w="1984" w:type="dxa"/>
            <w:tcBorders>
              <w:top w:val="single" w:sz="4" w:space="0" w:color="808080"/>
              <w:left w:val="nil"/>
              <w:bottom w:val="single" w:sz="4" w:space="0" w:color="808080"/>
              <w:right w:val="single" w:sz="4" w:space="0" w:color="808080"/>
            </w:tcBorders>
            <w:vAlign w:val="center"/>
          </w:tcPr>
          <w:p w:rsidR="00E665FC" w:rsidRPr="00C36C8F" w:rsidRDefault="00E665FC" w:rsidP="008C7E57">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464,200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65</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44</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74%</w:t>
            </w:r>
          </w:p>
        </w:tc>
      </w:tr>
      <w:tr w:rsidR="00E665FC" w:rsidRPr="00C36C8F" w:rsidTr="006170C4">
        <w:tc>
          <w:tcPr>
            <w:tcW w:w="2127" w:type="dxa"/>
            <w:vMerge w:val="restart"/>
            <w:tcBorders>
              <w:top w:val="single" w:sz="4" w:space="0" w:color="808080"/>
              <w:right w:val="nil"/>
            </w:tcBorders>
            <w:shd w:val="clear" w:color="auto" w:fill="auto"/>
            <w:vAlign w:val="center"/>
          </w:tcPr>
          <w:p w:rsidR="00E665FC" w:rsidRPr="00C36C8F" w:rsidRDefault="00E665FC" w:rsidP="008C7E57">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E665FC" w:rsidRPr="00C36C8F" w:rsidRDefault="00E665FC" w:rsidP="008C7E57">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3</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r>
      <w:tr w:rsidR="00E665FC" w:rsidRPr="00C36C8F" w:rsidTr="006170C4">
        <w:tc>
          <w:tcPr>
            <w:tcW w:w="2127" w:type="dxa"/>
            <w:vMerge/>
            <w:tcBorders>
              <w:bottom w:val="single" w:sz="4" w:space="0" w:color="808080"/>
              <w:right w:val="nil"/>
            </w:tcBorders>
            <w:shd w:val="clear" w:color="auto" w:fill="auto"/>
            <w:vAlign w:val="center"/>
          </w:tcPr>
          <w:p w:rsidR="00E665FC" w:rsidRPr="00C36C8F" w:rsidRDefault="00E665FC" w:rsidP="008C7E57">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E665FC" w:rsidRPr="00C36C8F" w:rsidRDefault="00E665FC" w:rsidP="008C7E57">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2</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r>
      <w:tr w:rsidR="00E665FC" w:rsidRPr="00C36C8F" w:rsidTr="00270FA8">
        <w:tc>
          <w:tcPr>
            <w:tcW w:w="2127" w:type="dxa"/>
            <w:vMerge w:val="restart"/>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E665FC" w:rsidRPr="00C36C8F" w:rsidRDefault="00E665FC" w:rsidP="008C7E57">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r>
      <w:tr w:rsidR="00E665FC" w:rsidRPr="00C36C8F" w:rsidTr="00270FA8">
        <w:tc>
          <w:tcPr>
            <w:tcW w:w="2127" w:type="dxa"/>
            <w:vMerge/>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E665FC" w:rsidRPr="00C36C8F" w:rsidRDefault="00E665FC" w:rsidP="008C7E57">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8</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r>
      <w:tr w:rsidR="00E665FC" w:rsidRPr="00C36C8F" w:rsidTr="00270FA8">
        <w:tc>
          <w:tcPr>
            <w:tcW w:w="2127" w:type="dxa"/>
            <w:vMerge/>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E665FC" w:rsidRPr="00C36C8F" w:rsidRDefault="00E665FC" w:rsidP="008C7E57">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10</w:t>
            </w:r>
          </w:p>
        </w:tc>
        <w:tc>
          <w:tcPr>
            <w:tcW w:w="1329" w:type="dxa"/>
            <w:tcBorders>
              <w:left w:val="single" w:sz="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r>
      <w:tr w:rsidR="00E665FC" w:rsidRPr="00C36C8F" w:rsidTr="00270FA8">
        <w:tc>
          <w:tcPr>
            <w:tcW w:w="2127" w:type="dxa"/>
            <w:vMerge/>
            <w:tcBorders>
              <w:top w:val="single" w:sz="4" w:space="0" w:color="808080"/>
              <w:bottom w:val="single" w:sz="4" w:space="0" w:color="808080"/>
              <w:right w:val="nil"/>
            </w:tcBorders>
            <w:shd w:val="clear" w:color="auto" w:fill="auto"/>
            <w:vAlign w:val="center"/>
          </w:tcPr>
          <w:p w:rsidR="00E665FC" w:rsidRPr="00C36C8F" w:rsidRDefault="00E665FC" w:rsidP="008C7E57">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E665FC" w:rsidRPr="00C36C8F" w:rsidRDefault="00E665FC" w:rsidP="008C7E57">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c>
          <w:tcPr>
            <w:tcW w:w="1329" w:type="dxa"/>
            <w:tcBorders>
              <w:left w:val="single" w:sz="8" w:space="0" w:color="808080" w:themeColor="background1" w:themeShade="80"/>
              <w:bottom w:val="single" w:sz="4" w:space="0" w:color="8080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0%</w:t>
            </w:r>
          </w:p>
        </w:tc>
      </w:tr>
      <w:tr w:rsidR="00E665FC" w:rsidRPr="00C36C8F" w:rsidTr="00270FA8">
        <w:tc>
          <w:tcPr>
            <w:tcW w:w="2127" w:type="dxa"/>
            <w:tcBorders>
              <w:top w:val="single" w:sz="4" w:space="0" w:color="808080"/>
              <w:bottom w:val="single" w:sz="18" w:space="0" w:color="808080" w:themeColor="background1" w:themeShade="80"/>
              <w:right w:val="nil"/>
            </w:tcBorders>
            <w:shd w:val="clear" w:color="auto" w:fill="auto"/>
            <w:vAlign w:val="center"/>
          </w:tcPr>
          <w:p w:rsidR="00E665FC" w:rsidRPr="00C36C8F" w:rsidRDefault="00E665FC" w:rsidP="008C7E57">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E665FC" w:rsidRPr="00C36C8F" w:rsidRDefault="00E665FC" w:rsidP="008C7E57">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0B315F">
              <w:rPr>
                <w:color w:val="000000"/>
              </w:rPr>
              <w:t>9,</w:t>
            </w:r>
            <w:r w:rsidRPr="00C36C8F">
              <w:rPr>
                <w:rFonts w:cs="Arial"/>
                <w:color w:val="000000"/>
                <w:szCs w:val="18"/>
              </w:rPr>
              <w:t>556,000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0B315F">
              <w:rPr>
                <w:color w:val="000000"/>
              </w:rPr>
              <w:t>1,</w:t>
            </w:r>
            <w:r w:rsidRPr="00C36C8F">
              <w:rPr>
                <w:rFonts w:cs="Arial"/>
                <w:color w:val="000000"/>
                <w:szCs w:val="18"/>
              </w:rPr>
              <w:t>346</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0B315F">
              <w:rPr>
                <w:color w:val="000000"/>
              </w:rPr>
              <w:t>1,</w:t>
            </w:r>
            <w:r w:rsidRPr="00C36C8F">
              <w:rPr>
                <w:rFonts w:cs="Arial"/>
                <w:color w:val="000000"/>
                <w:szCs w:val="18"/>
              </w:rPr>
              <w:t>092</w:t>
            </w:r>
          </w:p>
        </w:tc>
        <w:tc>
          <w:tcPr>
            <w:tcW w:w="1329"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59</w:t>
            </w:r>
            <w:r w:rsidRPr="000B315F">
              <w:rPr>
                <w:color w:val="000000"/>
              </w:rPr>
              <w:t>%</w:t>
            </w:r>
          </w:p>
        </w:tc>
      </w:tr>
      <w:tr w:rsidR="00E665FC" w:rsidRPr="00C36C8F" w:rsidTr="00270FA8">
        <w:tc>
          <w:tcPr>
            <w:tcW w:w="2127" w:type="dxa"/>
            <w:tcBorders>
              <w:top w:val="single" w:sz="18" w:space="0" w:color="808080" w:themeColor="background1" w:themeShade="80"/>
              <w:bottom w:val="single" w:sz="4" w:space="0" w:color="808080"/>
              <w:right w:val="nil"/>
            </w:tcBorders>
            <w:shd w:val="clear" w:color="auto" w:fill="auto"/>
            <w:vAlign w:val="center"/>
          </w:tcPr>
          <w:p w:rsidR="00E665FC" w:rsidRPr="00C36C8F" w:rsidRDefault="00E665FC" w:rsidP="008C7E57">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E665FC" w:rsidRPr="00C36C8F" w:rsidRDefault="00E665FC" w:rsidP="008C7E57">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705,800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99</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110</w:t>
            </w:r>
          </w:p>
        </w:tc>
        <w:tc>
          <w:tcPr>
            <w:tcW w:w="1329" w:type="dxa"/>
            <w:tcBorders>
              <w:top w:val="single" w:sz="18" w:space="0" w:color="808080" w:themeColor="background1" w:themeShade="80"/>
              <w:left w:val="single" w:sz="8" w:space="0" w:color="808080" w:themeColor="background1" w:themeShade="80"/>
              <w:bottom w:val="single" w:sz="4" w:space="0" w:color="8080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16%</w:t>
            </w:r>
          </w:p>
        </w:tc>
      </w:tr>
      <w:tr w:rsidR="00E665FC" w:rsidRPr="00C36C8F" w:rsidTr="00270FA8">
        <w:tc>
          <w:tcPr>
            <w:tcW w:w="2127" w:type="dxa"/>
            <w:tcBorders>
              <w:top w:val="single" w:sz="4" w:space="0" w:color="808080"/>
              <w:bottom w:val="single" w:sz="18" w:space="0" w:color="7F7F7F" w:themeColor="text1" w:themeTint="80"/>
              <w:right w:val="nil"/>
            </w:tcBorders>
            <w:shd w:val="clear" w:color="auto" w:fill="auto"/>
            <w:vAlign w:val="center"/>
          </w:tcPr>
          <w:p w:rsidR="00E665FC" w:rsidRPr="00C36C8F" w:rsidRDefault="00E665FC" w:rsidP="008C7E57">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E665FC" w:rsidRPr="00C36C8F" w:rsidRDefault="00E665FC" w:rsidP="008C7E57">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0B315F">
              <w:rPr>
                <w:color w:val="000000"/>
              </w:rPr>
              <w:t>10,</w:t>
            </w:r>
            <w:r w:rsidRPr="00C36C8F">
              <w:rPr>
                <w:rFonts w:cs="Arial"/>
                <w:color w:val="000000"/>
                <w:szCs w:val="18"/>
              </w:rPr>
              <w:t>261,800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0B315F">
              <w:rPr>
                <w:color w:val="000000"/>
              </w:rPr>
              <w:t>1,</w:t>
            </w:r>
            <w:r w:rsidRPr="00C36C8F">
              <w:rPr>
                <w:rFonts w:cs="Arial"/>
                <w:color w:val="000000"/>
                <w:szCs w:val="18"/>
              </w:rPr>
              <w:t>445</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E665FC" w:rsidRPr="000B315F" w:rsidRDefault="00E665FC" w:rsidP="008C7E57">
            <w:pPr>
              <w:pStyle w:val="TableText"/>
              <w:keepNext/>
              <w:keepLines/>
              <w:jc w:val="right"/>
              <w:rPr>
                <w:color w:val="000000"/>
              </w:rPr>
            </w:pPr>
            <w:r w:rsidRPr="000B315F">
              <w:rPr>
                <w:color w:val="000000"/>
              </w:rPr>
              <w:t>1,</w:t>
            </w:r>
            <w:r w:rsidRPr="00C36C8F">
              <w:rPr>
                <w:rFonts w:cs="Arial"/>
                <w:color w:val="000000"/>
                <w:szCs w:val="18"/>
              </w:rPr>
              <w:t>201</w:t>
            </w:r>
          </w:p>
        </w:tc>
        <w:tc>
          <w:tcPr>
            <w:tcW w:w="1329" w:type="dxa"/>
            <w:tcBorders>
              <w:top w:val="single" w:sz="4" w:space="0" w:color="808080"/>
              <w:left w:val="single" w:sz="8" w:space="0" w:color="808080" w:themeColor="background1" w:themeShade="80"/>
              <w:bottom w:val="single" w:sz="18" w:space="0" w:color="7F7F7F" w:themeColor="text1" w:themeTint="80"/>
            </w:tcBorders>
            <w:tcMar>
              <w:right w:w="142" w:type="dxa"/>
            </w:tcMar>
            <w:vAlign w:val="center"/>
          </w:tcPr>
          <w:p w:rsidR="00E665FC" w:rsidRPr="000B315F" w:rsidRDefault="00E665FC" w:rsidP="008C7E57">
            <w:pPr>
              <w:pStyle w:val="TableText"/>
              <w:keepNext/>
              <w:keepLines/>
              <w:jc w:val="right"/>
              <w:rPr>
                <w:color w:val="000000"/>
              </w:rPr>
            </w:pPr>
            <w:r w:rsidRPr="00C36C8F">
              <w:rPr>
                <w:rFonts w:cs="Arial"/>
                <w:color w:val="000000"/>
                <w:szCs w:val="18"/>
              </w:rPr>
              <w:t>50</w:t>
            </w:r>
            <w:r w:rsidRPr="000B315F">
              <w:rPr>
                <w:color w:val="000000"/>
              </w:rPr>
              <w:t>%</w:t>
            </w:r>
          </w:p>
        </w:tc>
      </w:tr>
    </w:tbl>
    <w:p w:rsidR="002E4BF3" w:rsidRPr="00C36C8F" w:rsidRDefault="002E4BF3" w:rsidP="002E4BF3">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270FA8" w:rsidRPr="00C36C8F" w:rsidRDefault="00270FA8" w:rsidP="00270FA8"/>
    <w:p w:rsidR="00DE05C7" w:rsidRPr="00C36C8F" w:rsidRDefault="00B9555F" w:rsidP="00F85334">
      <w:pPr>
        <w:pStyle w:val="ParaIndent"/>
        <w:keepNext/>
        <w:keepLines/>
        <w:spacing w:before="120"/>
        <w:jc w:val="both"/>
      </w:pPr>
      <w:fldSimple w:instr=" REF _Ref284591439 \h  \* MERGEFORMAT ">
        <w:r w:rsidR="00AE7E3B" w:rsidRPr="00C36C8F">
          <w:t xml:space="preserve">Table </w:t>
        </w:r>
        <w:r w:rsidR="00AE7E3B">
          <w:t>4</w:t>
        </w:r>
        <w:r w:rsidR="00AE7E3B" w:rsidRPr="00C36C8F">
          <w:t>-</w:t>
        </w:r>
        <w:r w:rsidR="00AE7E3B">
          <w:t>16</w:t>
        </w:r>
      </w:fldSimple>
      <w:r w:rsidR="00DE05C7" w:rsidRPr="00C36C8F">
        <w:t xml:space="preserve"> details energy recovery by material for NSW. Recover</w:t>
      </w:r>
      <w:r w:rsidR="00802C9D" w:rsidRPr="00C36C8F">
        <w:t>y for the jurisdiction is</w:t>
      </w:r>
      <w:r w:rsidR="00EB0688" w:rsidRPr="00C36C8F">
        <w:t xml:space="preserve"> presented</w:t>
      </w:r>
      <w:r w:rsidR="00DE05C7" w:rsidRPr="00C36C8F">
        <w:t xml:space="preserve"> in terms</w:t>
      </w:r>
      <w:r w:rsidR="00EE5960" w:rsidRPr="00C36C8F">
        <w:t xml:space="preserve"> of total tonnes, </w:t>
      </w:r>
      <w:r w:rsidR="00EB0688" w:rsidRPr="00C36C8F">
        <w:t xml:space="preserve">and the </w:t>
      </w:r>
      <w:r w:rsidR="00EE5960" w:rsidRPr="00C36C8F">
        <w:t>per capita</w:t>
      </w:r>
      <w:r w:rsidR="00DE05C7" w:rsidRPr="00C36C8F">
        <w:t xml:space="preserve"> </w:t>
      </w:r>
      <w:r w:rsidR="00EB0688" w:rsidRPr="00C36C8F">
        <w:t>rate</w:t>
      </w:r>
      <w:r w:rsidR="00690F1F" w:rsidRPr="00C36C8F">
        <w:t>.</w:t>
      </w:r>
      <w:r w:rsidR="00EB0688" w:rsidRPr="00C36C8F">
        <w:t xml:space="preserve"> The</w:t>
      </w:r>
      <w:r w:rsidR="00DE05C7" w:rsidRPr="00C36C8F">
        <w:t xml:space="preserve"> nationa</w:t>
      </w:r>
      <w:r w:rsidR="00EE5960" w:rsidRPr="00C36C8F">
        <w:t>l average per capita recovery</w:t>
      </w:r>
      <w:r w:rsidR="00EB0688" w:rsidRPr="00C36C8F">
        <w:t xml:space="preserve"> rate is also provided</w:t>
      </w:r>
      <w:r w:rsidR="00DE05C7" w:rsidRPr="00C36C8F">
        <w:t>.</w:t>
      </w:r>
    </w:p>
    <w:p w:rsidR="00DE05C7" w:rsidRPr="00C36C8F" w:rsidRDefault="00DE05C7" w:rsidP="00DE05C7">
      <w:pPr>
        <w:pStyle w:val="Caption"/>
        <w:tabs>
          <w:tab w:val="left" w:pos="7275"/>
        </w:tabs>
      </w:pPr>
      <w:bookmarkStart w:id="146" w:name="_Ref284591439"/>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16</w:t>
      </w:r>
      <w:r w:rsidR="00B9555F" w:rsidRPr="00C36C8F">
        <w:rPr>
          <w:noProof/>
        </w:rPr>
        <w:fldChar w:fldCharType="end"/>
      </w:r>
      <w:bookmarkEnd w:id="146"/>
      <w:r w:rsidRPr="00C36C8F">
        <w:tab/>
      </w:r>
      <w:r w:rsidR="00E61926" w:rsidRPr="00C36C8F">
        <w:t>NSW e</w:t>
      </w:r>
      <w:r w:rsidRPr="00C36C8F">
        <w:t>nergy recovery by material, 2008–09</w:t>
      </w:r>
    </w:p>
    <w:tbl>
      <w:tblPr>
        <w:tblW w:w="8098" w:type="dxa"/>
        <w:jc w:val="right"/>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tblGrid>
      <w:tr w:rsidR="008959AD" w:rsidRPr="00C36C8F" w:rsidTr="008959AD">
        <w:trPr>
          <w:jc w:val="right"/>
        </w:trPr>
        <w:tc>
          <w:tcPr>
            <w:tcW w:w="4111" w:type="dxa"/>
            <w:gridSpan w:val="2"/>
            <w:tcBorders>
              <w:right w:val="single" w:sz="4" w:space="0" w:color="808080"/>
            </w:tcBorders>
            <w:shd w:val="clear" w:color="auto" w:fill="auto"/>
            <w:vAlign w:val="center"/>
          </w:tcPr>
          <w:p w:rsidR="008959AD" w:rsidRPr="00C36C8F" w:rsidRDefault="008959AD" w:rsidP="00EB0688">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8959AD" w:rsidRPr="00C36C8F" w:rsidRDefault="008959AD" w:rsidP="00EB0688">
            <w:pPr>
              <w:pStyle w:val="TableHeading"/>
              <w:keepLines/>
              <w:jc w:val="center"/>
              <w:rPr>
                <w:kern w:val="28"/>
              </w:rPr>
            </w:pPr>
            <w:r w:rsidRPr="00C36C8F">
              <w:rPr>
                <w:kern w:val="28"/>
              </w:rPr>
              <w:t>NSW energy recovery</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8959AD" w:rsidRPr="00C36C8F" w:rsidRDefault="008959AD" w:rsidP="00EB0688">
            <w:pPr>
              <w:pStyle w:val="TableHeading"/>
              <w:keepLines/>
              <w:jc w:val="center"/>
              <w:rPr>
                <w:kern w:val="28"/>
              </w:rPr>
            </w:pPr>
            <w:r w:rsidRPr="00C36C8F">
              <w:rPr>
                <w:kern w:val="28"/>
              </w:rPr>
              <w:t>National average</w:t>
            </w:r>
          </w:p>
        </w:tc>
      </w:tr>
      <w:tr w:rsidR="008959AD" w:rsidRPr="00C36C8F" w:rsidTr="008959AD">
        <w:trPr>
          <w:jc w:val="right"/>
        </w:trPr>
        <w:tc>
          <w:tcPr>
            <w:tcW w:w="2127" w:type="dxa"/>
            <w:tcBorders>
              <w:bottom w:val="single" w:sz="4" w:space="0" w:color="808080"/>
              <w:right w:val="nil"/>
            </w:tcBorders>
            <w:shd w:val="clear" w:color="auto" w:fill="auto"/>
          </w:tcPr>
          <w:p w:rsidR="008959AD" w:rsidRPr="00C36C8F" w:rsidRDefault="008959AD" w:rsidP="003B428C">
            <w:pPr>
              <w:pStyle w:val="TableHeading"/>
              <w:keepLines/>
              <w:jc w:val="center"/>
              <w:rPr>
                <w:kern w:val="28"/>
              </w:rPr>
            </w:pPr>
            <w:r w:rsidRPr="00C36C8F">
              <w:rPr>
                <w:kern w:val="28"/>
              </w:rPr>
              <w:t>Ma</w:t>
            </w:r>
            <w:r w:rsidR="003B428C"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8959AD" w:rsidRPr="00C36C8F" w:rsidRDefault="003B428C" w:rsidP="00EB0688">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8959AD" w:rsidRPr="00C36C8F" w:rsidRDefault="008959AD" w:rsidP="00EB0688">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8959AD" w:rsidRPr="00C36C8F" w:rsidRDefault="008959AD" w:rsidP="00EB068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8959AD" w:rsidRPr="00C36C8F" w:rsidRDefault="008959AD" w:rsidP="00EB0688">
            <w:pPr>
              <w:pStyle w:val="TableHeading"/>
              <w:keepLines/>
              <w:jc w:val="center"/>
              <w:rPr>
                <w:kern w:val="28"/>
              </w:rPr>
            </w:pPr>
            <w:r w:rsidRPr="00C36C8F">
              <w:rPr>
                <w:kern w:val="28"/>
              </w:rPr>
              <w:t>kg per capita</w:t>
            </w:r>
          </w:p>
        </w:tc>
      </w:tr>
      <w:tr w:rsidR="008959AD" w:rsidRPr="00C36C8F" w:rsidTr="00EB0688">
        <w:trPr>
          <w:jc w:val="right"/>
        </w:trPr>
        <w:tc>
          <w:tcPr>
            <w:tcW w:w="2127" w:type="dxa"/>
            <w:tcBorders>
              <w:top w:val="single" w:sz="4" w:space="0" w:color="808080"/>
              <w:bottom w:val="single" w:sz="4" w:space="0" w:color="808080"/>
              <w:right w:val="nil"/>
            </w:tcBorders>
            <w:shd w:val="clear" w:color="auto" w:fill="auto"/>
            <w:vAlign w:val="center"/>
          </w:tcPr>
          <w:p w:rsidR="008959AD" w:rsidRPr="00C36C8F" w:rsidRDefault="008959AD" w:rsidP="00EB0688">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8959AD" w:rsidRPr="00C36C8F" w:rsidRDefault="008959AD"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r>
      <w:tr w:rsidR="008959AD" w:rsidRPr="00C36C8F" w:rsidTr="00EB0688">
        <w:trPr>
          <w:jc w:val="right"/>
        </w:trPr>
        <w:tc>
          <w:tcPr>
            <w:tcW w:w="2127" w:type="dxa"/>
            <w:tcBorders>
              <w:top w:val="single" w:sz="4" w:space="0" w:color="808080"/>
              <w:bottom w:val="single" w:sz="4" w:space="0" w:color="808080"/>
              <w:right w:val="nil"/>
            </w:tcBorders>
            <w:shd w:val="clear" w:color="auto" w:fill="auto"/>
            <w:vAlign w:val="center"/>
          </w:tcPr>
          <w:p w:rsidR="008959AD" w:rsidRPr="00C36C8F" w:rsidRDefault="008959AD" w:rsidP="00EB0688">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8959AD" w:rsidRPr="00C36C8F" w:rsidRDefault="008959AD"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r>
      <w:tr w:rsidR="008959AD" w:rsidRPr="00C36C8F" w:rsidTr="00EB0688">
        <w:trPr>
          <w:jc w:val="right"/>
        </w:trPr>
        <w:tc>
          <w:tcPr>
            <w:tcW w:w="2127" w:type="dxa"/>
            <w:tcBorders>
              <w:top w:val="single" w:sz="4" w:space="0" w:color="808080"/>
              <w:bottom w:val="single" w:sz="4" w:space="0" w:color="808080"/>
              <w:right w:val="nil"/>
            </w:tcBorders>
            <w:shd w:val="clear" w:color="auto" w:fill="auto"/>
            <w:vAlign w:val="center"/>
          </w:tcPr>
          <w:p w:rsidR="008959AD" w:rsidRPr="00C36C8F" w:rsidRDefault="008959AD" w:rsidP="00EB0688">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8959AD" w:rsidRPr="00C36C8F" w:rsidRDefault="008959AD"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94,900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13</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15</w:t>
            </w:r>
          </w:p>
        </w:tc>
      </w:tr>
      <w:tr w:rsidR="008959AD" w:rsidRPr="00C36C8F" w:rsidTr="00EB0688">
        <w:trPr>
          <w:jc w:val="right"/>
        </w:trPr>
        <w:tc>
          <w:tcPr>
            <w:tcW w:w="2127" w:type="dxa"/>
            <w:tcBorders>
              <w:top w:val="single" w:sz="4" w:space="0" w:color="808080"/>
              <w:bottom w:val="single" w:sz="4" w:space="0" w:color="808080"/>
              <w:right w:val="nil"/>
            </w:tcBorders>
            <w:shd w:val="clear" w:color="auto" w:fill="auto"/>
            <w:vAlign w:val="center"/>
          </w:tcPr>
          <w:p w:rsidR="008959AD" w:rsidRPr="00C36C8F" w:rsidRDefault="008959AD" w:rsidP="00EB0688">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8959AD" w:rsidRPr="00C36C8F" w:rsidRDefault="008959AD"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r>
      <w:tr w:rsidR="008959AD" w:rsidRPr="00C36C8F" w:rsidTr="00EB0688">
        <w:trPr>
          <w:jc w:val="right"/>
        </w:trPr>
        <w:tc>
          <w:tcPr>
            <w:tcW w:w="2127" w:type="dxa"/>
            <w:tcBorders>
              <w:top w:val="single" w:sz="4" w:space="0" w:color="808080"/>
              <w:bottom w:val="single" w:sz="4" w:space="0" w:color="808080"/>
              <w:right w:val="nil"/>
            </w:tcBorders>
            <w:shd w:val="clear" w:color="auto" w:fill="auto"/>
            <w:vAlign w:val="center"/>
          </w:tcPr>
          <w:p w:rsidR="008959AD" w:rsidRPr="00C36C8F" w:rsidRDefault="008959AD" w:rsidP="00EB0688">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8959AD" w:rsidRPr="00C36C8F" w:rsidRDefault="008959AD"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r>
      <w:tr w:rsidR="008959AD" w:rsidRPr="00C36C8F" w:rsidTr="00EB0688">
        <w:trPr>
          <w:jc w:val="right"/>
        </w:trPr>
        <w:tc>
          <w:tcPr>
            <w:tcW w:w="2127" w:type="dxa"/>
            <w:tcBorders>
              <w:top w:val="single" w:sz="4" w:space="0" w:color="808080"/>
              <w:bottom w:val="single" w:sz="4" w:space="0" w:color="808080"/>
              <w:right w:val="nil"/>
            </w:tcBorders>
            <w:shd w:val="clear" w:color="auto" w:fill="auto"/>
            <w:vAlign w:val="center"/>
          </w:tcPr>
          <w:p w:rsidR="008959AD" w:rsidRPr="00C36C8F" w:rsidRDefault="005670AC" w:rsidP="00EB0688">
            <w:pPr>
              <w:pStyle w:val="TableText"/>
              <w:keepNext/>
              <w:keepLines/>
            </w:pPr>
            <w:r w:rsidRPr="00C36C8F">
              <w:t>Glass</w:t>
            </w:r>
            <w:r w:rsidRPr="00C36C8F" w:rsidDel="005670AC">
              <w:t xml:space="preserve"> </w:t>
            </w:r>
          </w:p>
        </w:tc>
        <w:tc>
          <w:tcPr>
            <w:tcW w:w="1984" w:type="dxa"/>
            <w:tcBorders>
              <w:top w:val="single" w:sz="4" w:space="0" w:color="808080"/>
              <w:left w:val="nil"/>
              <w:bottom w:val="single" w:sz="4" w:space="0" w:color="808080"/>
              <w:right w:val="single" w:sz="4" w:space="0" w:color="808080"/>
            </w:tcBorders>
            <w:vAlign w:val="center"/>
          </w:tcPr>
          <w:p w:rsidR="008959AD" w:rsidRPr="00C36C8F" w:rsidRDefault="008959AD"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r>
      <w:tr w:rsidR="005670AC" w:rsidRPr="00C36C8F" w:rsidTr="006170C4">
        <w:trPr>
          <w:jc w:val="right"/>
        </w:trPr>
        <w:tc>
          <w:tcPr>
            <w:tcW w:w="2127" w:type="dxa"/>
            <w:vMerge w:val="restart"/>
            <w:tcBorders>
              <w:top w:val="single" w:sz="4" w:space="0" w:color="808080"/>
              <w:right w:val="nil"/>
            </w:tcBorders>
            <w:shd w:val="clear" w:color="auto" w:fill="auto"/>
            <w:vAlign w:val="center"/>
          </w:tcPr>
          <w:p w:rsidR="005670AC" w:rsidRPr="00C36C8F" w:rsidRDefault="005670AC" w:rsidP="00EB0688">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5670AC" w:rsidRPr="00C36C8F" w:rsidRDefault="005670AC" w:rsidP="00EB0688">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670AC" w:rsidRPr="00C36C8F" w:rsidRDefault="005670AC"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670AC" w:rsidRPr="00C36C8F" w:rsidRDefault="005670AC"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670AC" w:rsidRPr="00C36C8F" w:rsidRDefault="005670AC" w:rsidP="00EB0688">
            <w:pPr>
              <w:pStyle w:val="TableText"/>
              <w:keepNext/>
              <w:keepLines/>
              <w:jc w:val="right"/>
              <w:rPr>
                <w:rFonts w:cs="Arial"/>
                <w:szCs w:val="18"/>
              </w:rPr>
            </w:pPr>
            <w:r w:rsidRPr="00C36C8F">
              <w:t>0</w:t>
            </w:r>
          </w:p>
        </w:tc>
      </w:tr>
      <w:tr w:rsidR="005670AC" w:rsidRPr="00C36C8F" w:rsidTr="006170C4">
        <w:trPr>
          <w:jc w:val="right"/>
        </w:trPr>
        <w:tc>
          <w:tcPr>
            <w:tcW w:w="2127" w:type="dxa"/>
            <w:vMerge/>
            <w:tcBorders>
              <w:bottom w:val="single" w:sz="4" w:space="0" w:color="808080"/>
              <w:right w:val="nil"/>
            </w:tcBorders>
            <w:shd w:val="clear" w:color="auto" w:fill="auto"/>
            <w:vAlign w:val="center"/>
          </w:tcPr>
          <w:p w:rsidR="005670AC" w:rsidRPr="00C36C8F" w:rsidRDefault="005670AC" w:rsidP="00EB068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5670AC" w:rsidRPr="00C36C8F" w:rsidRDefault="005670AC" w:rsidP="00EB0688">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670AC" w:rsidRPr="00C36C8F" w:rsidRDefault="005670AC"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670AC" w:rsidRPr="00C36C8F" w:rsidRDefault="005670AC"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670AC" w:rsidRPr="00C36C8F" w:rsidRDefault="005670AC" w:rsidP="00EB0688">
            <w:pPr>
              <w:pStyle w:val="TableText"/>
              <w:keepNext/>
              <w:keepLines/>
              <w:jc w:val="right"/>
              <w:rPr>
                <w:rFonts w:cs="Arial"/>
                <w:szCs w:val="18"/>
              </w:rPr>
            </w:pPr>
            <w:r w:rsidRPr="00C36C8F">
              <w:t>0</w:t>
            </w:r>
          </w:p>
        </w:tc>
      </w:tr>
      <w:tr w:rsidR="008959AD" w:rsidRPr="00C36C8F" w:rsidTr="00EB0688">
        <w:trPr>
          <w:jc w:val="right"/>
        </w:trPr>
        <w:tc>
          <w:tcPr>
            <w:tcW w:w="2127" w:type="dxa"/>
            <w:vMerge w:val="restart"/>
            <w:tcBorders>
              <w:top w:val="single" w:sz="4" w:space="0" w:color="808080"/>
              <w:bottom w:val="single" w:sz="4" w:space="0" w:color="808080"/>
              <w:right w:val="nil"/>
            </w:tcBorders>
            <w:shd w:val="clear" w:color="auto" w:fill="auto"/>
            <w:vAlign w:val="center"/>
          </w:tcPr>
          <w:p w:rsidR="008959AD" w:rsidRPr="00C36C8F" w:rsidRDefault="008959AD" w:rsidP="00EB0688">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8959AD" w:rsidRPr="00C36C8F" w:rsidRDefault="008959AD" w:rsidP="00EB0688">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r>
      <w:tr w:rsidR="008959AD" w:rsidRPr="00C36C8F" w:rsidTr="00EB0688">
        <w:trPr>
          <w:jc w:val="right"/>
        </w:trPr>
        <w:tc>
          <w:tcPr>
            <w:tcW w:w="2127" w:type="dxa"/>
            <w:vMerge/>
            <w:tcBorders>
              <w:top w:val="single" w:sz="4" w:space="0" w:color="808080"/>
              <w:bottom w:val="single" w:sz="4" w:space="0" w:color="808080"/>
              <w:right w:val="nil"/>
            </w:tcBorders>
            <w:shd w:val="clear" w:color="auto" w:fill="auto"/>
            <w:vAlign w:val="center"/>
          </w:tcPr>
          <w:p w:rsidR="008959AD" w:rsidRPr="00C36C8F" w:rsidRDefault="008959AD" w:rsidP="00EB068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8959AD" w:rsidRPr="00C36C8F" w:rsidRDefault="008959AD" w:rsidP="00EB0688">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r>
      <w:tr w:rsidR="008959AD" w:rsidRPr="00C36C8F" w:rsidTr="00EB0688">
        <w:trPr>
          <w:jc w:val="right"/>
        </w:trPr>
        <w:tc>
          <w:tcPr>
            <w:tcW w:w="2127" w:type="dxa"/>
            <w:vMerge/>
            <w:tcBorders>
              <w:top w:val="single" w:sz="4" w:space="0" w:color="808080"/>
              <w:bottom w:val="single" w:sz="4" w:space="0" w:color="808080"/>
              <w:right w:val="nil"/>
            </w:tcBorders>
            <w:shd w:val="clear" w:color="auto" w:fill="auto"/>
            <w:vAlign w:val="center"/>
          </w:tcPr>
          <w:p w:rsidR="008959AD" w:rsidRPr="00C36C8F" w:rsidRDefault="008959AD" w:rsidP="00EB068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8959AD" w:rsidRPr="00C36C8F" w:rsidRDefault="008959AD" w:rsidP="00EB0688">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1</w:t>
            </w:r>
          </w:p>
        </w:tc>
      </w:tr>
      <w:tr w:rsidR="008959AD" w:rsidRPr="00C36C8F" w:rsidTr="00EB0688">
        <w:trPr>
          <w:jc w:val="right"/>
        </w:trPr>
        <w:tc>
          <w:tcPr>
            <w:tcW w:w="2127" w:type="dxa"/>
            <w:vMerge/>
            <w:tcBorders>
              <w:top w:val="single" w:sz="4" w:space="0" w:color="808080"/>
              <w:bottom w:val="single" w:sz="4" w:space="0" w:color="808080"/>
              <w:right w:val="nil"/>
            </w:tcBorders>
            <w:shd w:val="clear" w:color="auto" w:fill="auto"/>
            <w:vAlign w:val="center"/>
          </w:tcPr>
          <w:p w:rsidR="008959AD" w:rsidRPr="00C36C8F" w:rsidRDefault="008959AD" w:rsidP="00EB068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8959AD" w:rsidRPr="00C36C8F" w:rsidRDefault="008959AD" w:rsidP="00EB0688">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r>
      <w:tr w:rsidR="008959AD" w:rsidRPr="00C36C8F" w:rsidTr="00EB0688">
        <w:trPr>
          <w:jc w:val="right"/>
        </w:trPr>
        <w:tc>
          <w:tcPr>
            <w:tcW w:w="2127" w:type="dxa"/>
            <w:tcBorders>
              <w:top w:val="single" w:sz="4" w:space="0" w:color="808080"/>
              <w:bottom w:val="single" w:sz="18" w:space="0" w:color="808080" w:themeColor="background1" w:themeShade="80"/>
              <w:right w:val="nil"/>
            </w:tcBorders>
            <w:shd w:val="clear" w:color="auto" w:fill="auto"/>
            <w:vAlign w:val="center"/>
          </w:tcPr>
          <w:p w:rsidR="008959AD" w:rsidRPr="00C36C8F" w:rsidRDefault="008959AD" w:rsidP="00EB0688">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8959AD" w:rsidRPr="00C36C8F" w:rsidRDefault="008959AD" w:rsidP="00EB0688">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b/>
                <w:szCs w:val="18"/>
              </w:rPr>
            </w:pPr>
            <w:r w:rsidRPr="00C36C8F">
              <w:rPr>
                <w:b/>
              </w:rPr>
              <w:t>94,900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b/>
                <w:szCs w:val="18"/>
              </w:rPr>
            </w:pPr>
            <w:r w:rsidRPr="00C36C8F">
              <w:rPr>
                <w:b/>
              </w:rPr>
              <w:t>13</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b/>
                <w:szCs w:val="18"/>
              </w:rPr>
            </w:pPr>
            <w:r w:rsidRPr="00C36C8F">
              <w:rPr>
                <w:b/>
              </w:rPr>
              <w:t>16</w:t>
            </w:r>
          </w:p>
        </w:tc>
      </w:tr>
      <w:tr w:rsidR="008959AD" w:rsidRPr="00C36C8F" w:rsidTr="00EB0688">
        <w:trPr>
          <w:jc w:val="right"/>
        </w:trPr>
        <w:tc>
          <w:tcPr>
            <w:tcW w:w="2127" w:type="dxa"/>
            <w:tcBorders>
              <w:top w:val="single" w:sz="18" w:space="0" w:color="808080" w:themeColor="background1" w:themeShade="80"/>
              <w:bottom w:val="single" w:sz="4" w:space="0" w:color="808080"/>
              <w:right w:val="nil"/>
            </w:tcBorders>
            <w:shd w:val="clear" w:color="auto" w:fill="auto"/>
            <w:vAlign w:val="center"/>
          </w:tcPr>
          <w:p w:rsidR="008959AD" w:rsidRPr="00C36C8F" w:rsidRDefault="008959AD" w:rsidP="00EB0688">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8959AD" w:rsidRPr="00C36C8F" w:rsidRDefault="008959AD" w:rsidP="00EB0688">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szCs w:val="18"/>
              </w:rPr>
            </w:pPr>
            <w:r w:rsidRPr="00C36C8F">
              <w:t>0</w:t>
            </w:r>
          </w:p>
        </w:tc>
      </w:tr>
      <w:tr w:rsidR="008959AD" w:rsidRPr="00C36C8F" w:rsidTr="00EB0688">
        <w:trPr>
          <w:jc w:val="right"/>
        </w:trPr>
        <w:tc>
          <w:tcPr>
            <w:tcW w:w="2127" w:type="dxa"/>
            <w:tcBorders>
              <w:top w:val="single" w:sz="4" w:space="0" w:color="808080"/>
              <w:bottom w:val="single" w:sz="18" w:space="0" w:color="7F7F7F" w:themeColor="text1" w:themeTint="80"/>
              <w:right w:val="nil"/>
            </w:tcBorders>
            <w:shd w:val="clear" w:color="auto" w:fill="auto"/>
            <w:vAlign w:val="center"/>
          </w:tcPr>
          <w:p w:rsidR="008959AD" w:rsidRPr="00C36C8F" w:rsidRDefault="008959AD" w:rsidP="00EB0688">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8959AD" w:rsidRPr="00C36C8F" w:rsidRDefault="008959AD" w:rsidP="00EB0688">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b/>
                <w:szCs w:val="18"/>
              </w:rPr>
            </w:pPr>
            <w:r w:rsidRPr="00C36C8F">
              <w:rPr>
                <w:b/>
              </w:rPr>
              <w:t>94,900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b/>
                <w:szCs w:val="18"/>
              </w:rPr>
            </w:pPr>
            <w:r w:rsidRPr="00C36C8F">
              <w:rPr>
                <w:b/>
              </w:rPr>
              <w:t>13</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8959AD" w:rsidRPr="00C36C8F" w:rsidRDefault="008959AD" w:rsidP="00EB0688">
            <w:pPr>
              <w:pStyle w:val="TableText"/>
              <w:keepNext/>
              <w:keepLines/>
              <w:jc w:val="right"/>
              <w:rPr>
                <w:rFonts w:cs="Arial"/>
                <w:b/>
                <w:szCs w:val="18"/>
              </w:rPr>
            </w:pPr>
            <w:r w:rsidRPr="00C36C8F">
              <w:rPr>
                <w:b/>
              </w:rPr>
              <w:t>16</w:t>
            </w:r>
          </w:p>
        </w:tc>
      </w:tr>
    </w:tbl>
    <w:p w:rsidR="002E4BF3" w:rsidRPr="00C36C8F" w:rsidRDefault="002E4BF3" w:rsidP="002E4BF3">
      <w:pPr>
        <w:pStyle w:val="ParaIndent"/>
        <w:spacing w:before="120"/>
        <w:ind w:left="156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8959AD" w:rsidRPr="00C36C8F" w:rsidRDefault="008959AD" w:rsidP="008959AD"/>
    <w:p w:rsidR="008959AD" w:rsidRPr="00C36C8F" w:rsidRDefault="008959AD" w:rsidP="008959AD"/>
    <w:p w:rsidR="00DE05C7" w:rsidRPr="00C36C8F" w:rsidRDefault="00B9555F" w:rsidP="00F85334">
      <w:pPr>
        <w:pStyle w:val="ParaIndent"/>
        <w:keepNext/>
        <w:spacing w:before="120"/>
        <w:jc w:val="both"/>
      </w:pPr>
      <w:fldSimple w:instr=" REF _Ref284591492 \h  \* MERGEFORMAT ">
        <w:r w:rsidR="00AE7E3B" w:rsidRPr="00C36C8F">
          <w:t xml:space="preserve">Figure </w:t>
        </w:r>
        <w:r w:rsidR="00AE7E3B">
          <w:t>4</w:t>
        </w:r>
        <w:r w:rsidR="00AE7E3B" w:rsidRPr="00C36C8F">
          <w:t>-</w:t>
        </w:r>
        <w:r w:rsidR="00AE7E3B">
          <w:t>12</w:t>
        </w:r>
      </w:fldSimple>
      <w:r w:rsidR="0009088A" w:rsidRPr="00C36C8F">
        <w:t xml:space="preserve"> charts waste </w:t>
      </w:r>
      <w:r w:rsidR="00DE05C7" w:rsidRPr="00C36C8F">
        <w:t>disposal, recycling</w:t>
      </w:r>
      <w:r w:rsidR="0009088A" w:rsidRPr="00C36C8F">
        <w:t xml:space="preserve"> and</w:t>
      </w:r>
      <w:r w:rsidR="00DE05C7" w:rsidRPr="00C36C8F">
        <w:t xml:space="preserve"> energy recovery, by source sector for NSW.</w:t>
      </w:r>
      <w:r w:rsidR="004636FB" w:rsidRPr="00C36C8F">
        <w:t xml:space="preserve"> Energy recovery in NSW was entirely generated by recovered landfill gas, which was assumed to originate from the municipal stream. Due to the high organic content of C&amp;I waste, it is likely </w:t>
      </w:r>
      <w:r w:rsidR="005338E9" w:rsidRPr="00C36C8F">
        <w:t>that some landfill gas energy recovery was from C&amp;I waste, however this was not able to be quantified.</w:t>
      </w:r>
      <w:r w:rsidR="00561B83" w:rsidRPr="00C36C8F">
        <w:t xml:space="preserve"> Energy recovery from C&amp;I and C&amp;D waste is associated with Anaerobic Digestion of materials at specific industrial facilities.</w:t>
      </w:r>
    </w:p>
    <w:tbl>
      <w:tblPr>
        <w:tblW w:w="8553" w:type="dxa"/>
        <w:tblInd w:w="1134" w:type="dxa"/>
        <w:tblLayout w:type="fixed"/>
        <w:tblCellMar>
          <w:left w:w="0" w:type="dxa"/>
          <w:right w:w="0" w:type="dxa"/>
        </w:tblCellMar>
        <w:tblLook w:val="0000"/>
      </w:tblPr>
      <w:tblGrid>
        <w:gridCol w:w="8553"/>
      </w:tblGrid>
      <w:tr w:rsidR="008959AD" w:rsidRPr="00C36C8F" w:rsidTr="008959AD">
        <w:trPr>
          <w:cantSplit/>
          <w:trHeight w:val="3486"/>
        </w:trPr>
        <w:tc>
          <w:tcPr>
            <w:tcW w:w="8553" w:type="dxa"/>
          </w:tcPr>
          <w:p w:rsidR="008959AD" w:rsidRPr="00C36C8F" w:rsidRDefault="00A11246" w:rsidP="008959AD">
            <w:pPr>
              <w:pStyle w:val="ParaIndent"/>
              <w:keepNext/>
              <w:spacing w:before="120"/>
              <w:ind w:left="0"/>
            </w:pPr>
            <w:bookmarkStart w:id="147" w:name="OLE_LINK5"/>
            <w:r>
              <w:rPr>
                <w:noProof/>
                <w:lang w:eastAsia="en-AU"/>
              </w:rPr>
              <w:drawing>
                <wp:inline distT="0" distB="0" distL="0" distR="0">
                  <wp:extent cx="1695449" cy="2871789"/>
                  <wp:effectExtent l="0" t="0" r="635" b="508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eastAsia="en-AU"/>
              </w:rPr>
              <w:drawing>
                <wp:inline distT="0" distB="0" distL="0" distR="0">
                  <wp:extent cx="1733550" cy="2905126"/>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eastAsia="en-AU"/>
              </w:rPr>
              <w:drawing>
                <wp:inline distT="0" distB="0" distL="0" distR="0">
                  <wp:extent cx="1809750" cy="2905126"/>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DE05C7" w:rsidRPr="00C36C8F" w:rsidTr="008959AD">
        <w:trPr>
          <w:cantSplit/>
        </w:trPr>
        <w:tc>
          <w:tcPr>
            <w:tcW w:w="8553" w:type="dxa"/>
          </w:tcPr>
          <w:p w:rsidR="00DE05C7" w:rsidRPr="00C36C8F" w:rsidRDefault="00DE05C7" w:rsidP="00CC16DE">
            <w:pPr>
              <w:pStyle w:val="Caption"/>
              <w:tabs>
                <w:tab w:val="left" w:pos="7275"/>
              </w:tabs>
            </w:pPr>
            <w:bookmarkStart w:id="148" w:name="_Ref284591492"/>
            <w:bookmarkStart w:id="149" w:name="OLE_LINK6"/>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12</w:t>
            </w:r>
            <w:r w:rsidR="00B9555F" w:rsidRPr="00C36C8F">
              <w:rPr>
                <w:noProof/>
              </w:rPr>
              <w:fldChar w:fldCharType="end"/>
            </w:r>
            <w:bookmarkEnd w:id="148"/>
            <w:r w:rsidRPr="00C36C8F">
              <w:tab/>
            </w:r>
            <w:r w:rsidR="00E46E71" w:rsidRPr="00C36C8F">
              <w:t>NSW w</w:t>
            </w:r>
            <w:r w:rsidR="002E4BF3" w:rsidRPr="00C36C8F">
              <w:t>aste</w:t>
            </w:r>
            <w:r w:rsidRPr="00C36C8F">
              <w:t xml:space="preserve"> disposal, recycling </w:t>
            </w:r>
            <w:r w:rsidR="002E4BF3" w:rsidRPr="00C36C8F">
              <w:t xml:space="preserve">and </w:t>
            </w:r>
            <w:r w:rsidRPr="00C36C8F">
              <w:t>energy recovery, by source sector</w:t>
            </w:r>
            <w:r w:rsidR="00CC16DE">
              <w:t xml:space="preserve">,  </w:t>
            </w:r>
            <w:r w:rsidR="00DD6023" w:rsidRPr="00C36C8F">
              <w:t xml:space="preserve"> 2008</w:t>
            </w:r>
            <w:r w:rsidR="00CC16DE">
              <w:t>–</w:t>
            </w:r>
            <w:r w:rsidR="00DD6023" w:rsidRPr="00C36C8F">
              <w:t>09</w:t>
            </w:r>
            <w:bookmarkEnd w:id="149"/>
            <w:r w:rsidR="00C16F94">
              <w:t xml:space="preserve"> subtotals</w:t>
            </w:r>
            <w:r w:rsidR="00AB1315" w:rsidRPr="00C36C8F">
              <w:t>. Units in ‘000 tonnes.</w:t>
            </w:r>
          </w:p>
        </w:tc>
      </w:tr>
    </w:tbl>
    <w:p w:rsidR="00E46E71" w:rsidRPr="00C36C8F" w:rsidRDefault="00E46E71" w:rsidP="00E46E71">
      <w:pPr>
        <w:pStyle w:val="ParaIndent"/>
        <w:keepNext/>
        <w:spacing w:before="120"/>
      </w:pPr>
      <w:bookmarkStart w:id="150" w:name="_Toc284316464"/>
      <w:bookmarkEnd w:id="147"/>
    </w:p>
    <w:p w:rsidR="00E46E71" w:rsidRPr="00C36C8F" w:rsidRDefault="00E46E71" w:rsidP="00E46E71">
      <w:pPr>
        <w:pStyle w:val="ParaIndent"/>
        <w:keepNext/>
        <w:spacing w:before="120"/>
      </w:pPr>
      <w:r w:rsidRPr="00C36C8F">
        <w:br w:type="page"/>
      </w:r>
    </w:p>
    <w:p w:rsidR="00DE05C7" w:rsidRPr="00C36C8F" w:rsidRDefault="002B6B01" w:rsidP="00DE05C7">
      <w:pPr>
        <w:pStyle w:val="Heading2"/>
      </w:pPr>
      <w:bookmarkStart w:id="151" w:name="_Toc325020106"/>
      <w:bookmarkStart w:id="152" w:name="_Toc305049754"/>
      <w:r w:rsidRPr="00C36C8F">
        <w:t>Victoria</w:t>
      </w:r>
      <w:r w:rsidR="00DE05C7" w:rsidRPr="00C36C8F">
        <w:t xml:space="preserve"> waste disposal and recovery</w:t>
      </w:r>
      <w:bookmarkEnd w:id="150"/>
      <w:bookmarkEnd w:id="151"/>
      <w:bookmarkEnd w:id="152"/>
    </w:p>
    <w:p w:rsidR="00DE05C7" w:rsidRPr="00C36C8F" w:rsidRDefault="00A12D8D" w:rsidP="00F85334">
      <w:pPr>
        <w:pStyle w:val="ParaIndent"/>
        <w:jc w:val="both"/>
      </w:pPr>
      <w:r w:rsidRPr="00C36C8F">
        <w:t>Victorian data is for the 2008</w:t>
      </w:r>
      <w:r w:rsidR="00312CC0" w:rsidRPr="00C36C8F">
        <w:t>–</w:t>
      </w:r>
      <w:r w:rsidRPr="00C36C8F">
        <w:t xml:space="preserve">09 financial year. The waste disposal data </w:t>
      </w:r>
      <w:r w:rsidR="0096574E" w:rsidRPr="00C36C8F">
        <w:t xml:space="preserve">in this report </w:t>
      </w:r>
      <w:r w:rsidRPr="00C36C8F">
        <w:rPr>
          <w:u w:val="single"/>
        </w:rPr>
        <w:t>does not</w:t>
      </w:r>
      <w:r w:rsidRPr="00C36C8F">
        <w:t xml:space="preserve"> </w:t>
      </w:r>
      <w:r w:rsidR="005670AC" w:rsidRPr="00C36C8F">
        <w:t xml:space="preserve">deduct </w:t>
      </w:r>
      <w:r w:rsidRPr="00C36C8F">
        <w:t xml:space="preserve">the 15% </w:t>
      </w:r>
      <w:r w:rsidR="005670AC" w:rsidRPr="00C36C8F">
        <w:t>landfill cover rebate from the total tonnage</w:t>
      </w:r>
      <w:r w:rsidR="0096574E" w:rsidRPr="00C36C8F">
        <w:t>,</w:t>
      </w:r>
      <w:r w:rsidR="005670AC" w:rsidRPr="00C36C8F">
        <w:t xml:space="preserve"> </w:t>
      </w:r>
      <w:r w:rsidR="005338E9" w:rsidRPr="00C36C8F">
        <w:t xml:space="preserve">as was the case in the previous </w:t>
      </w:r>
      <w:r w:rsidR="005338E9" w:rsidRPr="00C36C8F">
        <w:rPr>
          <w:i/>
        </w:rPr>
        <w:t>Waste and Recycling in Australia</w:t>
      </w:r>
      <w:r w:rsidR="005338E9" w:rsidRPr="00C36C8F">
        <w:t xml:space="preserve"> report</w:t>
      </w:r>
      <w:r w:rsidR="005670AC" w:rsidRPr="00C36C8F">
        <w:t>.</w:t>
      </w:r>
      <w:r w:rsidR="007D2F30" w:rsidRPr="00C36C8F">
        <w:t xml:space="preserve"> </w:t>
      </w:r>
      <w:r w:rsidRPr="00C36C8F">
        <w:t>The composition of waste disposal was estimated using the Sustainability Victoria waste model</w:t>
      </w:r>
      <w:r w:rsidR="007D2F30" w:rsidRPr="00C36C8F">
        <w:t>,</w:t>
      </w:r>
      <w:r w:rsidRPr="00C36C8F">
        <w:t xml:space="preserve"> while the recycling source sector figures were calculated by applying the proportion recycled by each sector reported in the Sustainability Victoria </w:t>
      </w:r>
      <w:r w:rsidR="005338E9" w:rsidRPr="00C36C8F">
        <w:rPr>
          <w:i/>
        </w:rPr>
        <w:t>Victorian Recycling Industries Annual Survey 2008</w:t>
      </w:r>
      <w:r w:rsidR="005338E9" w:rsidRPr="00C36C8F">
        <w:rPr>
          <w:i/>
        </w:rPr>
        <w:noBreakHyphen/>
        <w:t>2009</w:t>
      </w:r>
      <w:r w:rsidRPr="00C36C8F">
        <w:t>.</w:t>
      </w:r>
      <w:r w:rsidR="0004577A" w:rsidRPr="00C36C8F">
        <w:t xml:space="preserve"> </w:t>
      </w:r>
      <w:fldSimple w:instr=" REF _Ref284591536 \h  \* MERGEFORMAT ">
        <w:r w:rsidR="00AE7E3B" w:rsidRPr="00C36C8F">
          <w:t xml:space="preserve">Table </w:t>
        </w:r>
        <w:r w:rsidR="00AE7E3B">
          <w:rPr>
            <w:noProof/>
          </w:rPr>
          <w:t>4</w:t>
        </w:r>
        <w:r w:rsidR="00AE7E3B" w:rsidRPr="00C36C8F">
          <w:rPr>
            <w:noProof/>
          </w:rPr>
          <w:t>-</w:t>
        </w:r>
        <w:r w:rsidR="00AE7E3B">
          <w:rPr>
            <w:noProof/>
          </w:rPr>
          <w:t>17</w:t>
        </w:r>
      </w:fldSimple>
      <w:r w:rsidR="00DE05C7" w:rsidRPr="00C36C8F">
        <w:t xml:space="preserve"> provides an overview of the sources of the Victorian waste disposal and recovery data, upon which the jurisdictional review and national figures for the 2008</w:t>
      </w:r>
      <w:r w:rsidR="00546438">
        <w:t>–</w:t>
      </w:r>
      <w:r w:rsidR="00DE05C7" w:rsidRPr="00C36C8F">
        <w:t>09 reporting period are based.</w:t>
      </w:r>
    </w:p>
    <w:p w:rsidR="00DE05C7" w:rsidRPr="00C36C8F" w:rsidRDefault="00DE05C7" w:rsidP="00DE05C7">
      <w:pPr>
        <w:pStyle w:val="Caption"/>
        <w:tabs>
          <w:tab w:val="left" w:pos="7275"/>
        </w:tabs>
      </w:pPr>
      <w:bookmarkStart w:id="153" w:name="_Ref284591536"/>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17</w:t>
      </w:r>
      <w:r w:rsidR="00B9555F" w:rsidRPr="00C36C8F">
        <w:rPr>
          <w:noProof/>
        </w:rPr>
        <w:fldChar w:fldCharType="end"/>
      </w:r>
      <w:bookmarkEnd w:id="153"/>
      <w:r w:rsidRPr="00C36C8F">
        <w:tab/>
        <w:t>Sources of Victorian waste disposal and recovery data</w:t>
      </w:r>
    </w:p>
    <w:tbl>
      <w:tblPr>
        <w:tblW w:w="0" w:type="auto"/>
        <w:tblInd w:w="1134" w:type="dxa"/>
        <w:tblBorders>
          <w:bottom w:val="single" w:sz="18" w:space="0" w:color="808080"/>
          <w:insideH w:val="single" w:sz="4" w:space="0" w:color="808080"/>
        </w:tblBorders>
        <w:tblLayout w:type="fixed"/>
        <w:tblCellMar>
          <w:left w:w="0" w:type="dxa"/>
          <w:right w:w="0" w:type="dxa"/>
        </w:tblCellMar>
        <w:tblLook w:val="01E0"/>
      </w:tblPr>
      <w:tblGrid>
        <w:gridCol w:w="1175"/>
        <w:gridCol w:w="3503"/>
        <w:gridCol w:w="3827"/>
      </w:tblGrid>
      <w:tr w:rsidR="004E5602" w:rsidRPr="00C36C8F" w:rsidTr="00860B52">
        <w:trPr>
          <w:cantSplit/>
          <w:tblHeader/>
        </w:trPr>
        <w:tc>
          <w:tcPr>
            <w:tcW w:w="1175" w:type="dxa"/>
            <w:tcBorders>
              <w:top w:val="nil"/>
            </w:tcBorders>
            <w:shd w:val="clear" w:color="auto" w:fill="auto"/>
            <w:tcMar>
              <w:right w:w="142" w:type="dxa"/>
            </w:tcMar>
          </w:tcPr>
          <w:p w:rsidR="004E5602" w:rsidRPr="00C36C8F" w:rsidRDefault="004E5602" w:rsidP="00A13306">
            <w:pPr>
              <w:pStyle w:val="TableHeading"/>
              <w:rPr>
                <w:kern w:val="28"/>
              </w:rPr>
            </w:pPr>
            <w:r w:rsidRPr="00C36C8F">
              <w:rPr>
                <w:kern w:val="28"/>
              </w:rPr>
              <w:t>Data field</w:t>
            </w:r>
          </w:p>
        </w:tc>
        <w:tc>
          <w:tcPr>
            <w:tcW w:w="3503" w:type="dxa"/>
            <w:tcBorders>
              <w:top w:val="nil"/>
            </w:tcBorders>
            <w:shd w:val="clear" w:color="auto" w:fill="auto"/>
            <w:tcMar>
              <w:right w:w="142" w:type="dxa"/>
            </w:tcMar>
          </w:tcPr>
          <w:p w:rsidR="004E5602" w:rsidRPr="00C36C8F" w:rsidRDefault="004E5602" w:rsidP="00A13306">
            <w:pPr>
              <w:pStyle w:val="TableHeading"/>
              <w:rPr>
                <w:kern w:val="28"/>
              </w:rPr>
            </w:pPr>
            <w:r w:rsidRPr="00C36C8F">
              <w:rPr>
                <w:kern w:val="28"/>
              </w:rPr>
              <w:t>Data Sources</w:t>
            </w:r>
          </w:p>
        </w:tc>
        <w:tc>
          <w:tcPr>
            <w:tcW w:w="3827" w:type="dxa"/>
            <w:tcBorders>
              <w:top w:val="nil"/>
            </w:tcBorders>
            <w:tcMar>
              <w:right w:w="142" w:type="dxa"/>
            </w:tcMar>
          </w:tcPr>
          <w:p w:rsidR="004E5602" w:rsidRPr="00C36C8F" w:rsidRDefault="004E5602" w:rsidP="00A13306">
            <w:pPr>
              <w:pStyle w:val="TableHeading"/>
              <w:rPr>
                <w:kern w:val="28"/>
              </w:rPr>
            </w:pPr>
            <w:r w:rsidRPr="00C36C8F">
              <w:rPr>
                <w:kern w:val="28"/>
              </w:rPr>
              <w:t>Data collation assumptions &amp; calculation methods</w:t>
            </w:r>
          </w:p>
        </w:tc>
      </w:tr>
      <w:tr w:rsidR="00A13306" w:rsidRPr="00C36C8F" w:rsidTr="00860B52">
        <w:tblPrEx>
          <w:tblBorders>
            <w:bottom w:val="none" w:sz="0" w:space="0" w:color="auto"/>
            <w:insideH w:val="none" w:sz="0" w:space="0" w:color="auto"/>
          </w:tblBorders>
          <w:tblCellMar>
            <w:left w:w="108" w:type="dxa"/>
            <w:right w:w="108" w:type="dxa"/>
          </w:tblCellMar>
          <w:tblLook w:val="04A0"/>
        </w:tblPrEx>
        <w:trPr>
          <w:cantSplit/>
          <w:trHeight w:val="735"/>
        </w:trPr>
        <w:tc>
          <w:tcPr>
            <w:tcW w:w="1175" w:type="dxa"/>
            <w:tcBorders>
              <w:top w:val="nil"/>
              <w:left w:val="nil"/>
              <w:bottom w:val="single" w:sz="8" w:space="0" w:color="808080"/>
              <w:right w:val="nil"/>
            </w:tcBorders>
            <w:shd w:val="clear" w:color="auto" w:fill="auto"/>
            <w:tcMar>
              <w:right w:w="142" w:type="dxa"/>
            </w:tcMar>
            <w:hideMark/>
          </w:tcPr>
          <w:p w:rsidR="00A13306" w:rsidRPr="000B315F" w:rsidRDefault="00A13306" w:rsidP="00914B95">
            <w:pPr>
              <w:spacing w:after="0" w:line="240" w:lineRule="auto"/>
              <w:ind w:left="-108"/>
              <w:rPr>
                <w:sz w:val="18"/>
              </w:rPr>
            </w:pPr>
            <w:r w:rsidRPr="000B315F">
              <w:rPr>
                <w:sz w:val="18"/>
              </w:rPr>
              <w:t>Population data</w:t>
            </w:r>
          </w:p>
        </w:tc>
        <w:tc>
          <w:tcPr>
            <w:tcW w:w="3503"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 xml:space="preserve">Australian Bureau of Statistics, </w:t>
            </w:r>
            <w:r w:rsidRPr="000B315F">
              <w:rPr>
                <w:i/>
                <w:sz w:val="18"/>
              </w:rPr>
              <w:t>ABS Release 3101.04 – Estimated Resident Population, States and Territories</w:t>
            </w:r>
            <w:r w:rsidRPr="000B315F">
              <w:rPr>
                <w:sz w:val="18"/>
              </w:rPr>
              <w:t xml:space="preserve"> (Number), June 2009, Canberra, Australia.</w:t>
            </w:r>
          </w:p>
        </w:tc>
        <w:tc>
          <w:tcPr>
            <w:tcW w:w="3827" w:type="dxa"/>
            <w:tcBorders>
              <w:top w:val="nil"/>
              <w:left w:val="nil"/>
              <w:bottom w:val="single" w:sz="8" w:space="0" w:color="808080"/>
              <w:right w:val="nil"/>
            </w:tcBorders>
            <w:shd w:val="clear" w:color="auto" w:fill="auto"/>
            <w:tcMar>
              <w:right w:w="142" w:type="dxa"/>
            </w:tcMar>
            <w:hideMark/>
          </w:tcPr>
          <w:p w:rsidR="00A13306" w:rsidRPr="000B315F" w:rsidRDefault="00A13306" w:rsidP="009F7AFC">
            <w:pPr>
              <w:spacing w:after="0" w:line="240" w:lineRule="auto"/>
              <w:ind w:left="-108"/>
              <w:rPr>
                <w:sz w:val="18"/>
              </w:rPr>
            </w:pPr>
            <w:r w:rsidRPr="000B315F">
              <w:rPr>
                <w:sz w:val="18"/>
              </w:rPr>
              <w:t>None.</w:t>
            </w:r>
          </w:p>
        </w:tc>
      </w:tr>
      <w:tr w:rsidR="00A13306" w:rsidRPr="00C36C8F" w:rsidTr="00860B52">
        <w:tblPrEx>
          <w:tblBorders>
            <w:bottom w:val="none" w:sz="0" w:space="0" w:color="auto"/>
            <w:insideH w:val="none" w:sz="0" w:space="0" w:color="auto"/>
          </w:tblBorders>
          <w:tblCellMar>
            <w:left w:w="108" w:type="dxa"/>
            <w:right w:w="108" w:type="dxa"/>
          </w:tblCellMar>
          <w:tblLook w:val="04A0"/>
        </w:tblPrEx>
        <w:trPr>
          <w:cantSplit/>
          <w:trHeight w:val="3855"/>
        </w:trPr>
        <w:tc>
          <w:tcPr>
            <w:tcW w:w="1175" w:type="dxa"/>
            <w:tcBorders>
              <w:top w:val="nil"/>
              <w:left w:val="nil"/>
              <w:bottom w:val="single" w:sz="8" w:space="0" w:color="808080"/>
              <w:right w:val="nil"/>
            </w:tcBorders>
            <w:shd w:val="clear" w:color="auto" w:fill="auto"/>
            <w:tcMar>
              <w:right w:w="142" w:type="dxa"/>
            </w:tcMar>
            <w:hideMark/>
          </w:tcPr>
          <w:p w:rsidR="00A13306" w:rsidRPr="000B315F" w:rsidRDefault="00A13306" w:rsidP="00914B95">
            <w:pPr>
              <w:spacing w:after="0" w:line="240" w:lineRule="auto"/>
              <w:ind w:left="-108"/>
              <w:rPr>
                <w:sz w:val="18"/>
              </w:rPr>
            </w:pPr>
            <w:r w:rsidRPr="000B315F">
              <w:rPr>
                <w:sz w:val="18"/>
              </w:rPr>
              <w:t>Disposal to landfill - total quantity</w:t>
            </w:r>
          </w:p>
        </w:tc>
        <w:tc>
          <w:tcPr>
            <w:tcW w:w="3503"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240" w:line="240" w:lineRule="auto"/>
              <w:ind w:left="0"/>
              <w:rPr>
                <w:sz w:val="18"/>
              </w:rPr>
            </w:pPr>
            <w:r w:rsidRPr="000B315F">
              <w:rPr>
                <w:sz w:val="18"/>
              </w:rPr>
              <w:t xml:space="preserve">1. Hyder Consulting (2010), </w:t>
            </w:r>
            <w:r w:rsidRPr="000B315F">
              <w:rPr>
                <w:i/>
                <w:sz w:val="18"/>
              </w:rPr>
              <w:t>Victorian waste model</w:t>
            </w:r>
            <w:r w:rsidRPr="000B315F">
              <w:rPr>
                <w:sz w:val="18"/>
              </w:rPr>
              <w:t>, prepared for Sustainability Victoria, 2010e.</w:t>
            </w:r>
            <w:r w:rsidRPr="000B315F">
              <w:rPr>
                <w:sz w:val="18"/>
              </w:rPr>
              <w:br/>
              <w:t xml:space="preserve">2. Environment Protection Authority (Victoria), </w:t>
            </w:r>
            <w:r w:rsidRPr="000B315F">
              <w:rPr>
                <w:i/>
                <w:sz w:val="18"/>
              </w:rPr>
              <w:t>Prescribed industrial waste disposed to landfill - annual trends</w:t>
            </w:r>
            <w:r w:rsidRPr="000B315F">
              <w:rPr>
                <w:sz w:val="18"/>
              </w:rPr>
              <w:t>. Available from http://www.epa.vic.gov.au/waste/docs/piw-annual-reporting.pdf, accessed March 2011.</w:t>
            </w:r>
            <w:r w:rsidRPr="000B315F">
              <w:rPr>
                <w:sz w:val="18"/>
              </w:rPr>
              <w:br/>
              <w:t>3. Ash Development Association of Australia, Annual membership survey results: January - December 2009. Prepared by HBM Group Pty Ltd.</w:t>
            </w:r>
            <w:r w:rsidRPr="000B315F">
              <w:rPr>
                <w:sz w:val="18"/>
              </w:rPr>
              <w:br/>
              <w:t>4. Energy recovery estimates - various sources [Clean Energy Council (2010); Golder (2009); Green Energy Markets for Energy Developments (2008)].</w:t>
            </w:r>
          </w:p>
        </w:tc>
        <w:tc>
          <w:tcPr>
            <w:tcW w:w="3827" w:type="dxa"/>
            <w:tcBorders>
              <w:top w:val="nil"/>
              <w:left w:val="nil"/>
              <w:bottom w:val="single" w:sz="8" w:space="0" w:color="808080"/>
              <w:right w:val="nil"/>
            </w:tcBorders>
            <w:shd w:val="clear" w:color="auto" w:fill="auto"/>
            <w:tcMar>
              <w:right w:w="142" w:type="dxa"/>
            </w:tcMar>
            <w:hideMark/>
          </w:tcPr>
          <w:p w:rsidR="00A13306" w:rsidRPr="000B315F" w:rsidRDefault="00A13306" w:rsidP="009F7AFC">
            <w:pPr>
              <w:spacing w:after="0" w:line="240" w:lineRule="auto"/>
              <w:ind w:left="-108"/>
              <w:rPr>
                <w:sz w:val="18"/>
              </w:rPr>
            </w:pPr>
            <w:r w:rsidRPr="000B315F">
              <w:rPr>
                <w:sz w:val="18"/>
              </w:rPr>
              <w:t>1. Total disposal to landfill data for Victoria during 2008</w:t>
            </w:r>
            <w:r w:rsidR="00312CC0" w:rsidRPr="000B315F">
              <w:rPr>
                <w:sz w:val="18"/>
              </w:rPr>
              <w:t>–</w:t>
            </w:r>
            <w:r w:rsidRPr="000B315F">
              <w:rPr>
                <w:sz w:val="18"/>
              </w:rPr>
              <w:t>09 was primarily based upon data sourced from Hyder (2010e). This data did not account for the disposal of hazardous wastes and fly ash, or organic materials recovered through energy recovery, see points 2 to 4 for the description of the determination of the disposed quantities of these materials.</w:t>
            </w:r>
            <w:r w:rsidRPr="000B315F">
              <w:rPr>
                <w:sz w:val="18"/>
              </w:rPr>
              <w:br/>
              <w:t>2. Data for the disposal to landfill of hazardous wastes (contaminated soil, industrial wastes and asbestos) was sourced from EPA Vic (2011).</w:t>
            </w:r>
            <w:r w:rsidRPr="000B315F">
              <w:rPr>
                <w:sz w:val="18"/>
              </w:rPr>
              <w:br/>
              <w:t>3. Data for the disposal to landfill of fly ash is based upon the national aggregated value, which is not disaggregated to the state level. Victoria's fly ash disposal is based upon the jurisdictions proportion of national installed capacity of coal fired power stations.</w:t>
            </w:r>
            <w:r w:rsidRPr="000B315F">
              <w:rPr>
                <w:sz w:val="18"/>
              </w:rPr>
              <w:br/>
              <w:t>4. An estimate of the relatively small quantity of organic materials recovered through energy recovery, was also subtracted from Victorian disposal to landfill in 2008</w:t>
            </w:r>
            <w:r w:rsidR="00312CC0" w:rsidRPr="000B315F">
              <w:rPr>
                <w:sz w:val="18"/>
              </w:rPr>
              <w:t>–</w:t>
            </w:r>
            <w:r w:rsidRPr="000B315F">
              <w:rPr>
                <w:sz w:val="18"/>
              </w:rPr>
              <w:t>09. See Section 3.1 (Recommendation 6) for a detailed outline of the method applied to determine the total quantity of waste recovered through energy recovery processes.</w:t>
            </w:r>
          </w:p>
        </w:tc>
      </w:tr>
      <w:tr w:rsidR="00A13306" w:rsidRPr="00C36C8F" w:rsidTr="00860B52">
        <w:trPr>
          <w:cantSplit/>
          <w:trHeight w:val="3855"/>
        </w:trPr>
        <w:tc>
          <w:tcPr>
            <w:tcW w:w="1175" w:type="dxa"/>
            <w:tcBorders>
              <w:top w:val="single" w:sz="8" w:space="0" w:color="808080"/>
            </w:tcBorders>
            <w:tcMar>
              <w:right w:w="142" w:type="dxa"/>
            </w:tcMar>
            <w:hideMark/>
          </w:tcPr>
          <w:p w:rsidR="00A13306" w:rsidRPr="000B315F" w:rsidRDefault="00A13306" w:rsidP="00A13306">
            <w:pPr>
              <w:spacing w:after="0" w:line="240" w:lineRule="auto"/>
              <w:ind w:left="0"/>
              <w:rPr>
                <w:sz w:val="18"/>
              </w:rPr>
            </w:pPr>
            <w:r w:rsidRPr="000B315F">
              <w:rPr>
                <w:sz w:val="18"/>
              </w:rPr>
              <w:t>Recycling - total quantity</w:t>
            </w:r>
          </w:p>
        </w:tc>
        <w:tc>
          <w:tcPr>
            <w:tcW w:w="3503" w:type="dxa"/>
            <w:tcBorders>
              <w:top w:val="single" w:sz="8" w:space="0" w:color="808080"/>
            </w:tcBorders>
            <w:tcMar>
              <w:right w:w="142" w:type="dxa"/>
            </w:tcMar>
            <w:hideMark/>
          </w:tcPr>
          <w:p w:rsidR="00A13306" w:rsidRPr="000B315F" w:rsidRDefault="00A13306" w:rsidP="00A13306">
            <w:pPr>
              <w:spacing w:after="0" w:line="240" w:lineRule="auto"/>
              <w:ind w:left="0"/>
              <w:rPr>
                <w:sz w:val="18"/>
              </w:rPr>
            </w:pPr>
            <w:r w:rsidRPr="000B315F">
              <w:rPr>
                <w:sz w:val="18"/>
              </w:rPr>
              <w:t xml:space="preserve">1. Sustainability Victoria, </w:t>
            </w:r>
            <w:r w:rsidRPr="000B315F">
              <w:rPr>
                <w:i/>
                <w:sz w:val="18"/>
              </w:rPr>
              <w:t>Victorian Recycling Industries Annual Survey 2008-09</w:t>
            </w:r>
            <w:r w:rsidRPr="000B315F">
              <w:rPr>
                <w:sz w:val="18"/>
              </w:rPr>
              <w:t>, June 2010.</w:t>
            </w:r>
            <w:r w:rsidRPr="000B315F">
              <w:rPr>
                <w:sz w:val="18"/>
              </w:rPr>
              <w:br/>
              <w:t xml:space="preserve">2. Recycled Organics Unit, </w:t>
            </w:r>
            <w:r w:rsidRPr="000B315F">
              <w:rPr>
                <w:i/>
                <w:sz w:val="18"/>
              </w:rPr>
              <w:t>Organics Recycling in Australia: Industry Statistics 2009</w:t>
            </w:r>
            <w:r w:rsidRPr="000B315F">
              <w:rPr>
                <w:sz w:val="18"/>
              </w:rPr>
              <w:t>, revised edition December 2009.</w:t>
            </w:r>
            <w:r w:rsidRPr="000B315F">
              <w:rPr>
                <w:sz w:val="18"/>
              </w:rPr>
              <w:br/>
              <w:t>3. Blue Circle Southern Cement (Boral), Updated waste-based fuel data, personal communication, 15 September 2010.</w:t>
            </w:r>
            <w:r w:rsidRPr="000B315F">
              <w:rPr>
                <w:sz w:val="18"/>
              </w:rPr>
              <w:br/>
              <w:t>4. Ash Development Association of Australia, Annual membership survey results: January - December 2009. Prepared by HBM Group Pty Ltd.</w:t>
            </w:r>
          </w:p>
        </w:tc>
        <w:tc>
          <w:tcPr>
            <w:tcW w:w="3827" w:type="dxa"/>
            <w:tcBorders>
              <w:top w:val="single" w:sz="8" w:space="0" w:color="808080"/>
            </w:tcBorders>
            <w:tcMar>
              <w:right w:w="142" w:type="dxa"/>
            </w:tcMar>
            <w:hideMark/>
          </w:tcPr>
          <w:p w:rsidR="00A13306" w:rsidRPr="000B315F" w:rsidRDefault="00A13306" w:rsidP="00A13306">
            <w:pPr>
              <w:spacing w:after="0" w:line="240" w:lineRule="auto"/>
              <w:ind w:left="0"/>
              <w:rPr>
                <w:sz w:val="18"/>
              </w:rPr>
            </w:pPr>
            <w:r w:rsidRPr="000B315F">
              <w:rPr>
                <w:sz w:val="18"/>
              </w:rPr>
              <w:t>1. The total recycling data for Victoria during 2008</w:t>
            </w:r>
            <w:r w:rsidR="00312CC0" w:rsidRPr="000B315F">
              <w:rPr>
                <w:sz w:val="18"/>
              </w:rPr>
              <w:t>–</w:t>
            </w:r>
            <w:r w:rsidRPr="000B315F">
              <w:rPr>
                <w:sz w:val="18"/>
              </w:rPr>
              <w:t>09 was primarily based upon data in the SV (2010) report. Clean fill quantities were a significant exclusion from the SV reported data.</w:t>
            </w:r>
            <w:r w:rsidRPr="000B315F">
              <w:rPr>
                <w:sz w:val="18"/>
              </w:rPr>
              <w:br/>
              <w:t>2. An exception to point 1 above relates to the quantification of organics recycling, which was sourced from ROU (2009), with an additional estimate for timber recovered from the C&amp;I and C&amp;D waste streams (ROU 2009 and SV 2010). Primary production wastes relating to Recommendation 10 and 11 (Section 3.5) were excluded from the ROU (2009) data.</w:t>
            </w:r>
            <w:r w:rsidRPr="000B315F">
              <w:rPr>
                <w:sz w:val="18"/>
              </w:rPr>
              <w:br/>
              <w:t>3. An exception to point 1 above relates to the quantification of 'Tyres &amp; other rubber', with a relatively small quantity of this material (see Table 4-18) shifted from recycling to energy recovery, as it was identified as being used as a fuel source for cement kilns (Blue Circle 2010).</w:t>
            </w:r>
            <w:r w:rsidRPr="000B315F">
              <w:rPr>
                <w:sz w:val="18"/>
              </w:rPr>
              <w:br/>
              <w:t>4. Fly ash recycling is based upon the national aggregated data (ADAA 2009). Victorian fly ash recycling is based upon the jurisdictions proportion of national installed capacity of coal fired power stations.</w:t>
            </w:r>
          </w:p>
        </w:tc>
      </w:tr>
      <w:tr w:rsidR="00A13306" w:rsidRPr="00C36C8F" w:rsidTr="00860B52">
        <w:tblPrEx>
          <w:tblBorders>
            <w:bottom w:val="none" w:sz="0" w:space="0" w:color="auto"/>
            <w:insideH w:val="none" w:sz="0" w:space="0" w:color="auto"/>
          </w:tblBorders>
          <w:tblCellMar>
            <w:left w:w="108" w:type="dxa"/>
            <w:right w:w="108" w:type="dxa"/>
          </w:tblCellMar>
          <w:tblLook w:val="04A0"/>
        </w:tblPrEx>
        <w:trPr>
          <w:cantSplit/>
          <w:trHeight w:val="1695"/>
        </w:trPr>
        <w:tc>
          <w:tcPr>
            <w:tcW w:w="1175"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Energy recovery - total quantity</w:t>
            </w:r>
          </w:p>
        </w:tc>
        <w:tc>
          <w:tcPr>
            <w:tcW w:w="3503"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1. Landfill energy recovery estimates - various sources [Clean Energy Council (2010); Golder (2009); Green Energy Markets for Energy Developments (2008)].</w:t>
            </w:r>
            <w:r w:rsidRPr="000B315F">
              <w:rPr>
                <w:sz w:val="18"/>
              </w:rPr>
              <w:br/>
              <w:t>2. Blue Circle Southern Cement (Boral), Updated waste-based fuel data, personal communication, 15 September 2010.</w:t>
            </w:r>
            <w:r w:rsidRPr="000B315F">
              <w:rPr>
                <w:sz w:val="18"/>
              </w:rPr>
              <w:br/>
              <w:t xml:space="preserve">3. Cement Industry Federation, </w:t>
            </w:r>
            <w:r w:rsidRPr="000B315F">
              <w:rPr>
                <w:i/>
                <w:sz w:val="18"/>
              </w:rPr>
              <w:t>Sustainability Report 2009</w:t>
            </w:r>
            <w:r w:rsidRPr="000B315F">
              <w:rPr>
                <w:sz w:val="18"/>
              </w:rPr>
              <w:t>, Australia Cement Industry report, 2009.</w:t>
            </w:r>
          </w:p>
        </w:tc>
        <w:tc>
          <w:tcPr>
            <w:tcW w:w="3827" w:type="dxa"/>
            <w:tcBorders>
              <w:top w:val="nil"/>
              <w:left w:val="nil"/>
              <w:bottom w:val="single" w:sz="8" w:space="0" w:color="808080"/>
              <w:right w:val="nil"/>
            </w:tcBorders>
            <w:shd w:val="clear" w:color="auto" w:fill="auto"/>
            <w:tcMar>
              <w:right w:w="142" w:type="dxa"/>
            </w:tcMar>
            <w:hideMark/>
          </w:tcPr>
          <w:p w:rsidR="00A13306" w:rsidRPr="000B315F" w:rsidRDefault="00A13306" w:rsidP="009F7AFC">
            <w:pPr>
              <w:spacing w:after="0" w:line="240" w:lineRule="auto"/>
              <w:ind w:left="-108"/>
              <w:rPr>
                <w:sz w:val="18"/>
              </w:rPr>
            </w:pPr>
            <w:r w:rsidRPr="000B315F">
              <w:rPr>
                <w:sz w:val="18"/>
              </w:rPr>
              <w:t>1. Total energy recovery was calculated using the sources and method outlined in detail in Section 3.1 (Recommendation 6). The majority of energy recovery in Victoria during 2008</w:t>
            </w:r>
            <w:r w:rsidR="00312CC0" w:rsidRPr="000B315F">
              <w:rPr>
                <w:sz w:val="18"/>
              </w:rPr>
              <w:t>–</w:t>
            </w:r>
            <w:r w:rsidRPr="000B315F">
              <w:rPr>
                <w:sz w:val="18"/>
              </w:rPr>
              <w:t>09 was through methane capture at landfills and sewage treatment plants, however a reasonable quantity of solid waste combustion was also identified (Blue Circle 2010 and CIF 2009), see Table 4-18 for the quantities of energy recovery.</w:t>
            </w:r>
          </w:p>
        </w:tc>
      </w:tr>
      <w:tr w:rsidR="00A13306" w:rsidRPr="00C36C8F" w:rsidTr="00860B52">
        <w:tblPrEx>
          <w:tblBorders>
            <w:bottom w:val="none" w:sz="0" w:space="0" w:color="auto"/>
            <w:insideH w:val="none" w:sz="0" w:space="0" w:color="auto"/>
          </w:tblBorders>
          <w:tblCellMar>
            <w:left w:w="108" w:type="dxa"/>
            <w:right w:w="108" w:type="dxa"/>
          </w:tblCellMar>
          <w:tblLook w:val="04A0"/>
        </w:tblPrEx>
        <w:trPr>
          <w:cantSplit/>
          <w:trHeight w:val="1455"/>
        </w:trPr>
        <w:tc>
          <w:tcPr>
            <w:tcW w:w="1175"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Disposal to landfill - waste stream splits</w:t>
            </w:r>
          </w:p>
        </w:tc>
        <w:tc>
          <w:tcPr>
            <w:tcW w:w="3503"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 xml:space="preserve">1. Hyder Consulting (2010), </w:t>
            </w:r>
            <w:r w:rsidRPr="000B315F">
              <w:rPr>
                <w:i/>
                <w:sz w:val="18"/>
              </w:rPr>
              <w:t>Victorian waste model</w:t>
            </w:r>
            <w:r w:rsidRPr="000B315F">
              <w:rPr>
                <w:sz w:val="18"/>
              </w:rPr>
              <w:t>, prepared for Sustainability Victoria, 2010e.</w:t>
            </w:r>
            <w:r w:rsidRPr="000B315F">
              <w:rPr>
                <w:sz w:val="18"/>
              </w:rPr>
              <w:br/>
              <w:t xml:space="preserve">2. Environment Protection Authority (Victoria), </w:t>
            </w:r>
            <w:r w:rsidRPr="000B315F">
              <w:rPr>
                <w:i/>
                <w:sz w:val="18"/>
              </w:rPr>
              <w:t>Prescribed industrial waste disposed to landfill - annual trends</w:t>
            </w:r>
            <w:r w:rsidRPr="000B315F">
              <w:rPr>
                <w:sz w:val="18"/>
              </w:rPr>
              <w:t>. Available from http://www.epa.vic.gov.au/waste/docs/piw-annual-reporting.pdf, accessed March 2011.</w:t>
            </w:r>
          </w:p>
        </w:tc>
        <w:tc>
          <w:tcPr>
            <w:tcW w:w="3827" w:type="dxa"/>
            <w:tcBorders>
              <w:top w:val="nil"/>
              <w:left w:val="nil"/>
              <w:bottom w:val="single" w:sz="8" w:space="0" w:color="808080"/>
              <w:right w:val="nil"/>
            </w:tcBorders>
            <w:shd w:val="clear" w:color="auto" w:fill="auto"/>
            <w:tcMar>
              <w:right w:w="142" w:type="dxa"/>
            </w:tcMar>
            <w:hideMark/>
          </w:tcPr>
          <w:p w:rsidR="00A13306" w:rsidRPr="000B315F" w:rsidRDefault="00A13306" w:rsidP="009F7AFC">
            <w:pPr>
              <w:spacing w:after="0" w:line="240" w:lineRule="auto"/>
              <w:ind w:left="-108"/>
              <w:rPr>
                <w:sz w:val="18"/>
              </w:rPr>
            </w:pPr>
            <w:r w:rsidRPr="000B315F">
              <w:rPr>
                <w:sz w:val="18"/>
              </w:rPr>
              <w:t>1. Data on the disposal to landfill by waste stream for Victoria in 2008</w:t>
            </w:r>
            <w:r w:rsidR="00312CC0" w:rsidRPr="000B315F">
              <w:rPr>
                <w:sz w:val="18"/>
              </w:rPr>
              <w:t>–</w:t>
            </w:r>
            <w:r w:rsidRPr="000B315F">
              <w:rPr>
                <w:sz w:val="18"/>
              </w:rPr>
              <w:t>09 were sourced from Hyder (2010) and EPA Vic (2011).</w:t>
            </w:r>
          </w:p>
        </w:tc>
      </w:tr>
      <w:tr w:rsidR="00A13306" w:rsidRPr="00C36C8F" w:rsidTr="00860B52">
        <w:tblPrEx>
          <w:tblBorders>
            <w:bottom w:val="none" w:sz="0" w:space="0" w:color="auto"/>
            <w:insideH w:val="none" w:sz="0" w:space="0" w:color="auto"/>
          </w:tblBorders>
          <w:tblCellMar>
            <w:left w:w="108" w:type="dxa"/>
            <w:right w:w="108" w:type="dxa"/>
          </w:tblCellMar>
          <w:tblLook w:val="04A0"/>
        </w:tblPrEx>
        <w:trPr>
          <w:cantSplit/>
          <w:trHeight w:val="1695"/>
        </w:trPr>
        <w:tc>
          <w:tcPr>
            <w:tcW w:w="1175"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Recycling - waste stream splits</w:t>
            </w:r>
          </w:p>
        </w:tc>
        <w:tc>
          <w:tcPr>
            <w:tcW w:w="3503"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 xml:space="preserve">1. Sustainability Victoria, </w:t>
            </w:r>
            <w:r w:rsidRPr="000B315F">
              <w:rPr>
                <w:i/>
                <w:sz w:val="18"/>
              </w:rPr>
              <w:t>Victorian Recycling Industries Annual Survey 2008-09</w:t>
            </w:r>
            <w:r w:rsidRPr="000B315F">
              <w:rPr>
                <w:sz w:val="18"/>
              </w:rPr>
              <w:t>, June 2010.</w:t>
            </w:r>
            <w:r w:rsidRPr="000B315F">
              <w:rPr>
                <w:sz w:val="18"/>
              </w:rPr>
              <w:br/>
              <w:t>2. Ash Development Association of Australia, Annual membership survey results: January - December 2009. Prepared by HBM Group Pty Ltd.</w:t>
            </w:r>
          </w:p>
        </w:tc>
        <w:tc>
          <w:tcPr>
            <w:tcW w:w="3827" w:type="dxa"/>
            <w:tcBorders>
              <w:top w:val="nil"/>
              <w:left w:val="nil"/>
              <w:bottom w:val="single" w:sz="8" w:space="0" w:color="808080"/>
              <w:right w:val="nil"/>
            </w:tcBorders>
            <w:shd w:val="clear" w:color="auto" w:fill="auto"/>
            <w:tcMar>
              <w:right w:w="142" w:type="dxa"/>
            </w:tcMar>
            <w:hideMark/>
          </w:tcPr>
          <w:p w:rsidR="00A13306" w:rsidRPr="000B315F" w:rsidRDefault="00A13306" w:rsidP="009F7AFC">
            <w:pPr>
              <w:spacing w:after="0" w:line="240" w:lineRule="auto"/>
              <w:ind w:left="-108"/>
              <w:rPr>
                <w:sz w:val="18"/>
              </w:rPr>
            </w:pPr>
            <w:r w:rsidRPr="000B315F">
              <w:rPr>
                <w:sz w:val="18"/>
              </w:rPr>
              <w:t>1. Recycling by waste stream was primarily calculated using waste stream splits data sourced from SV (2010), and the "Recycling - total quantity" value previously estimated.</w:t>
            </w:r>
            <w:r w:rsidRPr="000B315F">
              <w:rPr>
                <w:sz w:val="18"/>
              </w:rPr>
              <w:br/>
              <w:t>2. The exception to point 1 above was fly ash recycling data, which was sourced from ADAA (2009). All this material was categorised as sourced from the C&amp;I sector (see Section 3.3, Recommendation 14, for full details).</w:t>
            </w:r>
          </w:p>
        </w:tc>
      </w:tr>
      <w:tr w:rsidR="00A13306" w:rsidRPr="00C36C8F" w:rsidTr="00860B52">
        <w:tblPrEx>
          <w:tblBorders>
            <w:bottom w:val="none" w:sz="0" w:space="0" w:color="auto"/>
            <w:insideH w:val="none" w:sz="0" w:space="0" w:color="auto"/>
          </w:tblBorders>
          <w:tblCellMar>
            <w:left w:w="108" w:type="dxa"/>
            <w:right w:w="108" w:type="dxa"/>
          </w:tblCellMar>
          <w:tblLook w:val="04A0"/>
        </w:tblPrEx>
        <w:trPr>
          <w:cantSplit/>
          <w:trHeight w:val="1695"/>
        </w:trPr>
        <w:tc>
          <w:tcPr>
            <w:tcW w:w="1175" w:type="dxa"/>
            <w:tcBorders>
              <w:top w:val="nil"/>
              <w:left w:val="nil"/>
              <w:bottom w:val="single" w:sz="8" w:space="0" w:color="808080"/>
              <w:right w:val="nil"/>
            </w:tcBorders>
            <w:shd w:val="clear" w:color="auto" w:fill="auto"/>
            <w:tcMar>
              <w:right w:w="142" w:type="dxa"/>
            </w:tcMar>
            <w:hideMark/>
          </w:tcPr>
          <w:p w:rsidR="00A13306" w:rsidRPr="000B315F" w:rsidRDefault="00A13306" w:rsidP="0011391A">
            <w:pPr>
              <w:spacing w:after="0" w:line="240" w:lineRule="auto"/>
              <w:ind w:left="-108"/>
              <w:rPr>
                <w:sz w:val="18"/>
              </w:rPr>
            </w:pPr>
            <w:r w:rsidRPr="000B315F">
              <w:rPr>
                <w:sz w:val="18"/>
              </w:rPr>
              <w:t>Energy recovery - waste stream splits</w:t>
            </w:r>
          </w:p>
        </w:tc>
        <w:tc>
          <w:tcPr>
            <w:tcW w:w="3503"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1. Landfill energy recovery estimates - various sources [Clean Energy Council (2010); Golder (2009); Green Energy Markets for Energy Developments (2008)].</w:t>
            </w:r>
            <w:r w:rsidRPr="000B315F">
              <w:rPr>
                <w:sz w:val="18"/>
              </w:rPr>
              <w:br/>
              <w:t>2. Blue Circle Southern Cement (Boral), Updated waste-based fuel data, personal communication, 15 September 2010.</w:t>
            </w:r>
            <w:r w:rsidRPr="000B315F">
              <w:rPr>
                <w:sz w:val="18"/>
              </w:rPr>
              <w:br/>
              <w:t xml:space="preserve">3. Cement Industry Federation, </w:t>
            </w:r>
            <w:r w:rsidRPr="000B315F">
              <w:rPr>
                <w:i/>
                <w:sz w:val="18"/>
              </w:rPr>
              <w:t>Sustainability Report 2009</w:t>
            </w:r>
            <w:r w:rsidRPr="000B315F">
              <w:rPr>
                <w:sz w:val="18"/>
              </w:rPr>
              <w:t>, Australia Cement Industry report, 2009.</w:t>
            </w:r>
          </w:p>
        </w:tc>
        <w:tc>
          <w:tcPr>
            <w:tcW w:w="3827" w:type="dxa"/>
            <w:tcBorders>
              <w:top w:val="nil"/>
              <w:left w:val="nil"/>
              <w:bottom w:val="single" w:sz="8" w:space="0" w:color="808080"/>
              <w:right w:val="nil"/>
            </w:tcBorders>
            <w:shd w:val="clear" w:color="auto" w:fill="auto"/>
            <w:tcMar>
              <w:right w:w="142" w:type="dxa"/>
            </w:tcMar>
            <w:hideMark/>
          </w:tcPr>
          <w:p w:rsidR="00A13306" w:rsidRPr="000B315F" w:rsidRDefault="00A13306" w:rsidP="0011391A">
            <w:pPr>
              <w:spacing w:after="0" w:line="240" w:lineRule="auto"/>
              <w:ind w:left="-108"/>
              <w:rPr>
                <w:sz w:val="18"/>
              </w:rPr>
            </w:pPr>
            <w:r w:rsidRPr="000B315F">
              <w:rPr>
                <w:sz w:val="18"/>
              </w:rPr>
              <w:t>1. Energy recovery by waste stream was calculated using the data sources identified here and the method outlined in detail in Section 3.1 (Recommendation 6).</w:t>
            </w:r>
          </w:p>
        </w:tc>
      </w:tr>
      <w:tr w:rsidR="00A13306" w:rsidRPr="00C36C8F" w:rsidTr="00860B52">
        <w:trPr>
          <w:cantSplit/>
          <w:trHeight w:val="3855"/>
        </w:trPr>
        <w:tc>
          <w:tcPr>
            <w:tcW w:w="1175" w:type="dxa"/>
            <w:tcBorders>
              <w:top w:val="single" w:sz="8" w:space="0" w:color="808080"/>
            </w:tcBorders>
            <w:tcMar>
              <w:right w:w="142" w:type="dxa"/>
            </w:tcMar>
            <w:hideMark/>
          </w:tcPr>
          <w:p w:rsidR="00A13306" w:rsidRPr="000B315F" w:rsidRDefault="00A13306" w:rsidP="00A13306">
            <w:pPr>
              <w:spacing w:after="0" w:line="240" w:lineRule="auto"/>
              <w:ind w:left="0"/>
              <w:rPr>
                <w:sz w:val="18"/>
              </w:rPr>
            </w:pPr>
            <w:r w:rsidRPr="000B315F">
              <w:rPr>
                <w:sz w:val="18"/>
              </w:rPr>
              <w:t>Disposal to landfill - material splits</w:t>
            </w:r>
          </w:p>
        </w:tc>
        <w:tc>
          <w:tcPr>
            <w:tcW w:w="3503" w:type="dxa"/>
            <w:tcBorders>
              <w:top w:val="single" w:sz="8" w:space="0" w:color="808080"/>
            </w:tcBorders>
            <w:tcMar>
              <w:right w:w="142" w:type="dxa"/>
            </w:tcMar>
            <w:hideMark/>
          </w:tcPr>
          <w:p w:rsidR="00A13306" w:rsidRPr="000B315F" w:rsidRDefault="00A13306" w:rsidP="00A13306">
            <w:pPr>
              <w:spacing w:after="0" w:line="240" w:lineRule="auto"/>
              <w:ind w:left="0"/>
              <w:rPr>
                <w:sz w:val="18"/>
              </w:rPr>
            </w:pPr>
            <w:r w:rsidRPr="000B315F">
              <w:rPr>
                <w:sz w:val="18"/>
              </w:rPr>
              <w:t>1. Hyder Consulting (2010), Victorian waste model, prepared for Sustainability Victoria, 2010e.</w:t>
            </w:r>
            <w:r w:rsidRPr="000B315F">
              <w:rPr>
                <w:sz w:val="18"/>
              </w:rPr>
              <w:br/>
              <w:t xml:space="preserve">2. Environment Protection Authority (Victoria), </w:t>
            </w:r>
            <w:r w:rsidRPr="000B315F">
              <w:rPr>
                <w:i/>
                <w:sz w:val="18"/>
              </w:rPr>
              <w:t>Prescribed industrial waste disposed to landfill - annual trends</w:t>
            </w:r>
            <w:r w:rsidRPr="000B315F">
              <w:rPr>
                <w:sz w:val="18"/>
              </w:rPr>
              <w:t>. Available from http://www.epa.vic.gov.au/waste/docs/piw-annual-reporting.pdf, accessed March 2011.</w:t>
            </w:r>
            <w:r w:rsidRPr="000B315F">
              <w:rPr>
                <w:sz w:val="18"/>
              </w:rPr>
              <w:br/>
              <w:t>3. Ash Development Association of Australia, Annual membership survey results: January - December 2009. Prepared by HBM Group Pty Ltd.</w:t>
            </w:r>
            <w:r w:rsidRPr="000B315F">
              <w:rPr>
                <w:sz w:val="18"/>
              </w:rPr>
              <w:br/>
              <w:t>4. See "Energy recovery - total quantity" sources above.</w:t>
            </w:r>
          </w:p>
        </w:tc>
        <w:tc>
          <w:tcPr>
            <w:tcW w:w="3827" w:type="dxa"/>
            <w:tcBorders>
              <w:top w:val="single" w:sz="8" w:space="0" w:color="808080"/>
            </w:tcBorders>
            <w:tcMar>
              <w:right w:w="142" w:type="dxa"/>
            </w:tcMar>
            <w:hideMark/>
          </w:tcPr>
          <w:p w:rsidR="00A13306" w:rsidRPr="000B315F" w:rsidRDefault="00A13306" w:rsidP="00A13306">
            <w:pPr>
              <w:spacing w:after="0" w:line="240" w:lineRule="auto"/>
              <w:ind w:left="0"/>
              <w:rPr>
                <w:sz w:val="18"/>
              </w:rPr>
            </w:pPr>
            <w:r w:rsidRPr="000B315F">
              <w:rPr>
                <w:sz w:val="18"/>
              </w:rPr>
              <w:t>1. The material splits for disposal to landfill in Victoria during 2008</w:t>
            </w:r>
            <w:r w:rsidR="00312CC0" w:rsidRPr="000B315F">
              <w:rPr>
                <w:sz w:val="18"/>
              </w:rPr>
              <w:t>–</w:t>
            </w:r>
            <w:r w:rsidRPr="000B315F">
              <w:rPr>
                <w:sz w:val="18"/>
              </w:rPr>
              <w:t>09 were primarily based upon data sourced from Hyder (2010e). This did not account for the disposal of hazardous wastes and fly ash, or organic materials recovered through energy recovery and subtracted from organics disposal. See points 2 to 4 for the description of the determination of the disposed quantities of these materials.</w:t>
            </w:r>
            <w:r w:rsidRPr="000B315F">
              <w:rPr>
                <w:sz w:val="18"/>
              </w:rPr>
              <w:br/>
              <w:t>2. Material specific data for the disposal to landfill of hazardous wastes (contaminated soil, industrial wastes and asbestos) was sourced from EPA Vic (2011).</w:t>
            </w:r>
            <w:r w:rsidRPr="000B315F">
              <w:rPr>
                <w:sz w:val="18"/>
              </w:rPr>
              <w:br/>
              <w:t>3. Data for the disposal to landfill of fly ash is based upon the national aggregated value (ADAA 2009), which is not disaggregated to the state level. Victoria's fly ash disposal is based upon the jurisdictions proportion of national installed capacity of coal fired power stations.</w:t>
            </w:r>
            <w:r w:rsidRPr="000B315F">
              <w:rPr>
                <w:sz w:val="18"/>
              </w:rPr>
              <w:br/>
              <w:t>4. An estimate of the relatively small quantity of organic materials 'recovered' through energy recovery, was also subtracted from Victorian disposal to landfill of organics.</w:t>
            </w:r>
          </w:p>
        </w:tc>
      </w:tr>
      <w:tr w:rsidR="00A13306" w:rsidRPr="00C36C8F" w:rsidTr="00860B52">
        <w:tblPrEx>
          <w:tblBorders>
            <w:bottom w:val="none" w:sz="0" w:space="0" w:color="auto"/>
            <w:insideH w:val="none" w:sz="0" w:space="0" w:color="auto"/>
          </w:tblBorders>
          <w:tblCellMar>
            <w:left w:w="108" w:type="dxa"/>
            <w:right w:w="108" w:type="dxa"/>
          </w:tblCellMar>
          <w:tblLook w:val="04A0"/>
        </w:tblPrEx>
        <w:trPr>
          <w:cantSplit/>
          <w:trHeight w:val="270"/>
        </w:trPr>
        <w:tc>
          <w:tcPr>
            <w:tcW w:w="1175" w:type="dxa"/>
            <w:tcBorders>
              <w:top w:val="nil"/>
              <w:left w:val="nil"/>
              <w:bottom w:val="single" w:sz="8" w:space="0" w:color="808080"/>
              <w:right w:val="nil"/>
            </w:tcBorders>
            <w:shd w:val="clear" w:color="auto" w:fill="auto"/>
            <w:tcMar>
              <w:right w:w="142" w:type="dxa"/>
            </w:tcMar>
            <w:hideMark/>
          </w:tcPr>
          <w:p w:rsidR="00A13306" w:rsidRPr="000B315F" w:rsidRDefault="00A13306" w:rsidP="0011391A">
            <w:pPr>
              <w:spacing w:after="0" w:line="240" w:lineRule="auto"/>
              <w:ind w:left="-108"/>
              <w:rPr>
                <w:sz w:val="18"/>
              </w:rPr>
            </w:pPr>
            <w:r w:rsidRPr="000B315F">
              <w:rPr>
                <w:sz w:val="18"/>
              </w:rPr>
              <w:t>Recycling - material splits</w:t>
            </w:r>
          </w:p>
        </w:tc>
        <w:tc>
          <w:tcPr>
            <w:tcW w:w="3503"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See sources against "Recycling - total quantity" above.</w:t>
            </w:r>
          </w:p>
        </w:tc>
        <w:tc>
          <w:tcPr>
            <w:tcW w:w="3827" w:type="dxa"/>
            <w:tcBorders>
              <w:top w:val="nil"/>
              <w:left w:val="nil"/>
              <w:bottom w:val="single" w:sz="8" w:space="0" w:color="808080"/>
              <w:right w:val="nil"/>
            </w:tcBorders>
            <w:shd w:val="clear" w:color="auto" w:fill="auto"/>
            <w:tcMar>
              <w:right w:w="142" w:type="dxa"/>
            </w:tcMar>
            <w:hideMark/>
          </w:tcPr>
          <w:p w:rsidR="00A13306" w:rsidRPr="000B315F" w:rsidRDefault="00A13306" w:rsidP="0011391A">
            <w:pPr>
              <w:spacing w:after="0" w:line="240" w:lineRule="auto"/>
              <w:ind w:left="-108"/>
              <w:rPr>
                <w:sz w:val="18"/>
              </w:rPr>
            </w:pPr>
            <w:r w:rsidRPr="000B315F">
              <w:rPr>
                <w:sz w:val="18"/>
              </w:rPr>
              <w:t>See comments against "Recycling - total quantity" above.</w:t>
            </w:r>
          </w:p>
        </w:tc>
      </w:tr>
      <w:tr w:rsidR="00A13306" w:rsidRPr="00C36C8F" w:rsidTr="00860B52">
        <w:tblPrEx>
          <w:tblBorders>
            <w:bottom w:val="none" w:sz="0" w:space="0" w:color="auto"/>
            <w:insideH w:val="none" w:sz="0" w:space="0" w:color="auto"/>
          </w:tblBorders>
          <w:tblCellMar>
            <w:left w:w="108" w:type="dxa"/>
            <w:right w:w="108" w:type="dxa"/>
          </w:tblCellMar>
          <w:tblLook w:val="04A0"/>
        </w:tblPrEx>
        <w:trPr>
          <w:cantSplit/>
          <w:trHeight w:val="270"/>
        </w:trPr>
        <w:tc>
          <w:tcPr>
            <w:tcW w:w="1175" w:type="dxa"/>
            <w:tcBorders>
              <w:top w:val="nil"/>
              <w:left w:val="nil"/>
              <w:bottom w:val="single" w:sz="8" w:space="0" w:color="808080"/>
              <w:right w:val="nil"/>
            </w:tcBorders>
            <w:shd w:val="clear" w:color="auto" w:fill="auto"/>
            <w:tcMar>
              <w:right w:w="142" w:type="dxa"/>
            </w:tcMar>
            <w:hideMark/>
          </w:tcPr>
          <w:p w:rsidR="00A13306" w:rsidRPr="000B315F" w:rsidRDefault="00A13306" w:rsidP="0011391A">
            <w:pPr>
              <w:spacing w:after="0" w:line="240" w:lineRule="auto"/>
              <w:ind w:left="-108"/>
              <w:rPr>
                <w:sz w:val="18"/>
              </w:rPr>
            </w:pPr>
            <w:r w:rsidRPr="000B315F">
              <w:rPr>
                <w:sz w:val="18"/>
              </w:rPr>
              <w:t>Energy recovery - material splits</w:t>
            </w:r>
          </w:p>
        </w:tc>
        <w:tc>
          <w:tcPr>
            <w:tcW w:w="3503" w:type="dxa"/>
            <w:tcBorders>
              <w:top w:val="nil"/>
              <w:left w:val="nil"/>
              <w:bottom w:val="single" w:sz="8" w:space="0" w:color="808080"/>
              <w:right w:val="nil"/>
            </w:tcBorders>
            <w:shd w:val="clear" w:color="auto" w:fill="auto"/>
            <w:tcMar>
              <w:right w:w="142" w:type="dxa"/>
            </w:tcMar>
            <w:hideMark/>
          </w:tcPr>
          <w:p w:rsidR="00A13306" w:rsidRPr="000B315F" w:rsidRDefault="00A13306" w:rsidP="00A13306">
            <w:pPr>
              <w:spacing w:after="0" w:line="240" w:lineRule="auto"/>
              <w:ind w:left="0"/>
              <w:rPr>
                <w:sz w:val="18"/>
              </w:rPr>
            </w:pPr>
            <w:r w:rsidRPr="000B315F">
              <w:rPr>
                <w:sz w:val="18"/>
              </w:rPr>
              <w:t>See sources against "Energy recovery - total quantity" above.</w:t>
            </w:r>
          </w:p>
        </w:tc>
        <w:tc>
          <w:tcPr>
            <w:tcW w:w="3827" w:type="dxa"/>
            <w:tcBorders>
              <w:top w:val="nil"/>
              <w:left w:val="nil"/>
              <w:bottom w:val="single" w:sz="8" w:space="0" w:color="808080"/>
              <w:right w:val="nil"/>
            </w:tcBorders>
            <w:shd w:val="clear" w:color="auto" w:fill="auto"/>
            <w:tcMar>
              <w:right w:w="142" w:type="dxa"/>
            </w:tcMar>
            <w:hideMark/>
          </w:tcPr>
          <w:p w:rsidR="00A13306" w:rsidRPr="000B315F" w:rsidRDefault="00A13306" w:rsidP="0011391A">
            <w:pPr>
              <w:spacing w:after="0" w:line="240" w:lineRule="auto"/>
              <w:ind w:left="-108"/>
              <w:rPr>
                <w:sz w:val="18"/>
              </w:rPr>
            </w:pPr>
            <w:r w:rsidRPr="000B315F">
              <w:rPr>
                <w:sz w:val="18"/>
              </w:rPr>
              <w:t>See comments against "Energy recovery - total quantity" above.</w:t>
            </w:r>
          </w:p>
        </w:tc>
      </w:tr>
    </w:tbl>
    <w:p w:rsidR="004E5602" w:rsidRPr="00C36C8F" w:rsidRDefault="004E5602" w:rsidP="004E5602"/>
    <w:p w:rsidR="00DE05C7" w:rsidRPr="00C36C8F" w:rsidRDefault="00B9555F" w:rsidP="00F85334">
      <w:pPr>
        <w:pStyle w:val="ParaIndent"/>
        <w:keepNext/>
        <w:spacing w:before="120"/>
        <w:jc w:val="both"/>
      </w:pPr>
      <w:r w:rsidRPr="00C36C8F">
        <w:fldChar w:fldCharType="begin"/>
      </w:r>
      <w:r w:rsidR="00AB36EE" w:rsidRPr="00C36C8F">
        <w:instrText xml:space="preserve"> REF _Ref287345790 \h </w:instrText>
      </w:r>
      <w:r w:rsidRPr="00C36C8F">
        <w:fldChar w:fldCharType="separate"/>
      </w:r>
      <w:r w:rsidR="00AE7E3B" w:rsidRPr="00C36C8F">
        <w:t xml:space="preserve">Figure </w:t>
      </w:r>
      <w:r w:rsidR="00AE7E3B">
        <w:rPr>
          <w:noProof/>
        </w:rPr>
        <w:t>4</w:t>
      </w:r>
      <w:r w:rsidR="00AE7E3B" w:rsidRPr="00C36C8F">
        <w:t>-</w:t>
      </w:r>
      <w:r w:rsidR="00AE7E3B">
        <w:rPr>
          <w:noProof/>
        </w:rPr>
        <w:t>13</w:t>
      </w:r>
      <w:r w:rsidRPr="00C36C8F">
        <w:fldChar w:fldCharType="end"/>
      </w:r>
      <w:r w:rsidR="00AB36EE" w:rsidRPr="00C36C8F">
        <w:t xml:space="preserve"> </w:t>
      </w:r>
      <w:r w:rsidR="00DE05C7" w:rsidRPr="00C36C8F">
        <w:t>ch</w:t>
      </w:r>
      <w:r w:rsidR="00313465" w:rsidRPr="00C36C8F">
        <w:t>arts Victorian waste</w:t>
      </w:r>
      <w:r w:rsidR="00DE05C7" w:rsidRPr="00C36C8F">
        <w:t xml:space="preserve"> disposal, recycling energ</w:t>
      </w:r>
      <w:r w:rsidR="006F1CB0" w:rsidRPr="00C36C8F">
        <w:t>y recovery for the years 2002</w:t>
      </w:r>
      <w:r w:rsidR="00312CC0" w:rsidRPr="00C36C8F">
        <w:t>–</w:t>
      </w:r>
      <w:r w:rsidR="006F1CB0" w:rsidRPr="00C36C8F">
        <w:t xml:space="preserve">03, 2006–07 and 2008–09. Data for 2002–03 and 2006–07 has been taken directly from the previous </w:t>
      </w:r>
      <w:r w:rsidR="006F1CB0" w:rsidRPr="00C36C8F">
        <w:rPr>
          <w:i/>
        </w:rPr>
        <w:t xml:space="preserve">Waste and Recycling in Australia </w:t>
      </w:r>
      <w:r w:rsidR="006F1CB0" w:rsidRPr="00C36C8F">
        <w:t xml:space="preserve">reports and has not had the new data compilation method introduced in this report </w:t>
      </w:r>
      <w:r w:rsidR="007D2F30" w:rsidRPr="00C36C8F">
        <w:t xml:space="preserve">retrospectively </w:t>
      </w:r>
      <w:r w:rsidR="006F1CB0" w:rsidRPr="00C36C8F">
        <w:t xml:space="preserve">applied. </w:t>
      </w:r>
    </w:p>
    <w:tbl>
      <w:tblPr>
        <w:tblW w:w="0" w:type="auto"/>
        <w:tblInd w:w="1242" w:type="dxa"/>
        <w:tblLayout w:type="fixed"/>
        <w:tblCellMar>
          <w:left w:w="0" w:type="dxa"/>
          <w:right w:w="0" w:type="dxa"/>
        </w:tblCellMar>
        <w:tblLook w:val="0000"/>
      </w:tblPr>
      <w:tblGrid>
        <w:gridCol w:w="8505"/>
      </w:tblGrid>
      <w:tr w:rsidR="00562131" w:rsidRPr="00C36C8F" w:rsidTr="000B315F">
        <w:tc>
          <w:tcPr>
            <w:tcW w:w="8505" w:type="dxa"/>
          </w:tcPr>
          <w:p w:rsidR="00562131" w:rsidRPr="00C36C8F" w:rsidRDefault="00A11246" w:rsidP="00562131">
            <w:pPr>
              <w:pStyle w:val="Heading40"/>
              <w:tabs>
                <w:tab w:val="clear" w:pos="1134"/>
                <w:tab w:val="left" w:pos="0"/>
              </w:tabs>
              <w:ind w:left="0"/>
            </w:pPr>
            <w:r>
              <w:rPr>
                <w:noProof/>
                <w:lang w:eastAsia="en-AU"/>
              </w:rPr>
              <w:drawing>
                <wp:inline distT="0" distB="0" distL="0" distR="0">
                  <wp:extent cx="5176308" cy="2813933"/>
                  <wp:effectExtent l="0" t="0" r="5715" b="571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62131" w:rsidRPr="00C36C8F" w:rsidTr="000B315F">
        <w:tblPrEx>
          <w:tblCellMar>
            <w:left w:w="108" w:type="dxa"/>
            <w:right w:w="108" w:type="dxa"/>
          </w:tblCellMar>
        </w:tblPrEx>
        <w:trPr>
          <w:trHeight w:val="549"/>
        </w:trPr>
        <w:tc>
          <w:tcPr>
            <w:tcW w:w="8505" w:type="dxa"/>
          </w:tcPr>
          <w:p w:rsidR="00562131" w:rsidRPr="00C36C8F" w:rsidRDefault="00562131" w:rsidP="00562131">
            <w:pPr>
              <w:pStyle w:val="Caption"/>
            </w:pPr>
            <w:bookmarkStart w:id="154" w:name="_Ref287345790"/>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13</w:t>
            </w:r>
            <w:r w:rsidR="00B9555F" w:rsidRPr="00C36C8F">
              <w:rPr>
                <w:noProof/>
              </w:rPr>
              <w:fldChar w:fldCharType="end"/>
            </w:r>
            <w:bookmarkEnd w:id="154"/>
            <w:r w:rsidRPr="00C36C8F">
              <w:tab/>
            </w:r>
            <w:r w:rsidR="00E61926" w:rsidRPr="00C36C8F">
              <w:t>Victorian t</w:t>
            </w:r>
            <w:r w:rsidRPr="00C36C8F">
              <w:t xml:space="preserve">otal waste generation, disposal, recycling </w:t>
            </w:r>
            <w:r w:rsidR="001F60F8" w:rsidRPr="00C36C8F">
              <w:t xml:space="preserve">and </w:t>
            </w:r>
            <w:r w:rsidRPr="00C36C8F">
              <w:t>energy recovery, 2002–03, 2006–07 &amp; 2008–09</w:t>
            </w:r>
          </w:p>
        </w:tc>
      </w:tr>
      <w:tr w:rsidR="00562131" w:rsidRPr="00C36C8F" w:rsidTr="000B315F">
        <w:tblPrEx>
          <w:tblCellMar>
            <w:left w:w="108" w:type="dxa"/>
            <w:right w:w="108" w:type="dxa"/>
          </w:tblCellMar>
        </w:tblPrEx>
        <w:tc>
          <w:tcPr>
            <w:tcW w:w="8505" w:type="dxa"/>
          </w:tcPr>
          <w:p w:rsidR="00E61926" w:rsidRPr="00C36C8F" w:rsidRDefault="001F60F8" w:rsidP="005B65D5">
            <w:pPr>
              <w:pStyle w:val="TableText"/>
              <w:spacing w:line="240" w:lineRule="auto"/>
              <w:rPr>
                <w:sz w:val="16"/>
                <w:szCs w:val="16"/>
              </w:rPr>
            </w:pPr>
            <w:r w:rsidRPr="00C36C8F">
              <w:rPr>
                <w:sz w:val="16"/>
                <w:szCs w:val="16"/>
              </w:rPr>
              <w:t>2002</w:t>
            </w:r>
            <w:r w:rsidR="00545323">
              <w:rPr>
                <w:sz w:val="16"/>
                <w:szCs w:val="16"/>
              </w:rPr>
              <w:t>–</w:t>
            </w:r>
            <w:r w:rsidRPr="00C36C8F">
              <w:rPr>
                <w:sz w:val="16"/>
                <w:szCs w:val="16"/>
              </w:rPr>
              <w:t>03 and 2006</w:t>
            </w:r>
            <w:r w:rsidR="00545323">
              <w:rPr>
                <w:sz w:val="16"/>
                <w:szCs w:val="16"/>
              </w:rPr>
              <w:t>–</w:t>
            </w:r>
            <w:r w:rsidRPr="00C36C8F">
              <w:rPr>
                <w:sz w:val="16"/>
                <w:szCs w:val="16"/>
              </w:rPr>
              <w:t>07 data sources are</w:t>
            </w:r>
            <w:r w:rsidR="00E61926" w:rsidRPr="00C36C8F">
              <w:rPr>
                <w:sz w:val="16"/>
                <w:szCs w:val="16"/>
              </w:rPr>
              <w:t xml:space="preserve"> </w:t>
            </w:r>
            <w:r w:rsidR="00E61926" w:rsidRPr="00277859">
              <w:rPr>
                <w:i/>
                <w:sz w:val="16"/>
                <w:szCs w:val="16"/>
              </w:rPr>
              <w:t>Waste and Recycling in Australia 2009</w:t>
            </w:r>
            <w:r w:rsidR="00E61926" w:rsidRPr="00C36C8F">
              <w:rPr>
                <w:sz w:val="16"/>
                <w:szCs w:val="16"/>
              </w:rPr>
              <w:t>.</w:t>
            </w:r>
          </w:p>
          <w:p w:rsidR="00E61926" w:rsidRPr="00C36C8F" w:rsidRDefault="00E61926" w:rsidP="005B65D5">
            <w:pPr>
              <w:pStyle w:val="TableText"/>
              <w:spacing w:line="240" w:lineRule="auto"/>
              <w:rPr>
                <w:sz w:val="16"/>
                <w:szCs w:val="16"/>
              </w:rPr>
            </w:pPr>
            <w:r w:rsidRPr="00C36C8F">
              <w:rPr>
                <w:sz w:val="16"/>
                <w:szCs w:val="16"/>
              </w:rPr>
              <w:t>2008</w:t>
            </w:r>
            <w:r w:rsidR="00545323">
              <w:rPr>
                <w:sz w:val="16"/>
                <w:szCs w:val="16"/>
              </w:rPr>
              <w:t>–</w:t>
            </w:r>
            <w:r w:rsidRPr="00C36C8F">
              <w:rPr>
                <w:sz w:val="16"/>
                <w:szCs w:val="16"/>
              </w:rPr>
              <w:t>09 “Subtotal” excludes fly ash data.</w:t>
            </w:r>
          </w:p>
          <w:p w:rsidR="00562131" w:rsidRPr="00C36C8F" w:rsidRDefault="00E61926" w:rsidP="00545323">
            <w:pPr>
              <w:pStyle w:val="TableText"/>
              <w:spacing w:line="240" w:lineRule="auto"/>
              <w:rPr>
                <w:sz w:val="16"/>
                <w:szCs w:val="16"/>
              </w:rPr>
            </w:pPr>
            <w:r w:rsidRPr="00C36C8F">
              <w:rPr>
                <w:sz w:val="16"/>
                <w:szCs w:val="16"/>
              </w:rPr>
              <w:t>2008</w:t>
            </w:r>
            <w:r w:rsidR="00545323">
              <w:rPr>
                <w:rFonts w:cs="Arial"/>
                <w:sz w:val="16"/>
                <w:szCs w:val="16"/>
              </w:rPr>
              <w:t>–</w:t>
            </w:r>
            <w:r w:rsidRPr="00C36C8F">
              <w:rPr>
                <w:sz w:val="16"/>
                <w:szCs w:val="16"/>
              </w:rPr>
              <w:t>09 “Total” include fly ash data.</w:t>
            </w:r>
          </w:p>
        </w:tc>
      </w:tr>
    </w:tbl>
    <w:p w:rsidR="00DE05C7" w:rsidRPr="00C36C8F" w:rsidRDefault="00B9555F" w:rsidP="00F85334">
      <w:pPr>
        <w:keepNext/>
        <w:spacing w:before="120"/>
        <w:ind w:left="1134"/>
        <w:jc w:val="both"/>
      </w:pPr>
      <w:r w:rsidRPr="00C36C8F">
        <w:fldChar w:fldCharType="begin"/>
      </w:r>
      <w:r w:rsidR="00DE05C7" w:rsidRPr="00C36C8F">
        <w:instrText xml:space="preserve"> REF _Ref284591627 \h </w:instrText>
      </w:r>
      <w:r w:rsidRPr="00C36C8F">
        <w:fldChar w:fldCharType="separate"/>
      </w:r>
      <w:r w:rsidR="00AE7E3B" w:rsidRPr="00C36C8F">
        <w:t xml:space="preserve">Table </w:t>
      </w:r>
      <w:r w:rsidR="00AE7E3B">
        <w:rPr>
          <w:noProof/>
        </w:rPr>
        <w:t>4</w:t>
      </w:r>
      <w:r w:rsidR="00AE7E3B" w:rsidRPr="00C36C8F">
        <w:t>-</w:t>
      </w:r>
      <w:r w:rsidR="00AE7E3B">
        <w:rPr>
          <w:noProof/>
        </w:rPr>
        <w:t>18</w:t>
      </w:r>
      <w:r w:rsidRPr="00C36C8F">
        <w:fldChar w:fldCharType="end"/>
      </w:r>
      <w:r w:rsidR="00DE05C7" w:rsidRPr="00C36C8F">
        <w:t xml:space="preserve"> details Victorian waste generation and disposal data by material for 2008</w:t>
      </w:r>
      <w:r w:rsidR="00DD6023" w:rsidRPr="00C36C8F">
        <w:t>–</w:t>
      </w:r>
      <w:r w:rsidR="00DE05C7" w:rsidRPr="00C36C8F">
        <w:t>09, and compares the a</w:t>
      </w:r>
      <w:r w:rsidR="00921E93" w:rsidRPr="00C36C8F">
        <w:t>ssociated per capita disposal (k</w:t>
      </w:r>
      <w:r w:rsidR="00DE05C7" w:rsidRPr="00C36C8F">
        <w:t>g) for Victoria with the national average for all jurisdictions.</w:t>
      </w:r>
    </w:p>
    <w:p w:rsidR="00DE05C7" w:rsidRPr="00C36C8F" w:rsidRDefault="00DE05C7" w:rsidP="00DE05C7">
      <w:pPr>
        <w:pStyle w:val="Caption"/>
        <w:tabs>
          <w:tab w:val="left" w:pos="7275"/>
        </w:tabs>
      </w:pPr>
      <w:bookmarkStart w:id="155" w:name="_Ref284591627"/>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18</w:t>
      </w:r>
      <w:r w:rsidR="00B9555F" w:rsidRPr="00C36C8F">
        <w:rPr>
          <w:noProof/>
        </w:rPr>
        <w:fldChar w:fldCharType="end"/>
      </w:r>
      <w:bookmarkEnd w:id="155"/>
      <w:r w:rsidRPr="00C36C8F">
        <w:tab/>
      </w:r>
      <w:r w:rsidR="001F60F8" w:rsidRPr="00C36C8F">
        <w:t>Victorian w</w:t>
      </w:r>
      <w:r w:rsidRPr="00C36C8F">
        <w:t>aste generation and disposal data by material,</w:t>
      </w:r>
      <w:r w:rsidR="001F60F8" w:rsidRPr="00C36C8F">
        <w:t xml:space="preserve">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1F60F8" w:rsidRPr="00C36C8F" w:rsidTr="00EB0688">
        <w:tc>
          <w:tcPr>
            <w:tcW w:w="4111" w:type="dxa"/>
            <w:gridSpan w:val="2"/>
            <w:tcBorders>
              <w:right w:val="single" w:sz="4" w:space="0" w:color="808080"/>
            </w:tcBorders>
            <w:shd w:val="clear" w:color="auto" w:fill="auto"/>
            <w:vAlign w:val="center"/>
          </w:tcPr>
          <w:p w:rsidR="001F60F8" w:rsidRPr="00C36C8F" w:rsidRDefault="001F60F8" w:rsidP="00EB0688">
            <w:pPr>
              <w:pStyle w:val="TableHeading"/>
              <w:keepLines/>
              <w:jc w:val="center"/>
              <w:rPr>
                <w:rFonts w:cs="Arial"/>
                <w:kern w:val="28"/>
              </w:rPr>
            </w:pPr>
          </w:p>
        </w:tc>
        <w:tc>
          <w:tcPr>
            <w:tcW w:w="1329"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1F60F8" w:rsidRPr="00C36C8F" w:rsidRDefault="001F60F8" w:rsidP="00EB0688">
            <w:pPr>
              <w:pStyle w:val="TableHeading"/>
              <w:keepLines/>
              <w:jc w:val="center"/>
              <w:rPr>
                <w:rFonts w:cs="Arial"/>
                <w:kern w:val="28"/>
              </w:rPr>
            </w:pPr>
            <w:r w:rsidRPr="00C36C8F">
              <w:rPr>
                <w:rFonts w:cs="Arial"/>
                <w:kern w:val="28"/>
              </w:rPr>
              <w:t>Vic waste generation</w:t>
            </w:r>
          </w:p>
        </w:tc>
        <w:tc>
          <w:tcPr>
            <w:tcW w:w="2658" w:type="dxa"/>
            <w:gridSpan w:val="2"/>
            <w:tcBorders>
              <w:top w:val="nil"/>
              <w:left w:val="single" w:sz="8" w:space="0" w:color="808080" w:themeColor="background1" w:themeShade="80"/>
              <w:right w:val="single" w:sz="8" w:space="0" w:color="808080" w:themeColor="background1" w:themeShade="80"/>
            </w:tcBorders>
            <w:shd w:val="clear" w:color="auto" w:fill="auto"/>
            <w:vAlign w:val="center"/>
          </w:tcPr>
          <w:p w:rsidR="001F60F8" w:rsidRPr="00C36C8F" w:rsidRDefault="001F60F8" w:rsidP="00EB0688">
            <w:pPr>
              <w:pStyle w:val="TableHeading"/>
              <w:keepLines/>
              <w:jc w:val="center"/>
              <w:rPr>
                <w:rFonts w:cs="Arial"/>
                <w:kern w:val="28"/>
              </w:rPr>
            </w:pPr>
            <w:r w:rsidRPr="00C36C8F">
              <w:rPr>
                <w:rFonts w:cs="Arial"/>
                <w:kern w:val="28"/>
              </w:rPr>
              <w:t>Vic waste disposal</w:t>
            </w:r>
          </w:p>
        </w:tc>
        <w:tc>
          <w:tcPr>
            <w:tcW w:w="1329" w:type="dxa"/>
            <w:tcBorders>
              <w:left w:val="single" w:sz="8" w:space="0" w:color="808080" w:themeColor="background1" w:themeShade="80"/>
            </w:tcBorders>
            <w:shd w:val="clear" w:color="auto" w:fill="auto"/>
            <w:vAlign w:val="center"/>
          </w:tcPr>
          <w:p w:rsidR="001F60F8" w:rsidRPr="00C36C8F" w:rsidRDefault="001F60F8" w:rsidP="00EB0688">
            <w:pPr>
              <w:pStyle w:val="TableHeading"/>
              <w:keepLines/>
              <w:jc w:val="center"/>
              <w:rPr>
                <w:rFonts w:cs="Arial"/>
                <w:kern w:val="28"/>
              </w:rPr>
            </w:pPr>
            <w:r w:rsidRPr="00C36C8F">
              <w:rPr>
                <w:rFonts w:cs="Arial"/>
                <w:kern w:val="28"/>
              </w:rPr>
              <w:t>National average disposal</w:t>
            </w:r>
          </w:p>
        </w:tc>
      </w:tr>
      <w:tr w:rsidR="001F60F8" w:rsidRPr="00C36C8F" w:rsidTr="00EB0688">
        <w:tc>
          <w:tcPr>
            <w:tcW w:w="2127" w:type="dxa"/>
            <w:tcBorders>
              <w:bottom w:val="single" w:sz="4" w:space="0" w:color="808080"/>
              <w:right w:val="nil"/>
            </w:tcBorders>
            <w:shd w:val="clear" w:color="auto" w:fill="auto"/>
          </w:tcPr>
          <w:p w:rsidR="001F60F8" w:rsidRPr="00C36C8F" w:rsidRDefault="001F60F8" w:rsidP="003B428C">
            <w:pPr>
              <w:pStyle w:val="TableHeading"/>
              <w:keepLines/>
              <w:jc w:val="center"/>
              <w:rPr>
                <w:rFonts w:cs="Arial"/>
                <w:kern w:val="28"/>
              </w:rPr>
            </w:pPr>
            <w:r w:rsidRPr="00C36C8F">
              <w:rPr>
                <w:rFonts w:cs="Arial"/>
                <w:kern w:val="28"/>
              </w:rPr>
              <w:t>Ma</w:t>
            </w:r>
            <w:r w:rsidR="003B428C" w:rsidRPr="00C36C8F">
              <w:rPr>
                <w:rFonts w:cs="Arial"/>
                <w:kern w:val="28"/>
              </w:rPr>
              <w:t>terial C</w:t>
            </w:r>
            <w:r w:rsidRPr="00C36C8F">
              <w:rPr>
                <w:rFonts w:cs="Arial"/>
                <w:kern w:val="28"/>
              </w:rPr>
              <w:t>ategory</w:t>
            </w:r>
          </w:p>
        </w:tc>
        <w:tc>
          <w:tcPr>
            <w:tcW w:w="1984" w:type="dxa"/>
            <w:tcBorders>
              <w:left w:val="nil"/>
              <w:bottom w:val="single" w:sz="4" w:space="0" w:color="808080"/>
              <w:right w:val="single" w:sz="4" w:space="0" w:color="808080"/>
            </w:tcBorders>
            <w:shd w:val="clear" w:color="auto" w:fill="auto"/>
          </w:tcPr>
          <w:p w:rsidR="001F60F8" w:rsidRPr="00C36C8F" w:rsidRDefault="003B428C" w:rsidP="00EB0688">
            <w:pPr>
              <w:pStyle w:val="TableHeading"/>
              <w:keepLines/>
              <w:jc w:val="center"/>
              <w:rPr>
                <w:rFonts w:cs="Arial"/>
                <w:kern w:val="28"/>
              </w:rPr>
            </w:pPr>
            <w:r w:rsidRPr="00C36C8F">
              <w:rPr>
                <w:rFonts w:cs="Arial"/>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1F60F8" w:rsidRPr="00C36C8F" w:rsidRDefault="001F60F8" w:rsidP="00EB0688">
            <w:pPr>
              <w:pStyle w:val="TableHeading"/>
              <w:keepLines/>
              <w:jc w:val="center"/>
              <w:rPr>
                <w:rFonts w:cs="Arial"/>
                <w:kern w:val="28"/>
              </w:rPr>
            </w:pPr>
            <w:r w:rsidRPr="00C36C8F">
              <w:rPr>
                <w:rFonts w:cs="Arial"/>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F60F8" w:rsidRPr="00C36C8F" w:rsidRDefault="001F60F8" w:rsidP="00EB0688">
            <w:pPr>
              <w:pStyle w:val="TableHeading"/>
              <w:keepLines/>
              <w:jc w:val="center"/>
              <w:rPr>
                <w:rFonts w:cs="Arial"/>
                <w:kern w:val="28"/>
              </w:rPr>
            </w:pPr>
            <w:r w:rsidRPr="00C36C8F">
              <w:rPr>
                <w:rFonts w:cs="Arial"/>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F60F8" w:rsidRPr="00C36C8F" w:rsidRDefault="001F60F8" w:rsidP="00EB0688">
            <w:pPr>
              <w:pStyle w:val="TableHeading"/>
              <w:keepLines/>
              <w:jc w:val="center"/>
              <w:rPr>
                <w:rFonts w:cs="Arial"/>
                <w:kern w:val="28"/>
              </w:rPr>
            </w:pPr>
            <w:r w:rsidRPr="00C36C8F">
              <w:rPr>
                <w:rFonts w:cs="Arial"/>
                <w:kern w:val="28"/>
              </w:rPr>
              <w:t>kg per capita</w:t>
            </w:r>
          </w:p>
        </w:tc>
        <w:tc>
          <w:tcPr>
            <w:tcW w:w="1329" w:type="dxa"/>
            <w:tcBorders>
              <w:left w:val="single" w:sz="8" w:space="0" w:color="808080" w:themeColor="background1" w:themeShade="80"/>
            </w:tcBorders>
            <w:vAlign w:val="center"/>
          </w:tcPr>
          <w:p w:rsidR="001F60F8" w:rsidRPr="00C36C8F" w:rsidRDefault="001F60F8" w:rsidP="00EB0688">
            <w:pPr>
              <w:pStyle w:val="TableHeading"/>
              <w:keepLines/>
              <w:jc w:val="center"/>
              <w:rPr>
                <w:rFonts w:cs="Arial"/>
                <w:kern w:val="28"/>
              </w:rPr>
            </w:pPr>
            <w:r w:rsidRPr="00C36C8F">
              <w:rPr>
                <w:rFonts w:cs="Arial"/>
                <w:kern w:val="28"/>
              </w:rPr>
              <w:t>kg per capita</w:t>
            </w:r>
          </w:p>
        </w:tc>
      </w:tr>
      <w:tr w:rsidR="00476BAA" w:rsidRPr="00C36C8F" w:rsidTr="00EB068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rPr>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EB0688">
            <w:pPr>
              <w:pStyle w:val="TableText"/>
              <w:keepNext/>
              <w:keepLines/>
              <w:rPr>
                <w:rFonts w:cs="Arial"/>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4,173,900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1,841,900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339</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312</w:t>
            </w:r>
          </w:p>
        </w:tc>
      </w:tr>
      <w:tr w:rsidR="00476BAA" w:rsidRPr="00C36C8F" w:rsidTr="00EB068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rPr>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EB0688">
            <w:pPr>
              <w:pStyle w:val="TableText"/>
              <w:keepNext/>
              <w:keepLines/>
              <w:rPr>
                <w:rFonts w:cs="Arial"/>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1,184,800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85,800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16</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24</w:t>
            </w:r>
          </w:p>
        </w:tc>
      </w:tr>
      <w:tr w:rsidR="00476BAA" w:rsidRPr="00C36C8F" w:rsidTr="00EB068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rPr>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EB0688">
            <w:pPr>
              <w:pStyle w:val="TableText"/>
              <w:keepNext/>
              <w:keepLines/>
              <w:rPr>
                <w:rFonts w:cs="Arial"/>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1,951,600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1,341,100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247</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332</w:t>
            </w:r>
          </w:p>
        </w:tc>
      </w:tr>
      <w:tr w:rsidR="00476BAA" w:rsidRPr="00C36C8F" w:rsidTr="00EB068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rPr>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EB0688">
            <w:pPr>
              <w:pStyle w:val="TableText"/>
              <w:keepNext/>
              <w:keepLines/>
              <w:rPr>
                <w:rFonts w:cs="Arial"/>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1,566,300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434,300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80</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113</w:t>
            </w:r>
          </w:p>
        </w:tc>
      </w:tr>
      <w:tr w:rsidR="00476BAA" w:rsidRPr="00C36C8F" w:rsidTr="00EB068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rPr>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EB0688">
            <w:pPr>
              <w:pStyle w:val="TableText"/>
              <w:keepNext/>
              <w:keepLines/>
              <w:rPr>
                <w:rFonts w:cs="Arial"/>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505,100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361,100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67</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80</w:t>
            </w:r>
          </w:p>
        </w:tc>
      </w:tr>
      <w:tr w:rsidR="00476BAA" w:rsidRPr="00C36C8F" w:rsidTr="00EB068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rPr>
              <w:t>Glass</w:t>
            </w:r>
            <w:r w:rsidRPr="00C36C8F" w:rsidDel="0080712C">
              <w:rPr>
                <w:rFonts w:cs="Arial"/>
              </w:rPr>
              <w:t xml:space="preserve"> </w:t>
            </w: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EB0688">
            <w:pPr>
              <w:pStyle w:val="TableText"/>
              <w:keepNext/>
              <w:keepLines/>
              <w:rPr>
                <w:rFonts w:cs="Arial"/>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263,700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78,700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14</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21</w:t>
            </w:r>
          </w:p>
        </w:tc>
      </w:tr>
      <w:tr w:rsidR="00476BAA" w:rsidRPr="00C36C8F" w:rsidTr="00EB068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rPr>
              <w:t>Other</w:t>
            </w: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EB0688">
            <w:pPr>
              <w:pStyle w:val="TableText"/>
              <w:keepNext/>
              <w:keepLines/>
              <w:rPr>
                <w:rFonts w:cs="Arial"/>
              </w:rPr>
            </w:pPr>
            <w:r w:rsidRPr="00C36C8F">
              <w:rPr>
                <w:rFonts w:cs="Arial"/>
              </w:rPr>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143,100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139,100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26</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22</w:t>
            </w:r>
          </w:p>
        </w:tc>
      </w:tr>
      <w:tr w:rsidR="00476BAA" w:rsidRPr="00C36C8F" w:rsidTr="00EB0688">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EB0688">
            <w:pPr>
              <w:pStyle w:val="TableText"/>
              <w:keepNext/>
              <w:keepLines/>
              <w:rPr>
                <w:rFonts w:cs="Arial"/>
              </w:rPr>
            </w:pPr>
            <w:r w:rsidRPr="00C36C8F">
              <w:rPr>
                <w:rFonts w:cs="Arial"/>
              </w:rPr>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156,100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119,100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22</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12</w:t>
            </w:r>
          </w:p>
        </w:tc>
      </w:tr>
      <w:tr w:rsidR="00476BAA" w:rsidRPr="00C36C8F" w:rsidTr="00EB0688">
        <w:tc>
          <w:tcPr>
            <w:tcW w:w="2127" w:type="dxa"/>
            <w:vMerge w:val="restart"/>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rPr>
              <w:t>Hazardous</w:t>
            </w: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EB0688">
            <w:pPr>
              <w:pStyle w:val="TableText"/>
              <w:keepNext/>
              <w:keepLines/>
              <w:rPr>
                <w:rFonts w:cs="Arial"/>
              </w:rPr>
            </w:pPr>
            <w:r w:rsidRPr="00C36C8F">
              <w:rPr>
                <w:rFonts w:cs="Arial"/>
              </w:rPr>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0</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1</w:t>
            </w:r>
          </w:p>
        </w:tc>
      </w:tr>
      <w:tr w:rsidR="00476BAA" w:rsidRPr="00C36C8F" w:rsidTr="00EB0688">
        <w:tc>
          <w:tcPr>
            <w:tcW w:w="2127" w:type="dxa"/>
            <w:vMerge/>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EB0688">
            <w:pPr>
              <w:pStyle w:val="TableText"/>
              <w:keepNext/>
              <w:keepLines/>
              <w:rPr>
                <w:rFonts w:cs="Arial"/>
              </w:rPr>
            </w:pPr>
            <w:r w:rsidRPr="00C36C8F">
              <w:rPr>
                <w:rFonts w:cs="Arial"/>
              </w:rPr>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246,400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246,400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45</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57</w:t>
            </w:r>
          </w:p>
        </w:tc>
      </w:tr>
      <w:tr w:rsidR="00476BAA" w:rsidRPr="00C36C8F" w:rsidTr="00EB0688">
        <w:tc>
          <w:tcPr>
            <w:tcW w:w="2127" w:type="dxa"/>
            <w:vMerge/>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EB0688">
            <w:pPr>
              <w:pStyle w:val="TableText"/>
              <w:keepNext/>
              <w:keepLines/>
              <w:rPr>
                <w:rFonts w:cs="Arial"/>
              </w:rPr>
            </w:pPr>
            <w:r w:rsidRPr="00C36C8F">
              <w:rPr>
                <w:rFonts w:cs="Arial"/>
              </w:rPr>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73,200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59,700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11</w:t>
            </w:r>
          </w:p>
        </w:tc>
        <w:tc>
          <w:tcPr>
            <w:tcW w:w="1329" w:type="dxa"/>
            <w:tcBorders>
              <w:left w:val="single" w:sz="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34</w:t>
            </w:r>
          </w:p>
        </w:tc>
      </w:tr>
      <w:tr w:rsidR="00476BAA" w:rsidRPr="00C36C8F" w:rsidTr="00EB0688">
        <w:tc>
          <w:tcPr>
            <w:tcW w:w="2127" w:type="dxa"/>
            <w:vMerge/>
            <w:tcBorders>
              <w:top w:val="single" w:sz="4" w:space="0" w:color="8080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EB0688">
            <w:pPr>
              <w:pStyle w:val="TableText"/>
              <w:keepNext/>
              <w:keepLines/>
              <w:rPr>
                <w:rFonts w:cs="Arial"/>
              </w:rPr>
            </w:pPr>
            <w:r w:rsidRPr="00C36C8F">
              <w:rPr>
                <w:rFonts w:cs="Arial"/>
              </w:rPr>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28,600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28,600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5</w:t>
            </w:r>
          </w:p>
        </w:tc>
        <w:tc>
          <w:tcPr>
            <w:tcW w:w="1329" w:type="dxa"/>
            <w:tcBorders>
              <w:left w:val="single" w:sz="8" w:space="0" w:color="808080" w:themeColor="background1" w:themeShade="80"/>
              <w:bottom w:val="single" w:sz="4" w:space="0" w:color="8080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25</w:t>
            </w:r>
          </w:p>
        </w:tc>
      </w:tr>
      <w:tr w:rsidR="00476BAA" w:rsidRPr="00C36C8F" w:rsidTr="00EB0688">
        <w:tc>
          <w:tcPr>
            <w:tcW w:w="2127" w:type="dxa"/>
            <w:tcBorders>
              <w:top w:val="single" w:sz="4" w:space="0" w:color="808080"/>
              <w:bottom w:val="single" w:sz="18" w:space="0" w:color="808080" w:themeColor="background1" w:themeShade="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476BAA" w:rsidRPr="00C36C8F" w:rsidRDefault="00476BAA" w:rsidP="00EB0688">
            <w:pPr>
              <w:pStyle w:val="TableText"/>
              <w:keepNext/>
              <w:keepLines/>
              <w:rPr>
                <w:rFonts w:cs="Arial"/>
              </w:rPr>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b/>
                <w:szCs w:val="18"/>
              </w:rPr>
            </w:pPr>
            <w:r w:rsidRPr="00083F99">
              <w:rPr>
                <w:rFonts w:cs="Arial"/>
                <w:b/>
                <w:bCs/>
                <w:color w:val="000000"/>
                <w:szCs w:val="18"/>
              </w:rPr>
              <w:t>10,292,800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b/>
                <w:szCs w:val="18"/>
              </w:rPr>
            </w:pPr>
            <w:r w:rsidRPr="00083F99">
              <w:rPr>
                <w:rFonts w:cs="Arial"/>
                <w:b/>
                <w:bCs/>
                <w:color w:val="000000"/>
                <w:szCs w:val="18"/>
              </w:rPr>
              <w:t>4,735,800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b/>
                <w:szCs w:val="18"/>
              </w:rPr>
            </w:pPr>
            <w:r w:rsidRPr="00083F99">
              <w:rPr>
                <w:rFonts w:cs="Arial"/>
                <w:b/>
                <w:bCs/>
                <w:color w:val="000000"/>
                <w:szCs w:val="18"/>
              </w:rPr>
              <w:t>873</w:t>
            </w:r>
          </w:p>
        </w:tc>
        <w:tc>
          <w:tcPr>
            <w:tcW w:w="1329"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476BAA" w:rsidRDefault="00476BAA" w:rsidP="00EB0688">
            <w:pPr>
              <w:pStyle w:val="TableText"/>
              <w:keepNext/>
              <w:keepLines/>
              <w:jc w:val="right"/>
              <w:rPr>
                <w:rFonts w:cs="Arial"/>
                <w:b/>
                <w:szCs w:val="18"/>
              </w:rPr>
            </w:pPr>
            <w:r w:rsidRPr="00476BAA">
              <w:rPr>
                <w:rFonts w:cs="Arial"/>
                <w:b/>
                <w:bCs/>
                <w:color w:val="000000"/>
                <w:szCs w:val="18"/>
              </w:rPr>
              <w:t>1,035</w:t>
            </w:r>
          </w:p>
        </w:tc>
      </w:tr>
      <w:tr w:rsidR="00476BAA" w:rsidRPr="00C36C8F" w:rsidTr="00EB0688">
        <w:tc>
          <w:tcPr>
            <w:tcW w:w="2127" w:type="dxa"/>
            <w:tcBorders>
              <w:top w:val="single" w:sz="18" w:space="0" w:color="808080" w:themeColor="background1" w:themeShade="80"/>
              <w:bottom w:val="single" w:sz="4" w:space="0" w:color="8080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rPr>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476BAA" w:rsidRPr="00C36C8F" w:rsidRDefault="00476BAA" w:rsidP="00EB0688">
            <w:pPr>
              <w:pStyle w:val="TableText"/>
              <w:keepNext/>
              <w:keepLines/>
              <w:rPr>
                <w:rFonts w:cs="Arial"/>
              </w:rPr>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2,532,400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2,133,200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szCs w:val="18"/>
              </w:rPr>
            </w:pPr>
            <w:r w:rsidRPr="00083F99">
              <w:rPr>
                <w:rFonts w:cs="Arial"/>
                <w:color w:val="000000"/>
                <w:szCs w:val="18"/>
              </w:rPr>
              <w:t>393</w:t>
            </w:r>
          </w:p>
        </w:tc>
        <w:tc>
          <w:tcPr>
            <w:tcW w:w="1329" w:type="dxa"/>
            <w:tcBorders>
              <w:top w:val="single" w:sz="18" w:space="0" w:color="808080" w:themeColor="background1" w:themeShade="80"/>
              <w:left w:val="single" w:sz="8" w:space="0" w:color="808080" w:themeColor="background1" w:themeShade="80"/>
              <w:bottom w:val="single" w:sz="4" w:space="0" w:color="808080"/>
            </w:tcBorders>
            <w:tcMar>
              <w:right w:w="142" w:type="dxa"/>
            </w:tcMar>
            <w:vAlign w:val="center"/>
          </w:tcPr>
          <w:p w:rsidR="00476BAA" w:rsidRPr="00476BAA" w:rsidRDefault="00476BAA" w:rsidP="00EB0688">
            <w:pPr>
              <w:pStyle w:val="TableText"/>
              <w:keepNext/>
              <w:keepLines/>
              <w:jc w:val="right"/>
              <w:rPr>
                <w:rFonts w:cs="Arial"/>
                <w:szCs w:val="18"/>
              </w:rPr>
            </w:pPr>
            <w:r w:rsidRPr="00476BAA">
              <w:rPr>
                <w:rFonts w:cs="Arial"/>
                <w:color w:val="000000"/>
                <w:szCs w:val="18"/>
              </w:rPr>
              <w:t>532</w:t>
            </w:r>
          </w:p>
        </w:tc>
      </w:tr>
      <w:tr w:rsidR="00476BAA" w:rsidRPr="00C36C8F" w:rsidTr="00EB0688">
        <w:tc>
          <w:tcPr>
            <w:tcW w:w="2127" w:type="dxa"/>
            <w:tcBorders>
              <w:top w:val="single" w:sz="4" w:space="0" w:color="808080"/>
              <w:bottom w:val="single" w:sz="18" w:space="0" w:color="7F7F7F" w:themeColor="text1" w:themeTint="80"/>
              <w:right w:val="nil"/>
            </w:tcBorders>
            <w:shd w:val="clear" w:color="auto" w:fill="auto"/>
            <w:vAlign w:val="center"/>
          </w:tcPr>
          <w:p w:rsidR="00476BAA" w:rsidRPr="00C36C8F" w:rsidRDefault="00476BAA" w:rsidP="00EB0688">
            <w:pPr>
              <w:pStyle w:val="TableText"/>
              <w:keepNext/>
              <w:keepLines/>
              <w:rPr>
                <w:rFonts w:cs="Arial"/>
              </w:rPr>
            </w:pPr>
            <w:r w:rsidRPr="00C36C8F">
              <w:rPr>
                <w:rFonts w:cs="Arial"/>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476BAA" w:rsidRPr="00C36C8F" w:rsidRDefault="00476BAA" w:rsidP="00EB0688">
            <w:pPr>
              <w:pStyle w:val="TableText"/>
              <w:keepNext/>
              <w:keepLines/>
              <w:rPr>
                <w:rFonts w:cs="Arial"/>
              </w:rPr>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b/>
                <w:szCs w:val="18"/>
              </w:rPr>
            </w:pPr>
            <w:r w:rsidRPr="00083F99">
              <w:rPr>
                <w:rFonts w:cs="Arial"/>
                <w:b/>
                <w:bCs/>
                <w:color w:val="000000"/>
                <w:szCs w:val="18"/>
              </w:rPr>
              <w:t>12,825,200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b/>
                <w:szCs w:val="18"/>
              </w:rPr>
            </w:pPr>
            <w:r w:rsidRPr="00083F99">
              <w:rPr>
                <w:rFonts w:cs="Arial"/>
                <w:b/>
                <w:bCs/>
                <w:color w:val="000000"/>
                <w:szCs w:val="18"/>
              </w:rPr>
              <w:t>6,869,000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083F99" w:rsidRDefault="00476BAA" w:rsidP="00EB0688">
            <w:pPr>
              <w:pStyle w:val="TableText"/>
              <w:keepNext/>
              <w:keepLines/>
              <w:jc w:val="right"/>
              <w:rPr>
                <w:rFonts w:cs="Arial"/>
                <w:b/>
                <w:szCs w:val="18"/>
              </w:rPr>
            </w:pPr>
            <w:r w:rsidRPr="00083F99">
              <w:rPr>
                <w:rFonts w:cs="Arial"/>
                <w:b/>
                <w:bCs/>
                <w:color w:val="000000"/>
                <w:szCs w:val="18"/>
              </w:rPr>
              <w:t>1,266</w:t>
            </w:r>
          </w:p>
        </w:tc>
        <w:tc>
          <w:tcPr>
            <w:tcW w:w="1329" w:type="dxa"/>
            <w:tcBorders>
              <w:top w:val="single" w:sz="4" w:space="0" w:color="808080"/>
              <w:left w:val="single" w:sz="8" w:space="0" w:color="808080" w:themeColor="background1" w:themeShade="80"/>
              <w:bottom w:val="single" w:sz="18" w:space="0" w:color="7F7F7F" w:themeColor="text1" w:themeTint="80"/>
            </w:tcBorders>
            <w:tcMar>
              <w:right w:w="142" w:type="dxa"/>
            </w:tcMar>
            <w:vAlign w:val="center"/>
          </w:tcPr>
          <w:p w:rsidR="00476BAA" w:rsidRPr="00476BAA" w:rsidRDefault="00476BAA" w:rsidP="00EB0688">
            <w:pPr>
              <w:pStyle w:val="TableText"/>
              <w:keepNext/>
              <w:keepLines/>
              <w:jc w:val="right"/>
              <w:rPr>
                <w:rFonts w:cs="Arial"/>
                <w:b/>
                <w:szCs w:val="18"/>
              </w:rPr>
            </w:pPr>
            <w:r w:rsidRPr="00476BAA">
              <w:rPr>
                <w:rFonts w:cs="Arial"/>
                <w:b/>
                <w:bCs/>
                <w:color w:val="000000"/>
                <w:szCs w:val="18"/>
              </w:rPr>
              <w:t>1,567</w:t>
            </w:r>
          </w:p>
        </w:tc>
      </w:tr>
    </w:tbl>
    <w:p w:rsidR="002E4BF3" w:rsidRPr="00C36C8F" w:rsidRDefault="002E4BF3" w:rsidP="002E4BF3">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1F60F8" w:rsidRPr="00C36C8F" w:rsidRDefault="001F60F8" w:rsidP="001F60F8"/>
    <w:bookmarkStart w:id="156" w:name="_Ref284591673"/>
    <w:p w:rsidR="00802C9D" w:rsidRPr="00C36C8F" w:rsidRDefault="00B9555F" w:rsidP="00F85334">
      <w:pPr>
        <w:pStyle w:val="ParaIndent"/>
        <w:keepNext/>
        <w:keepLines/>
        <w:spacing w:before="120"/>
        <w:jc w:val="both"/>
      </w:pPr>
      <w:r w:rsidRPr="00C36C8F">
        <w:fldChar w:fldCharType="begin"/>
      </w:r>
      <w:r w:rsidR="00802C9D" w:rsidRPr="00C36C8F">
        <w:instrText xml:space="preserve"> REF _Ref300762842 \h </w:instrText>
      </w:r>
      <w:r w:rsidRPr="00C36C8F">
        <w:fldChar w:fldCharType="separate"/>
      </w:r>
      <w:r w:rsidR="00AE7E3B" w:rsidRPr="00C36C8F">
        <w:t xml:space="preserve">Table </w:t>
      </w:r>
      <w:r w:rsidR="00AE7E3B">
        <w:rPr>
          <w:noProof/>
        </w:rPr>
        <w:t>4</w:t>
      </w:r>
      <w:r w:rsidR="00AE7E3B" w:rsidRPr="00C36C8F">
        <w:t>-</w:t>
      </w:r>
      <w:r w:rsidR="00AE7E3B">
        <w:rPr>
          <w:noProof/>
        </w:rPr>
        <w:t>19</w:t>
      </w:r>
      <w:r w:rsidRPr="00C36C8F">
        <w:fldChar w:fldCharType="end"/>
      </w:r>
      <w:r w:rsidR="00802C9D" w:rsidRPr="00C36C8F">
        <w:t xml:space="preserve"> presents the total recycling by material for Victoria during 2008–09, in terms of total tonnes, per capita rate and recycling rate. The per capita recycling rate for Victoria is also compared to the national average per capita recycling rate.</w:t>
      </w:r>
    </w:p>
    <w:p w:rsidR="00DE05C7" w:rsidRPr="00C36C8F" w:rsidRDefault="00DE05C7" w:rsidP="00DE05C7">
      <w:pPr>
        <w:pStyle w:val="Caption"/>
        <w:tabs>
          <w:tab w:val="left" w:pos="7275"/>
        </w:tabs>
      </w:pPr>
      <w:bookmarkStart w:id="157" w:name="_Ref300762842"/>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19</w:t>
      </w:r>
      <w:r w:rsidR="00B9555F" w:rsidRPr="00C36C8F">
        <w:rPr>
          <w:noProof/>
        </w:rPr>
        <w:fldChar w:fldCharType="end"/>
      </w:r>
      <w:bookmarkEnd w:id="156"/>
      <w:bookmarkEnd w:id="157"/>
      <w:r w:rsidRPr="00C36C8F">
        <w:tab/>
      </w:r>
      <w:r w:rsidR="00EE5960" w:rsidRPr="00C36C8F">
        <w:t>Victorian r</w:t>
      </w:r>
      <w:r w:rsidRPr="00C36C8F">
        <w:t>ecycling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EE5960" w:rsidRPr="00C36C8F" w:rsidTr="00EB0688">
        <w:tc>
          <w:tcPr>
            <w:tcW w:w="4111" w:type="dxa"/>
            <w:gridSpan w:val="2"/>
            <w:tcBorders>
              <w:right w:val="single" w:sz="4" w:space="0" w:color="808080"/>
            </w:tcBorders>
            <w:shd w:val="clear" w:color="auto" w:fill="auto"/>
            <w:vAlign w:val="center"/>
          </w:tcPr>
          <w:p w:rsidR="00EE5960" w:rsidRPr="00C36C8F" w:rsidRDefault="00EE5960" w:rsidP="00EB0688">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EE5960" w:rsidRPr="00C36C8F" w:rsidRDefault="00EE5960" w:rsidP="00EB0688">
            <w:pPr>
              <w:pStyle w:val="TableHeading"/>
              <w:keepLines/>
              <w:jc w:val="center"/>
              <w:rPr>
                <w:kern w:val="28"/>
              </w:rPr>
            </w:pPr>
            <w:r w:rsidRPr="00C36C8F">
              <w:rPr>
                <w:kern w:val="28"/>
              </w:rPr>
              <w:t>Vic recycling</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EE5960" w:rsidRPr="00C36C8F" w:rsidRDefault="00EE5960" w:rsidP="00EB0688">
            <w:pPr>
              <w:pStyle w:val="TableHeading"/>
              <w:keepLines/>
              <w:jc w:val="center"/>
              <w:rPr>
                <w:kern w:val="28"/>
              </w:rPr>
            </w:pPr>
            <w:r w:rsidRPr="00C36C8F">
              <w:rPr>
                <w:kern w:val="28"/>
              </w:rPr>
              <w:t>National average</w:t>
            </w:r>
          </w:p>
        </w:tc>
        <w:tc>
          <w:tcPr>
            <w:tcW w:w="1329" w:type="dxa"/>
            <w:tcBorders>
              <w:left w:val="single" w:sz="8" w:space="0" w:color="808080" w:themeColor="background1" w:themeShade="80"/>
            </w:tcBorders>
            <w:shd w:val="clear" w:color="auto" w:fill="auto"/>
            <w:vAlign w:val="center"/>
          </w:tcPr>
          <w:p w:rsidR="00EE5960" w:rsidRPr="00C36C8F" w:rsidRDefault="00EE5960" w:rsidP="00EB0688">
            <w:pPr>
              <w:pStyle w:val="TableHeading"/>
              <w:keepLines/>
              <w:jc w:val="center"/>
              <w:rPr>
                <w:kern w:val="28"/>
              </w:rPr>
            </w:pPr>
            <w:r w:rsidRPr="00C36C8F">
              <w:rPr>
                <w:kern w:val="28"/>
              </w:rPr>
              <w:t>Vic recycling rate</w:t>
            </w:r>
          </w:p>
        </w:tc>
      </w:tr>
      <w:tr w:rsidR="00EE5960" w:rsidRPr="00C36C8F" w:rsidTr="00EB0688">
        <w:tc>
          <w:tcPr>
            <w:tcW w:w="2127" w:type="dxa"/>
            <w:tcBorders>
              <w:bottom w:val="single" w:sz="4" w:space="0" w:color="808080"/>
              <w:right w:val="nil"/>
            </w:tcBorders>
            <w:shd w:val="clear" w:color="auto" w:fill="auto"/>
          </w:tcPr>
          <w:p w:rsidR="00EE5960" w:rsidRPr="00C36C8F" w:rsidRDefault="00EE5960" w:rsidP="003B428C">
            <w:pPr>
              <w:pStyle w:val="TableHeading"/>
              <w:keepLines/>
              <w:jc w:val="center"/>
              <w:rPr>
                <w:kern w:val="28"/>
              </w:rPr>
            </w:pPr>
            <w:r w:rsidRPr="00C36C8F">
              <w:rPr>
                <w:kern w:val="28"/>
              </w:rPr>
              <w:t>Ma</w:t>
            </w:r>
            <w:r w:rsidR="003B428C"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EE5960" w:rsidRPr="00C36C8F" w:rsidRDefault="003B428C" w:rsidP="00EB0688">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EE5960" w:rsidRPr="00C36C8F" w:rsidRDefault="00EE5960" w:rsidP="00EB0688">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EE5960" w:rsidRPr="00C36C8F" w:rsidRDefault="00EE5960" w:rsidP="00EB068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EE5960" w:rsidRPr="00C36C8F" w:rsidRDefault="00EE5960" w:rsidP="00EB068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tcBorders>
            <w:vAlign w:val="center"/>
          </w:tcPr>
          <w:p w:rsidR="00EE5960" w:rsidRPr="00C36C8F" w:rsidRDefault="00EE5960" w:rsidP="00EB0688">
            <w:pPr>
              <w:pStyle w:val="TableHeading"/>
              <w:keepLines/>
              <w:jc w:val="center"/>
              <w:rPr>
                <w:kern w:val="28"/>
              </w:rPr>
            </w:pPr>
            <w:r w:rsidRPr="00C36C8F">
              <w:rPr>
                <w:kern w:val="28"/>
              </w:rPr>
              <w:t>%</w:t>
            </w:r>
          </w:p>
        </w:tc>
      </w:tr>
      <w:tr w:rsidR="00A11246" w:rsidRPr="00C36C8F" w:rsidTr="00EB0688">
        <w:tc>
          <w:tcPr>
            <w:tcW w:w="2127" w:type="dxa"/>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C36C8F" w:rsidRDefault="00A11246"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2,329,000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429</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462</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56</w:t>
            </w:r>
            <w:r w:rsidRPr="000B315F">
              <w:rPr>
                <w:color w:val="000000"/>
              </w:rPr>
              <w:t>%</w:t>
            </w:r>
          </w:p>
        </w:tc>
      </w:tr>
      <w:tr w:rsidR="00A11246" w:rsidRPr="00C36C8F" w:rsidTr="00EB0688">
        <w:tc>
          <w:tcPr>
            <w:tcW w:w="2127" w:type="dxa"/>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C36C8F" w:rsidRDefault="00A11246"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1,099,000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202</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188</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93</w:t>
            </w:r>
            <w:r w:rsidRPr="000B315F">
              <w:rPr>
                <w:color w:val="000000"/>
              </w:rPr>
              <w:t>%</w:t>
            </w:r>
          </w:p>
        </w:tc>
      </w:tr>
      <w:tr w:rsidR="00A11246" w:rsidRPr="00C36C8F" w:rsidTr="00EB0688">
        <w:tc>
          <w:tcPr>
            <w:tcW w:w="2127" w:type="dxa"/>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C36C8F" w:rsidRDefault="00A11246"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563,000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104</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172</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30</w:t>
            </w:r>
            <w:r w:rsidRPr="000B315F">
              <w:rPr>
                <w:color w:val="000000"/>
              </w:rPr>
              <w:t>%</w:t>
            </w:r>
          </w:p>
        </w:tc>
      </w:tr>
      <w:tr w:rsidR="00A11246" w:rsidRPr="00C36C8F" w:rsidTr="00EB0688">
        <w:tc>
          <w:tcPr>
            <w:tcW w:w="2127" w:type="dxa"/>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C36C8F" w:rsidRDefault="00A11246"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1,132,000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209</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178</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72</w:t>
            </w:r>
            <w:r w:rsidRPr="000B315F">
              <w:rPr>
                <w:color w:val="000000"/>
              </w:rPr>
              <w:t>%</w:t>
            </w:r>
          </w:p>
        </w:tc>
      </w:tr>
      <w:tr w:rsidR="00A11246" w:rsidRPr="00C36C8F" w:rsidTr="00EB0688">
        <w:tc>
          <w:tcPr>
            <w:tcW w:w="2127" w:type="dxa"/>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C36C8F" w:rsidRDefault="00A11246"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144,000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27</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24</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29</w:t>
            </w:r>
            <w:r w:rsidRPr="000B315F">
              <w:rPr>
                <w:color w:val="000000"/>
              </w:rPr>
              <w:t>%</w:t>
            </w:r>
          </w:p>
        </w:tc>
      </w:tr>
      <w:tr w:rsidR="00A11246" w:rsidRPr="00C36C8F" w:rsidTr="00EB0688">
        <w:tc>
          <w:tcPr>
            <w:tcW w:w="2127" w:type="dxa"/>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r w:rsidRPr="00C36C8F">
              <w:t>Glass</w:t>
            </w:r>
            <w:r w:rsidRPr="00C36C8F" w:rsidDel="0080712C">
              <w:t xml:space="preserve"> </w:t>
            </w:r>
          </w:p>
        </w:tc>
        <w:tc>
          <w:tcPr>
            <w:tcW w:w="1984" w:type="dxa"/>
            <w:tcBorders>
              <w:top w:val="single" w:sz="4" w:space="0" w:color="808080"/>
              <w:left w:val="nil"/>
              <w:bottom w:val="single" w:sz="4" w:space="0" w:color="808080"/>
              <w:right w:val="single" w:sz="4" w:space="0" w:color="808080"/>
            </w:tcBorders>
            <w:vAlign w:val="center"/>
          </w:tcPr>
          <w:p w:rsidR="00A11246" w:rsidRPr="00C36C8F" w:rsidRDefault="00A11246" w:rsidP="00EB0688">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185,000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34</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44</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70</w:t>
            </w:r>
            <w:r w:rsidRPr="000B315F">
              <w:rPr>
                <w:color w:val="000000"/>
              </w:rPr>
              <w:t>%</w:t>
            </w:r>
          </w:p>
        </w:tc>
      </w:tr>
      <w:tr w:rsidR="00A11246" w:rsidRPr="00C36C8F" w:rsidTr="00EB0688">
        <w:tc>
          <w:tcPr>
            <w:tcW w:w="2127" w:type="dxa"/>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A11246" w:rsidRPr="00C36C8F" w:rsidRDefault="00A11246" w:rsidP="00EB0688">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4,000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3</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3%</w:t>
            </w:r>
          </w:p>
        </w:tc>
      </w:tr>
      <w:tr w:rsidR="00A11246" w:rsidRPr="00C36C8F" w:rsidTr="00EB0688">
        <w:tc>
          <w:tcPr>
            <w:tcW w:w="2127" w:type="dxa"/>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A11246" w:rsidRPr="00C36C8F" w:rsidRDefault="00A11246" w:rsidP="00EB0688">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35,000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6</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2</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A11246">
              <w:rPr>
                <w:rFonts w:cs="Arial"/>
                <w:color w:val="000000"/>
                <w:szCs w:val="18"/>
              </w:rPr>
              <w:t>23</w:t>
            </w:r>
            <w:r w:rsidRPr="000B315F">
              <w:rPr>
                <w:color w:val="000000"/>
              </w:rPr>
              <w:t>%</w:t>
            </w:r>
          </w:p>
        </w:tc>
      </w:tr>
      <w:tr w:rsidR="00A11246" w:rsidRPr="00C36C8F" w:rsidTr="00EB0688">
        <w:tc>
          <w:tcPr>
            <w:tcW w:w="2127" w:type="dxa"/>
            <w:vMerge w:val="restart"/>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A11246" w:rsidRPr="00C36C8F" w:rsidRDefault="00A11246" w:rsidP="00EB0688">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r>
      <w:tr w:rsidR="00A11246" w:rsidRPr="00C36C8F" w:rsidTr="00EB0688">
        <w:tc>
          <w:tcPr>
            <w:tcW w:w="2127" w:type="dxa"/>
            <w:vMerge/>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A11246" w:rsidRPr="00C36C8F" w:rsidRDefault="00A11246" w:rsidP="00EB0688">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8</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r>
      <w:tr w:rsidR="00A11246" w:rsidRPr="00C36C8F" w:rsidTr="00EB0688">
        <w:tc>
          <w:tcPr>
            <w:tcW w:w="2127" w:type="dxa"/>
            <w:vMerge/>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A11246" w:rsidRPr="00C36C8F" w:rsidRDefault="00A11246" w:rsidP="00EB0688">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10</w:t>
            </w:r>
          </w:p>
        </w:tc>
        <w:tc>
          <w:tcPr>
            <w:tcW w:w="1329" w:type="dxa"/>
            <w:tcBorders>
              <w:left w:val="single" w:sz="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r>
      <w:tr w:rsidR="00A11246" w:rsidRPr="00C36C8F" w:rsidTr="00EB0688">
        <w:tc>
          <w:tcPr>
            <w:tcW w:w="2127" w:type="dxa"/>
            <w:vMerge/>
            <w:tcBorders>
              <w:top w:val="single" w:sz="4" w:space="0" w:color="808080"/>
              <w:bottom w:val="single" w:sz="4" w:space="0" w:color="808080"/>
              <w:right w:val="nil"/>
            </w:tcBorders>
            <w:shd w:val="clear" w:color="auto" w:fill="auto"/>
            <w:vAlign w:val="center"/>
          </w:tcPr>
          <w:p w:rsidR="00A11246" w:rsidRPr="00C36C8F" w:rsidRDefault="00A11246" w:rsidP="00EB0688">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A11246" w:rsidRPr="00C36C8F" w:rsidRDefault="00A11246" w:rsidP="00EB0688">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c>
          <w:tcPr>
            <w:tcW w:w="1329" w:type="dxa"/>
            <w:tcBorders>
              <w:left w:val="single" w:sz="8" w:space="0" w:color="808080" w:themeColor="background1" w:themeShade="80"/>
              <w:bottom w:val="single" w:sz="4" w:space="0" w:color="808080"/>
            </w:tcBorders>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0%</w:t>
            </w:r>
          </w:p>
        </w:tc>
      </w:tr>
      <w:tr w:rsidR="00A11246" w:rsidRPr="00C36C8F" w:rsidTr="00EB0688">
        <w:tc>
          <w:tcPr>
            <w:tcW w:w="2127" w:type="dxa"/>
            <w:tcBorders>
              <w:top w:val="single" w:sz="4" w:space="0" w:color="808080"/>
              <w:bottom w:val="single" w:sz="18" w:space="0" w:color="808080" w:themeColor="background1" w:themeShade="80"/>
              <w:right w:val="nil"/>
            </w:tcBorders>
            <w:shd w:val="clear" w:color="auto" w:fill="auto"/>
            <w:vAlign w:val="center"/>
          </w:tcPr>
          <w:p w:rsidR="00A11246" w:rsidRPr="00C36C8F" w:rsidRDefault="00A11246" w:rsidP="00EB0688">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A11246" w:rsidRPr="00C36C8F" w:rsidRDefault="00A11246" w:rsidP="00EB0688">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b/>
                <w:szCs w:val="18"/>
              </w:rPr>
            </w:pPr>
            <w:r w:rsidRPr="000B315F">
              <w:rPr>
                <w:b/>
                <w:color w:val="000000"/>
              </w:rPr>
              <w:t>5,491,000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b/>
                <w:szCs w:val="18"/>
              </w:rPr>
            </w:pPr>
            <w:r w:rsidRPr="000B315F">
              <w:rPr>
                <w:b/>
                <w:color w:val="000000"/>
              </w:rPr>
              <w:t>1,012</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b/>
                <w:szCs w:val="18"/>
              </w:rPr>
            </w:pPr>
            <w:r w:rsidRPr="000B315F">
              <w:rPr>
                <w:b/>
                <w:color w:val="000000"/>
              </w:rPr>
              <w:t>1,</w:t>
            </w:r>
            <w:r w:rsidRPr="00A11246">
              <w:rPr>
                <w:rFonts w:cs="Arial"/>
                <w:b/>
                <w:bCs/>
                <w:color w:val="000000"/>
                <w:szCs w:val="18"/>
              </w:rPr>
              <w:t>091</w:t>
            </w:r>
          </w:p>
        </w:tc>
        <w:tc>
          <w:tcPr>
            <w:tcW w:w="1329"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A11246" w:rsidRPr="00A11246" w:rsidRDefault="00A11246" w:rsidP="00EB0688">
            <w:pPr>
              <w:pStyle w:val="TableText"/>
              <w:keepNext/>
              <w:keepLines/>
              <w:jc w:val="right"/>
              <w:rPr>
                <w:rFonts w:cs="Arial"/>
                <w:b/>
                <w:szCs w:val="18"/>
              </w:rPr>
            </w:pPr>
            <w:r w:rsidRPr="00A11246">
              <w:rPr>
                <w:rFonts w:cs="Arial"/>
                <w:b/>
                <w:bCs/>
                <w:color w:val="000000"/>
                <w:szCs w:val="18"/>
              </w:rPr>
              <w:t>54</w:t>
            </w:r>
            <w:r w:rsidRPr="000B315F">
              <w:rPr>
                <w:b/>
                <w:color w:val="000000"/>
              </w:rPr>
              <w:t>%</w:t>
            </w:r>
          </w:p>
        </w:tc>
      </w:tr>
      <w:tr w:rsidR="00A11246" w:rsidRPr="00C36C8F" w:rsidTr="00EB0688">
        <w:tc>
          <w:tcPr>
            <w:tcW w:w="2127" w:type="dxa"/>
            <w:tcBorders>
              <w:top w:val="single" w:sz="18" w:space="0" w:color="808080" w:themeColor="background1" w:themeShade="80"/>
              <w:bottom w:val="single" w:sz="4" w:space="0" w:color="808080"/>
              <w:right w:val="nil"/>
            </w:tcBorders>
            <w:shd w:val="clear" w:color="auto" w:fill="auto"/>
            <w:vAlign w:val="center"/>
          </w:tcPr>
          <w:p w:rsidR="00A11246" w:rsidRPr="00C36C8F" w:rsidRDefault="00A11246" w:rsidP="00EB0688">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A11246" w:rsidRPr="00C36C8F" w:rsidRDefault="00A11246" w:rsidP="00EB0688">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399,200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74</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110</w:t>
            </w:r>
          </w:p>
        </w:tc>
        <w:tc>
          <w:tcPr>
            <w:tcW w:w="1329" w:type="dxa"/>
            <w:tcBorders>
              <w:top w:val="single" w:sz="18" w:space="0" w:color="808080" w:themeColor="background1" w:themeShade="80"/>
              <w:left w:val="single" w:sz="8" w:space="0" w:color="808080" w:themeColor="background1" w:themeShade="80"/>
              <w:bottom w:val="single" w:sz="4" w:space="0" w:color="808080"/>
            </w:tcBorders>
            <w:tcMar>
              <w:right w:w="142" w:type="dxa"/>
            </w:tcMar>
            <w:vAlign w:val="center"/>
          </w:tcPr>
          <w:p w:rsidR="00A11246" w:rsidRPr="00A11246" w:rsidRDefault="00A11246" w:rsidP="00EB0688">
            <w:pPr>
              <w:pStyle w:val="TableText"/>
              <w:keepNext/>
              <w:keepLines/>
              <w:jc w:val="right"/>
              <w:rPr>
                <w:rFonts w:cs="Arial"/>
                <w:szCs w:val="18"/>
              </w:rPr>
            </w:pPr>
            <w:r w:rsidRPr="000B315F">
              <w:rPr>
                <w:color w:val="000000"/>
              </w:rPr>
              <w:t>16%</w:t>
            </w:r>
          </w:p>
        </w:tc>
      </w:tr>
      <w:tr w:rsidR="00A11246" w:rsidRPr="00C36C8F" w:rsidTr="00EB0688">
        <w:tc>
          <w:tcPr>
            <w:tcW w:w="2127" w:type="dxa"/>
            <w:tcBorders>
              <w:top w:val="single" w:sz="4" w:space="0" w:color="808080"/>
              <w:bottom w:val="single" w:sz="18" w:space="0" w:color="7F7F7F" w:themeColor="text1" w:themeTint="80"/>
              <w:right w:val="nil"/>
            </w:tcBorders>
            <w:shd w:val="clear" w:color="auto" w:fill="auto"/>
            <w:vAlign w:val="center"/>
          </w:tcPr>
          <w:p w:rsidR="00A11246" w:rsidRPr="00C36C8F" w:rsidRDefault="00A11246" w:rsidP="00EB0688">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A11246" w:rsidRPr="00C36C8F" w:rsidRDefault="00A11246" w:rsidP="00EB0688">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b/>
                <w:szCs w:val="18"/>
              </w:rPr>
            </w:pPr>
            <w:r w:rsidRPr="000B315F">
              <w:rPr>
                <w:b/>
                <w:color w:val="000000"/>
              </w:rPr>
              <w:t>5,890,100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b/>
                <w:szCs w:val="18"/>
              </w:rPr>
            </w:pPr>
            <w:r w:rsidRPr="000B315F">
              <w:rPr>
                <w:b/>
                <w:color w:val="000000"/>
              </w:rPr>
              <w:t>1,085</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A11246" w:rsidRPr="00A11246" w:rsidRDefault="00A11246" w:rsidP="00EB0688">
            <w:pPr>
              <w:pStyle w:val="TableText"/>
              <w:keepNext/>
              <w:keepLines/>
              <w:jc w:val="right"/>
              <w:rPr>
                <w:rFonts w:cs="Arial"/>
                <w:b/>
                <w:szCs w:val="18"/>
              </w:rPr>
            </w:pPr>
            <w:r w:rsidRPr="000B315F">
              <w:rPr>
                <w:b/>
                <w:color w:val="000000"/>
              </w:rPr>
              <w:t>1,</w:t>
            </w:r>
            <w:r w:rsidRPr="00A11246">
              <w:rPr>
                <w:rFonts w:cs="Arial"/>
                <w:b/>
                <w:bCs/>
                <w:color w:val="000000"/>
                <w:szCs w:val="18"/>
              </w:rPr>
              <w:t>201</w:t>
            </w:r>
          </w:p>
        </w:tc>
        <w:tc>
          <w:tcPr>
            <w:tcW w:w="1329" w:type="dxa"/>
            <w:tcBorders>
              <w:top w:val="single" w:sz="4" w:space="0" w:color="808080"/>
              <w:left w:val="single" w:sz="8" w:space="0" w:color="808080" w:themeColor="background1" w:themeShade="80"/>
              <w:bottom w:val="single" w:sz="18" w:space="0" w:color="7F7F7F" w:themeColor="text1" w:themeTint="80"/>
            </w:tcBorders>
            <w:tcMar>
              <w:right w:w="142" w:type="dxa"/>
            </w:tcMar>
            <w:vAlign w:val="center"/>
          </w:tcPr>
          <w:p w:rsidR="00A11246" w:rsidRPr="00A11246" w:rsidRDefault="00A11246" w:rsidP="00EB0688">
            <w:pPr>
              <w:pStyle w:val="TableText"/>
              <w:keepNext/>
              <w:keepLines/>
              <w:jc w:val="right"/>
              <w:rPr>
                <w:rFonts w:cs="Arial"/>
                <w:b/>
                <w:szCs w:val="18"/>
              </w:rPr>
            </w:pPr>
            <w:r w:rsidRPr="00A11246">
              <w:rPr>
                <w:rFonts w:cs="Arial"/>
                <w:b/>
                <w:bCs/>
                <w:color w:val="000000"/>
                <w:szCs w:val="18"/>
              </w:rPr>
              <w:t>46</w:t>
            </w:r>
            <w:r w:rsidRPr="000B315F">
              <w:rPr>
                <w:b/>
                <w:color w:val="000000"/>
              </w:rPr>
              <w:t>%</w:t>
            </w:r>
          </w:p>
        </w:tc>
      </w:tr>
    </w:tbl>
    <w:p w:rsidR="002E4BF3" w:rsidRPr="00C36C8F" w:rsidRDefault="002E4BF3" w:rsidP="002E4BF3">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EE5960" w:rsidRPr="00C36C8F" w:rsidRDefault="00EE5960" w:rsidP="00EE5960"/>
    <w:bookmarkStart w:id="158" w:name="_Ref284591719"/>
    <w:p w:rsidR="00EB0688" w:rsidRPr="00C36C8F" w:rsidRDefault="00B9555F" w:rsidP="00F85334">
      <w:pPr>
        <w:pStyle w:val="ParaIndent"/>
        <w:keepNext/>
        <w:keepLines/>
        <w:spacing w:before="120"/>
        <w:jc w:val="both"/>
      </w:pPr>
      <w:r w:rsidRPr="00C36C8F">
        <w:fldChar w:fldCharType="begin"/>
      </w:r>
      <w:r w:rsidR="00EB0688" w:rsidRPr="00C36C8F">
        <w:instrText xml:space="preserve"> REF _Ref300763344 \h </w:instrText>
      </w:r>
      <w:r w:rsidRPr="00C36C8F">
        <w:fldChar w:fldCharType="separate"/>
      </w:r>
      <w:r w:rsidR="00AE7E3B" w:rsidRPr="00C36C8F">
        <w:t xml:space="preserve">Table </w:t>
      </w:r>
      <w:r w:rsidR="00AE7E3B">
        <w:rPr>
          <w:noProof/>
        </w:rPr>
        <w:t>4</w:t>
      </w:r>
      <w:r w:rsidR="00AE7E3B" w:rsidRPr="00C36C8F">
        <w:t>-</w:t>
      </w:r>
      <w:r w:rsidR="00AE7E3B">
        <w:rPr>
          <w:noProof/>
        </w:rPr>
        <w:t>20</w:t>
      </w:r>
      <w:r w:rsidRPr="00C36C8F">
        <w:fldChar w:fldCharType="end"/>
      </w:r>
      <w:r w:rsidR="00EB0688" w:rsidRPr="00C36C8F">
        <w:t xml:space="preserve"> details energy recovery by material type for Victoria. Recovery for the jurisdiction is presented in terms of total tonnes and the per capita rate. The national average per capita recovery rate is also provided.</w:t>
      </w:r>
    </w:p>
    <w:p w:rsidR="00DE05C7" w:rsidRPr="00C36C8F" w:rsidRDefault="00DE05C7" w:rsidP="00DE05C7">
      <w:pPr>
        <w:pStyle w:val="Caption"/>
        <w:tabs>
          <w:tab w:val="left" w:pos="7275"/>
        </w:tabs>
      </w:pPr>
      <w:bookmarkStart w:id="159" w:name="_Ref300763344"/>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20</w:t>
      </w:r>
      <w:r w:rsidR="00B9555F" w:rsidRPr="00C36C8F">
        <w:rPr>
          <w:noProof/>
        </w:rPr>
        <w:fldChar w:fldCharType="end"/>
      </w:r>
      <w:bookmarkEnd w:id="158"/>
      <w:bookmarkEnd w:id="159"/>
      <w:r w:rsidRPr="00C36C8F">
        <w:tab/>
      </w:r>
      <w:r w:rsidR="00802C9D" w:rsidRPr="00C36C8F">
        <w:t>Victorian e</w:t>
      </w:r>
      <w:r w:rsidRPr="00C36C8F">
        <w:t>nergy recovery by material, 2008–09</w:t>
      </w:r>
    </w:p>
    <w:tbl>
      <w:tblPr>
        <w:tblW w:w="8098" w:type="dxa"/>
        <w:jc w:val="right"/>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tblGrid>
      <w:tr w:rsidR="00C50451" w:rsidRPr="00C36C8F" w:rsidTr="006F6D79">
        <w:trPr>
          <w:jc w:val="right"/>
        </w:trPr>
        <w:tc>
          <w:tcPr>
            <w:tcW w:w="4111" w:type="dxa"/>
            <w:gridSpan w:val="2"/>
            <w:tcBorders>
              <w:right w:val="single" w:sz="4" w:space="0" w:color="808080"/>
            </w:tcBorders>
            <w:shd w:val="clear" w:color="auto" w:fill="auto"/>
            <w:vAlign w:val="center"/>
          </w:tcPr>
          <w:p w:rsidR="00C50451" w:rsidRPr="00C36C8F" w:rsidRDefault="00C50451" w:rsidP="006F6D79">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C50451" w:rsidRPr="00C36C8F" w:rsidRDefault="00C50451" w:rsidP="006F6D79">
            <w:pPr>
              <w:pStyle w:val="TableHeading"/>
              <w:keepLines/>
              <w:jc w:val="center"/>
              <w:rPr>
                <w:kern w:val="28"/>
              </w:rPr>
            </w:pPr>
            <w:r w:rsidRPr="00C36C8F">
              <w:rPr>
                <w:kern w:val="28"/>
              </w:rPr>
              <w:t>Vic energy recovery</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C50451" w:rsidRPr="00C36C8F" w:rsidRDefault="00C50451" w:rsidP="006F6D79">
            <w:pPr>
              <w:pStyle w:val="TableHeading"/>
              <w:keepLines/>
              <w:jc w:val="center"/>
              <w:rPr>
                <w:kern w:val="28"/>
              </w:rPr>
            </w:pPr>
            <w:r w:rsidRPr="00C36C8F">
              <w:rPr>
                <w:kern w:val="28"/>
              </w:rPr>
              <w:t>National average</w:t>
            </w:r>
          </w:p>
        </w:tc>
      </w:tr>
      <w:tr w:rsidR="00C50451" w:rsidRPr="00C36C8F" w:rsidTr="006F6D79">
        <w:trPr>
          <w:jc w:val="right"/>
        </w:trPr>
        <w:tc>
          <w:tcPr>
            <w:tcW w:w="2127" w:type="dxa"/>
            <w:tcBorders>
              <w:bottom w:val="single" w:sz="4" w:space="0" w:color="808080"/>
              <w:right w:val="nil"/>
            </w:tcBorders>
            <w:shd w:val="clear" w:color="auto" w:fill="auto"/>
          </w:tcPr>
          <w:p w:rsidR="00C50451" w:rsidRPr="00C36C8F" w:rsidRDefault="00C50451" w:rsidP="003B428C">
            <w:pPr>
              <w:pStyle w:val="TableHeading"/>
              <w:keepLines/>
              <w:jc w:val="center"/>
              <w:rPr>
                <w:kern w:val="28"/>
              </w:rPr>
            </w:pPr>
            <w:r w:rsidRPr="00C36C8F">
              <w:rPr>
                <w:kern w:val="28"/>
              </w:rPr>
              <w:t>Ma</w:t>
            </w:r>
            <w:r w:rsidR="003B428C" w:rsidRPr="00C36C8F">
              <w:rPr>
                <w:kern w:val="28"/>
              </w:rPr>
              <w:t>terial Cat</w:t>
            </w:r>
            <w:r w:rsidRPr="00C36C8F">
              <w:rPr>
                <w:kern w:val="28"/>
              </w:rPr>
              <w:t>egory</w:t>
            </w:r>
          </w:p>
        </w:tc>
        <w:tc>
          <w:tcPr>
            <w:tcW w:w="1984" w:type="dxa"/>
            <w:tcBorders>
              <w:left w:val="nil"/>
              <w:bottom w:val="single" w:sz="4" w:space="0" w:color="808080"/>
              <w:right w:val="single" w:sz="4" w:space="0" w:color="808080"/>
            </w:tcBorders>
            <w:shd w:val="clear" w:color="auto" w:fill="auto"/>
          </w:tcPr>
          <w:p w:rsidR="00C50451" w:rsidRPr="00C36C8F" w:rsidRDefault="003B428C" w:rsidP="003B428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C50451" w:rsidRPr="00C36C8F" w:rsidRDefault="00C50451" w:rsidP="006F6D79">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C50451" w:rsidRPr="00C36C8F" w:rsidRDefault="00C50451" w:rsidP="006F6D79">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C50451" w:rsidRPr="00C36C8F" w:rsidRDefault="00C50451" w:rsidP="006F6D79">
            <w:pPr>
              <w:pStyle w:val="TableHeading"/>
              <w:keepLines/>
              <w:jc w:val="center"/>
              <w:rPr>
                <w:kern w:val="28"/>
              </w:rPr>
            </w:pPr>
            <w:r w:rsidRPr="00C36C8F">
              <w:rPr>
                <w:kern w:val="28"/>
              </w:rPr>
              <w:t>kg per capita</w:t>
            </w:r>
          </w:p>
        </w:tc>
      </w:tr>
      <w:tr w:rsidR="00C50451"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C50451" w:rsidRPr="00C36C8F" w:rsidRDefault="00C50451"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3,000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1</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C50451" w:rsidRPr="00C36C8F" w:rsidRDefault="00C50451"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C50451" w:rsidRPr="00C36C8F" w:rsidRDefault="00C50451"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47,600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9</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15</w:t>
            </w:r>
          </w:p>
        </w:tc>
      </w:tr>
      <w:tr w:rsidR="00C50451"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C50451" w:rsidRPr="00C36C8F" w:rsidRDefault="00C50451"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C50451" w:rsidRPr="00C36C8F" w:rsidRDefault="00C50451"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C50451" w:rsidRPr="00C36C8F" w:rsidRDefault="0080712C" w:rsidP="006F6D79">
            <w:pPr>
              <w:pStyle w:val="TableText"/>
              <w:keepNext/>
              <w:keepLines/>
            </w:pPr>
            <w:r w:rsidRPr="00C36C8F">
              <w:t>Glass</w:t>
            </w:r>
            <w:r w:rsidRPr="00C36C8F" w:rsidDel="0080712C">
              <w:t xml:space="preserve"> </w:t>
            </w:r>
          </w:p>
        </w:tc>
        <w:tc>
          <w:tcPr>
            <w:tcW w:w="1984" w:type="dxa"/>
            <w:tcBorders>
              <w:top w:val="single" w:sz="4" w:space="0" w:color="808080"/>
              <w:left w:val="nil"/>
              <w:bottom w:val="single" w:sz="4" w:space="0" w:color="808080"/>
              <w:right w:val="single" w:sz="4" w:space="0" w:color="808080"/>
            </w:tcBorders>
            <w:vAlign w:val="center"/>
          </w:tcPr>
          <w:p w:rsidR="00C50451" w:rsidRPr="00C36C8F" w:rsidRDefault="00C50451"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C50451" w:rsidRPr="00C36C8F" w:rsidRDefault="0080712C" w:rsidP="006F6D79">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C50451" w:rsidRPr="00C36C8F" w:rsidRDefault="00C50451" w:rsidP="006F6D79">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C50451" w:rsidRPr="00C36C8F" w:rsidRDefault="00C50451" w:rsidP="006F6D79">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2,000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vMerge w:val="restart"/>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C50451" w:rsidRPr="00C36C8F" w:rsidRDefault="00C50451" w:rsidP="006F6D79">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vMerge/>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C50451" w:rsidRPr="00C36C8F" w:rsidRDefault="00C50451" w:rsidP="006F6D79">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vMerge/>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C50451" w:rsidRPr="00C36C8F" w:rsidRDefault="00C50451" w:rsidP="006F6D79">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13,500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2</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1</w:t>
            </w:r>
          </w:p>
        </w:tc>
      </w:tr>
      <w:tr w:rsidR="00C50451" w:rsidRPr="00C36C8F" w:rsidTr="006F6D79">
        <w:trPr>
          <w:jc w:val="right"/>
        </w:trPr>
        <w:tc>
          <w:tcPr>
            <w:tcW w:w="2127" w:type="dxa"/>
            <w:vMerge/>
            <w:tcBorders>
              <w:top w:val="single" w:sz="4" w:space="0" w:color="808080"/>
              <w:bottom w:val="single" w:sz="4" w:space="0" w:color="808080"/>
              <w:right w:val="nil"/>
            </w:tcBorders>
            <w:shd w:val="clear" w:color="auto" w:fill="auto"/>
            <w:vAlign w:val="center"/>
          </w:tcPr>
          <w:p w:rsidR="00C50451" w:rsidRPr="00C36C8F" w:rsidRDefault="00C50451" w:rsidP="006F6D79">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C50451" w:rsidRPr="00C36C8F" w:rsidRDefault="00C50451" w:rsidP="006F6D79">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tcBorders>
              <w:top w:val="single" w:sz="4" w:space="0" w:color="808080"/>
              <w:bottom w:val="single" w:sz="18" w:space="0" w:color="808080" w:themeColor="background1" w:themeShade="80"/>
              <w:right w:val="nil"/>
            </w:tcBorders>
            <w:shd w:val="clear" w:color="auto" w:fill="auto"/>
            <w:vAlign w:val="center"/>
          </w:tcPr>
          <w:p w:rsidR="00C50451" w:rsidRPr="00C36C8F" w:rsidRDefault="00C50451" w:rsidP="006F6D79">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C50451" w:rsidRPr="00C36C8F" w:rsidRDefault="00C50451" w:rsidP="006F6D79">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b/>
                <w:szCs w:val="18"/>
              </w:rPr>
            </w:pPr>
            <w:r w:rsidRPr="00C36C8F">
              <w:rPr>
                <w:rFonts w:cs="Arial"/>
                <w:color w:val="000000"/>
                <w:szCs w:val="18"/>
              </w:rPr>
              <w:t>66,100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b/>
                <w:szCs w:val="18"/>
              </w:rPr>
            </w:pPr>
            <w:r w:rsidRPr="00C36C8F">
              <w:rPr>
                <w:rFonts w:cs="Arial"/>
                <w:color w:val="000000"/>
                <w:szCs w:val="18"/>
              </w:rPr>
              <w:t>12</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b/>
                <w:szCs w:val="18"/>
              </w:rPr>
            </w:pPr>
            <w:r w:rsidRPr="00C36C8F">
              <w:rPr>
                <w:rFonts w:cs="Arial"/>
                <w:color w:val="000000"/>
                <w:szCs w:val="18"/>
              </w:rPr>
              <w:t>16</w:t>
            </w:r>
          </w:p>
        </w:tc>
      </w:tr>
      <w:tr w:rsidR="00C50451" w:rsidRPr="00C36C8F" w:rsidTr="006F6D79">
        <w:trPr>
          <w:jc w:val="right"/>
        </w:trPr>
        <w:tc>
          <w:tcPr>
            <w:tcW w:w="2127" w:type="dxa"/>
            <w:tcBorders>
              <w:top w:val="single" w:sz="18" w:space="0" w:color="808080" w:themeColor="background1" w:themeShade="80"/>
              <w:bottom w:val="single" w:sz="4" w:space="0" w:color="808080"/>
              <w:right w:val="nil"/>
            </w:tcBorders>
            <w:shd w:val="clear" w:color="auto" w:fill="auto"/>
            <w:vAlign w:val="center"/>
          </w:tcPr>
          <w:p w:rsidR="00C50451" w:rsidRPr="00C36C8F" w:rsidRDefault="00C50451" w:rsidP="006F6D79">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C50451" w:rsidRPr="00C36C8F" w:rsidRDefault="00C50451" w:rsidP="006F6D79">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szCs w:val="18"/>
              </w:rPr>
            </w:pPr>
            <w:r w:rsidRPr="00C36C8F">
              <w:rPr>
                <w:rFonts w:cs="Arial"/>
                <w:color w:val="000000"/>
                <w:szCs w:val="18"/>
              </w:rPr>
              <w:t>0</w:t>
            </w:r>
          </w:p>
        </w:tc>
      </w:tr>
      <w:tr w:rsidR="00C50451" w:rsidRPr="00C36C8F" w:rsidTr="006F6D79">
        <w:trPr>
          <w:jc w:val="right"/>
        </w:trPr>
        <w:tc>
          <w:tcPr>
            <w:tcW w:w="2127" w:type="dxa"/>
            <w:tcBorders>
              <w:top w:val="single" w:sz="4" w:space="0" w:color="808080"/>
              <w:bottom w:val="single" w:sz="18" w:space="0" w:color="7F7F7F" w:themeColor="text1" w:themeTint="80"/>
              <w:right w:val="nil"/>
            </w:tcBorders>
            <w:shd w:val="clear" w:color="auto" w:fill="auto"/>
            <w:vAlign w:val="center"/>
          </w:tcPr>
          <w:p w:rsidR="00C50451" w:rsidRPr="00C36C8F" w:rsidRDefault="00C50451" w:rsidP="006F6D79">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C50451" w:rsidRPr="00C36C8F" w:rsidRDefault="00C50451" w:rsidP="006F6D79">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b/>
                <w:szCs w:val="18"/>
              </w:rPr>
            </w:pPr>
            <w:r w:rsidRPr="00C36C8F">
              <w:rPr>
                <w:rFonts w:cs="Arial"/>
                <w:color w:val="000000"/>
                <w:szCs w:val="18"/>
              </w:rPr>
              <w:t>66,100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b/>
                <w:szCs w:val="18"/>
              </w:rPr>
            </w:pPr>
            <w:r w:rsidRPr="00C36C8F">
              <w:rPr>
                <w:rFonts w:cs="Arial"/>
                <w:color w:val="000000"/>
                <w:szCs w:val="18"/>
              </w:rPr>
              <w:t>12</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C50451" w:rsidRPr="00C36C8F" w:rsidRDefault="00C50451" w:rsidP="006F6D79">
            <w:pPr>
              <w:pStyle w:val="TableText"/>
              <w:keepNext/>
              <w:keepLines/>
              <w:jc w:val="right"/>
              <w:rPr>
                <w:rFonts w:cs="Arial"/>
                <w:b/>
                <w:szCs w:val="18"/>
              </w:rPr>
            </w:pPr>
            <w:r w:rsidRPr="00C36C8F">
              <w:rPr>
                <w:rFonts w:cs="Arial"/>
                <w:color w:val="000000"/>
                <w:szCs w:val="18"/>
              </w:rPr>
              <w:t>16</w:t>
            </w:r>
          </w:p>
        </w:tc>
      </w:tr>
    </w:tbl>
    <w:p w:rsidR="002E4BF3" w:rsidRPr="00C36C8F" w:rsidRDefault="002E4BF3" w:rsidP="002E4BF3">
      <w:pPr>
        <w:pStyle w:val="ParaIndent"/>
        <w:spacing w:before="120"/>
        <w:ind w:left="156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EE5960" w:rsidRPr="00C36C8F" w:rsidRDefault="00EE5960" w:rsidP="00690F1F">
      <w:pPr>
        <w:pStyle w:val="ParaIndent"/>
        <w:spacing w:before="240"/>
      </w:pPr>
    </w:p>
    <w:p w:rsidR="00802C9D" w:rsidRPr="00C36C8F" w:rsidRDefault="00802C9D" w:rsidP="00690F1F">
      <w:pPr>
        <w:pStyle w:val="ParaIndent"/>
        <w:spacing w:before="240"/>
      </w:pPr>
    </w:p>
    <w:p w:rsidR="00DE05C7" w:rsidRPr="00C36C8F" w:rsidRDefault="00B9555F" w:rsidP="00F85334">
      <w:pPr>
        <w:pStyle w:val="ParaIndent"/>
        <w:keepNext/>
        <w:spacing w:before="120"/>
        <w:jc w:val="both"/>
      </w:pPr>
      <w:fldSimple w:instr=" REF _Ref287276266 \h  \* MERGEFORMAT ">
        <w:r w:rsidR="00AE7E3B" w:rsidRPr="00C36C8F">
          <w:t xml:space="preserve">Figure </w:t>
        </w:r>
        <w:r w:rsidR="00AE7E3B">
          <w:t>4</w:t>
        </w:r>
        <w:r w:rsidR="00AE7E3B" w:rsidRPr="00C36C8F">
          <w:t>-</w:t>
        </w:r>
        <w:r w:rsidR="00AE7E3B">
          <w:t>14</w:t>
        </w:r>
      </w:fldSimple>
      <w:r w:rsidR="004636FB" w:rsidRPr="00C36C8F">
        <w:t xml:space="preserve"> </w:t>
      </w:r>
      <w:r w:rsidR="0009088A" w:rsidRPr="00C36C8F">
        <w:t>charts waste disposal, recycling and energy recovery, by source sector for Victoria.</w:t>
      </w:r>
    </w:p>
    <w:tbl>
      <w:tblPr>
        <w:tblW w:w="0" w:type="auto"/>
        <w:tblInd w:w="1134" w:type="dxa"/>
        <w:tblLayout w:type="fixed"/>
        <w:tblCellMar>
          <w:left w:w="0" w:type="dxa"/>
          <w:right w:w="0" w:type="dxa"/>
        </w:tblCellMar>
        <w:tblLook w:val="0000"/>
      </w:tblPr>
      <w:tblGrid>
        <w:gridCol w:w="8505"/>
      </w:tblGrid>
      <w:tr w:rsidR="002E4BF3" w:rsidRPr="00C36C8F" w:rsidTr="006F6D79">
        <w:trPr>
          <w:cantSplit/>
          <w:trHeight w:val="3486"/>
        </w:trPr>
        <w:tc>
          <w:tcPr>
            <w:tcW w:w="8505" w:type="dxa"/>
          </w:tcPr>
          <w:p w:rsidR="002E4BF3" w:rsidRPr="00C36C8F" w:rsidRDefault="00A11246" w:rsidP="00C518E6">
            <w:pPr>
              <w:pStyle w:val="ParaIndent"/>
              <w:spacing w:before="120"/>
              <w:ind w:left="0"/>
            </w:pPr>
            <w:r>
              <w:rPr>
                <w:noProof/>
                <w:lang w:eastAsia="en-AU"/>
              </w:rPr>
              <w:drawing>
                <wp:inline distT="0" distB="0" distL="0" distR="0">
                  <wp:extent cx="1699683" cy="2807231"/>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eastAsia="en-AU"/>
              </w:rPr>
              <w:drawing>
                <wp:inline distT="0" distB="0" distL="0" distR="0">
                  <wp:extent cx="1739900" cy="2836334"/>
                  <wp:effectExtent l="0" t="0" r="0" b="254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en-AU"/>
              </w:rPr>
              <w:drawing>
                <wp:inline distT="0" distB="0" distL="0" distR="0">
                  <wp:extent cx="1813983" cy="2836334"/>
                  <wp:effectExtent l="0" t="0" r="0" b="254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B01080" w:rsidRPr="00C36C8F" w:rsidTr="00F44A29">
        <w:trPr>
          <w:cantSplit/>
        </w:trPr>
        <w:tc>
          <w:tcPr>
            <w:tcW w:w="8505" w:type="dxa"/>
          </w:tcPr>
          <w:p w:rsidR="00B01080" w:rsidRPr="00C36C8F" w:rsidRDefault="00B01080" w:rsidP="00C518E6">
            <w:pPr>
              <w:pStyle w:val="Caption"/>
              <w:tabs>
                <w:tab w:val="left" w:pos="7275"/>
              </w:tabs>
            </w:pPr>
            <w:bookmarkStart w:id="160" w:name="_Ref287276266"/>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14</w:t>
            </w:r>
            <w:r w:rsidR="00B9555F" w:rsidRPr="00C36C8F">
              <w:rPr>
                <w:noProof/>
              </w:rPr>
              <w:fldChar w:fldCharType="end"/>
            </w:r>
            <w:bookmarkEnd w:id="160"/>
            <w:r w:rsidRPr="00C36C8F">
              <w:tab/>
            </w:r>
            <w:r w:rsidR="002E4BF3" w:rsidRPr="00C36C8F">
              <w:t xml:space="preserve">Victorian waste </w:t>
            </w:r>
            <w:r w:rsidRPr="00C36C8F">
              <w:t xml:space="preserve">disposal, recycling </w:t>
            </w:r>
            <w:r w:rsidR="002E4BF3" w:rsidRPr="00C36C8F">
              <w:t xml:space="preserve">and </w:t>
            </w:r>
            <w:r w:rsidRPr="00C36C8F">
              <w:t>energy recovery, by source sector 2008–09</w:t>
            </w:r>
            <w:r w:rsidR="00C16F94">
              <w:t xml:space="preserve"> subtotals</w:t>
            </w:r>
            <w:r w:rsidR="00AB1315" w:rsidRPr="00C36C8F">
              <w:t>. Units in ‘000 tonnes.</w:t>
            </w:r>
          </w:p>
        </w:tc>
      </w:tr>
    </w:tbl>
    <w:p w:rsidR="0009088A" w:rsidRPr="00C36C8F" w:rsidRDefault="0009088A" w:rsidP="0009088A">
      <w:pPr>
        <w:pStyle w:val="ParaIndent"/>
        <w:keepNext/>
        <w:spacing w:before="120"/>
      </w:pPr>
      <w:bookmarkStart w:id="161" w:name="_Toc284316467"/>
    </w:p>
    <w:p w:rsidR="0009088A" w:rsidRPr="00C36C8F" w:rsidRDefault="0009088A" w:rsidP="0009088A">
      <w:pPr>
        <w:pStyle w:val="ParaIndent"/>
        <w:keepNext/>
        <w:spacing w:before="120"/>
      </w:pPr>
      <w:r w:rsidRPr="00C36C8F">
        <w:br w:type="page"/>
      </w:r>
    </w:p>
    <w:p w:rsidR="00DE05C7" w:rsidRPr="00C36C8F" w:rsidRDefault="00DE05C7" w:rsidP="00DE05C7">
      <w:pPr>
        <w:pStyle w:val="Heading2"/>
      </w:pPr>
      <w:bookmarkStart w:id="162" w:name="_Toc325020107"/>
      <w:bookmarkStart w:id="163" w:name="_Toc305049755"/>
      <w:r w:rsidRPr="00C36C8F">
        <w:t>Queensland waste disposal and recovery</w:t>
      </w:r>
      <w:bookmarkEnd w:id="161"/>
      <w:bookmarkEnd w:id="162"/>
      <w:bookmarkEnd w:id="163"/>
    </w:p>
    <w:p w:rsidR="00DE05C7" w:rsidRPr="00C36C8F" w:rsidRDefault="002B1C9C" w:rsidP="00F85334">
      <w:pPr>
        <w:pStyle w:val="ParaIndent"/>
        <w:jc w:val="both"/>
      </w:pPr>
      <w:r w:rsidRPr="00C36C8F">
        <w:t xml:space="preserve">Waste and recycling data for Queensland for the 2008–09 financial year was </w:t>
      </w:r>
      <w:r w:rsidR="003B6F76" w:rsidRPr="00C36C8F">
        <w:t>provide</w:t>
      </w:r>
      <w:r w:rsidR="00C83B05" w:rsidRPr="00C36C8F">
        <w:t>d</w:t>
      </w:r>
      <w:r w:rsidR="003B6F76" w:rsidRPr="00C36C8F">
        <w:t xml:space="preserve"> to Hyder via personal communication on March 30, 2011. </w:t>
      </w:r>
      <w:fldSimple w:instr=" REF _Ref284591906 \h  \* MERGEFORMAT ">
        <w:r w:rsidR="00AE7E3B" w:rsidRPr="00C36C8F">
          <w:t xml:space="preserve">Table </w:t>
        </w:r>
        <w:r w:rsidR="00AE7E3B">
          <w:rPr>
            <w:noProof/>
          </w:rPr>
          <w:t>4</w:t>
        </w:r>
        <w:r w:rsidR="00AE7E3B" w:rsidRPr="00C36C8F">
          <w:rPr>
            <w:noProof/>
          </w:rPr>
          <w:t>-</w:t>
        </w:r>
        <w:r w:rsidR="00AE7E3B">
          <w:rPr>
            <w:noProof/>
          </w:rPr>
          <w:t>21</w:t>
        </w:r>
      </w:fldSimple>
      <w:r w:rsidR="00C83B05" w:rsidRPr="00C36C8F">
        <w:t xml:space="preserve"> provides a more detailed</w:t>
      </w:r>
      <w:r w:rsidR="00DE05C7" w:rsidRPr="00C36C8F">
        <w:t xml:space="preserve"> overview of the sources of Queensland’s waste disposal and recovery data, upon which the jurisdictional review and national figures for the 2008</w:t>
      </w:r>
      <w:r w:rsidR="00560229" w:rsidRPr="00C36C8F">
        <w:t>–</w:t>
      </w:r>
      <w:r w:rsidR="00DE05C7" w:rsidRPr="00C36C8F">
        <w:t>09 reporting period are based.</w:t>
      </w:r>
    </w:p>
    <w:p w:rsidR="00DE05C7" w:rsidRPr="00C36C8F" w:rsidRDefault="00DE05C7" w:rsidP="00DE05C7">
      <w:pPr>
        <w:pStyle w:val="Caption"/>
        <w:tabs>
          <w:tab w:val="left" w:pos="7275"/>
        </w:tabs>
      </w:pPr>
      <w:bookmarkStart w:id="164" w:name="_Ref284591906"/>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21</w:t>
      </w:r>
      <w:r w:rsidR="00B9555F" w:rsidRPr="00C36C8F">
        <w:rPr>
          <w:noProof/>
        </w:rPr>
        <w:fldChar w:fldCharType="end"/>
      </w:r>
      <w:bookmarkEnd w:id="164"/>
      <w:r w:rsidRPr="00C36C8F">
        <w:tab/>
        <w:t>Sources of Queensland waste disposal and recovery data</w:t>
      </w:r>
    </w:p>
    <w:tbl>
      <w:tblPr>
        <w:tblW w:w="0" w:type="auto"/>
        <w:tblBorders>
          <w:bottom w:val="single" w:sz="18" w:space="0" w:color="808080"/>
          <w:insideH w:val="single" w:sz="4" w:space="0" w:color="808080"/>
        </w:tblBorders>
        <w:tblCellMar>
          <w:left w:w="0" w:type="dxa"/>
          <w:right w:w="0" w:type="dxa"/>
        </w:tblCellMar>
        <w:tblLook w:val="01E0"/>
      </w:tblPr>
      <w:tblGrid>
        <w:gridCol w:w="1311"/>
        <w:gridCol w:w="3025"/>
        <w:gridCol w:w="5445"/>
      </w:tblGrid>
      <w:tr w:rsidR="00F2642F" w:rsidRPr="00C36C8F" w:rsidTr="00914B95">
        <w:trPr>
          <w:cantSplit/>
          <w:tblHeader/>
        </w:trPr>
        <w:tc>
          <w:tcPr>
            <w:tcW w:w="0" w:type="auto"/>
            <w:shd w:val="clear" w:color="auto" w:fill="auto"/>
            <w:tcMar>
              <w:right w:w="142" w:type="dxa"/>
            </w:tcMar>
          </w:tcPr>
          <w:p w:rsidR="00F2642F" w:rsidRPr="00C36C8F" w:rsidRDefault="00F2642F" w:rsidP="00315925">
            <w:pPr>
              <w:pStyle w:val="TableHeading"/>
              <w:rPr>
                <w:kern w:val="28"/>
              </w:rPr>
            </w:pPr>
            <w:r w:rsidRPr="00C36C8F">
              <w:rPr>
                <w:kern w:val="28"/>
              </w:rPr>
              <w:t>Data field</w:t>
            </w:r>
          </w:p>
        </w:tc>
        <w:tc>
          <w:tcPr>
            <w:tcW w:w="0" w:type="auto"/>
            <w:shd w:val="clear" w:color="auto" w:fill="auto"/>
            <w:tcMar>
              <w:right w:w="142" w:type="dxa"/>
            </w:tcMar>
          </w:tcPr>
          <w:p w:rsidR="00F2642F" w:rsidRPr="00C36C8F" w:rsidRDefault="00F2642F" w:rsidP="00315925">
            <w:pPr>
              <w:pStyle w:val="TableHeading"/>
              <w:rPr>
                <w:kern w:val="28"/>
              </w:rPr>
            </w:pPr>
            <w:r w:rsidRPr="00C36C8F">
              <w:rPr>
                <w:kern w:val="28"/>
              </w:rPr>
              <w:t>Data Sources</w:t>
            </w:r>
          </w:p>
        </w:tc>
        <w:tc>
          <w:tcPr>
            <w:tcW w:w="0" w:type="auto"/>
            <w:tcMar>
              <w:right w:w="142" w:type="dxa"/>
            </w:tcMar>
          </w:tcPr>
          <w:p w:rsidR="00F2642F" w:rsidRPr="00C36C8F" w:rsidRDefault="00F2642F" w:rsidP="00315925">
            <w:pPr>
              <w:pStyle w:val="TableHeading"/>
              <w:rPr>
                <w:kern w:val="28"/>
              </w:rPr>
            </w:pPr>
            <w:r w:rsidRPr="00C36C8F">
              <w:rPr>
                <w:kern w:val="28"/>
              </w:rPr>
              <w:t>Data collation assumptions &amp; calculation methods</w:t>
            </w:r>
          </w:p>
        </w:tc>
      </w:tr>
      <w:tr w:rsidR="00F2642F" w:rsidRPr="00C36C8F" w:rsidTr="00914B95">
        <w:tblPrEx>
          <w:tblBorders>
            <w:bottom w:val="none" w:sz="0" w:space="0" w:color="auto"/>
            <w:insideH w:val="none" w:sz="0" w:space="0" w:color="auto"/>
          </w:tblBorders>
          <w:tblCellMar>
            <w:left w:w="108" w:type="dxa"/>
            <w:right w:w="108" w:type="dxa"/>
          </w:tblCellMar>
          <w:tblLook w:val="04A0"/>
        </w:tblPrEx>
        <w:trPr>
          <w:cantSplit/>
          <w:trHeight w:val="735"/>
        </w:trPr>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108"/>
              <w:rPr>
                <w:sz w:val="18"/>
              </w:rPr>
            </w:pPr>
            <w:r w:rsidRPr="000B315F">
              <w:rPr>
                <w:sz w:val="18"/>
              </w:rPr>
              <w:t>Population data</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 xml:space="preserve">Australian Bureau of Statistics, ABS Release 3101.04 – </w:t>
            </w:r>
            <w:r w:rsidRPr="000B315F">
              <w:rPr>
                <w:i/>
                <w:sz w:val="18"/>
              </w:rPr>
              <w:t>Estimated Resident Population, States and Territories (Number)</w:t>
            </w:r>
            <w:r w:rsidRPr="000B315F">
              <w:rPr>
                <w:sz w:val="18"/>
              </w:rPr>
              <w:t>, June 2009, Canberra, Australia.</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None.</w:t>
            </w:r>
          </w:p>
        </w:tc>
      </w:tr>
      <w:tr w:rsidR="00F2642F" w:rsidRPr="00C36C8F" w:rsidTr="00914B95">
        <w:tblPrEx>
          <w:tblBorders>
            <w:bottom w:val="none" w:sz="0" w:space="0" w:color="auto"/>
            <w:insideH w:val="none" w:sz="0" w:space="0" w:color="auto"/>
          </w:tblBorders>
          <w:tblCellMar>
            <w:left w:w="108" w:type="dxa"/>
            <w:right w:w="108" w:type="dxa"/>
          </w:tblCellMar>
          <w:tblLook w:val="04A0"/>
        </w:tblPrEx>
        <w:trPr>
          <w:cantSplit/>
          <w:trHeight w:val="2655"/>
        </w:trPr>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108"/>
              <w:rPr>
                <w:sz w:val="18"/>
              </w:rPr>
            </w:pPr>
            <w:r w:rsidRPr="000B315F">
              <w:rPr>
                <w:sz w:val="18"/>
              </w:rPr>
              <w:t>Disposal to landfill - total quantity</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240" w:line="240" w:lineRule="auto"/>
              <w:ind w:left="0"/>
              <w:rPr>
                <w:sz w:val="18"/>
              </w:rPr>
            </w:pPr>
            <w:r w:rsidRPr="000B315F">
              <w:rPr>
                <w:sz w:val="18"/>
              </w:rPr>
              <w:t>1. Department of Environment and Resource Management (Qld), Waste to landfill and recycling by material type, personal communication, 30 March 2011.</w:t>
            </w:r>
            <w:r w:rsidRPr="000B315F">
              <w:rPr>
                <w:sz w:val="18"/>
              </w:rPr>
              <w:br/>
              <w:t xml:space="preserve">2. Department of Environment and Resource Management (Qld), </w:t>
            </w:r>
            <w:r w:rsidRPr="000B315F">
              <w:rPr>
                <w:i/>
                <w:sz w:val="18"/>
              </w:rPr>
              <w:t>The State of Waste and Recycling in Queensland – Technical Report</w:t>
            </w:r>
            <w:r w:rsidRPr="000B315F">
              <w:rPr>
                <w:sz w:val="18"/>
              </w:rPr>
              <w:t>, December 2009.</w:t>
            </w:r>
            <w:r w:rsidRPr="000B315F">
              <w:rPr>
                <w:sz w:val="18"/>
              </w:rPr>
              <w:br/>
              <w:t>3. Energy recovery estimates - various sources [Clean Energy Council (2010); Golder (2009); Green Energy Markets for Energy Developments (2008)].</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C83B05">
            <w:pPr>
              <w:spacing w:after="0" w:line="240" w:lineRule="auto"/>
              <w:ind w:left="0"/>
              <w:rPr>
                <w:sz w:val="18"/>
              </w:rPr>
            </w:pPr>
            <w:r w:rsidRPr="000B315F">
              <w:rPr>
                <w:sz w:val="18"/>
              </w:rPr>
              <w:t>1. Total disposal to landfill data for Queensland during 2008</w:t>
            </w:r>
            <w:r w:rsidR="00C83B05" w:rsidRPr="00C36C8F">
              <w:t>–</w:t>
            </w:r>
            <w:r w:rsidRPr="000B315F">
              <w:rPr>
                <w:sz w:val="18"/>
              </w:rPr>
              <w:t>09 was primarily based upon data sourced from DERM (2011). Clean fill quantities were a significant exclusion from the Queensland reported data.</w:t>
            </w:r>
            <w:r w:rsidRPr="000B315F">
              <w:rPr>
                <w:sz w:val="18"/>
              </w:rPr>
              <w:br/>
              <w:t>2. An estimate of the relatively small quantity of organic materials recovered through energy recovery was also subtracted from Queensland disposal to landfill in 2008</w:t>
            </w:r>
            <w:r w:rsidR="00C83B05" w:rsidRPr="00C36C8F">
              <w:t>–</w:t>
            </w:r>
            <w:r w:rsidRPr="000B315F">
              <w:rPr>
                <w:sz w:val="18"/>
              </w:rPr>
              <w:t>09. See Section 3.1 (Recommendation 6) for a detailed outline of the method applied to determine the total quantity of waste recovered through energy recovery processes.</w:t>
            </w:r>
          </w:p>
        </w:tc>
      </w:tr>
      <w:tr w:rsidR="00F2642F" w:rsidRPr="00C36C8F" w:rsidTr="00914B95">
        <w:tblPrEx>
          <w:tblBorders>
            <w:bottom w:val="none" w:sz="0" w:space="0" w:color="auto"/>
            <w:insideH w:val="none" w:sz="0" w:space="0" w:color="auto"/>
          </w:tblBorders>
          <w:tblCellMar>
            <w:left w:w="108" w:type="dxa"/>
            <w:right w:w="108" w:type="dxa"/>
          </w:tblCellMar>
          <w:tblLook w:val="04A0"/>
        </w:tblPrEx>
        <w:trPr>
          <w:cantSplit/>
          <w:trHeight w:val="2175"/>
        </w:trPr>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108"/>
              <w:rPr>
                <w:sz w:val="18"/>
              </w:rPr>
            </w:pPr>
            <w:r w:rsidRPr="000B315F">
              <w:rPr>
                <w:sz w:val="18"/>
              </w:rPr>
              <w:t>Recycling - total quantity</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1. Department of Environment and Resource Management (Qld), Waste to landfill and recycling by material type, personal communication, 30 March 2011.</w:t>
            </w:r>
            <w:r w:rsidRPr="000B315F">
              <w:rPr>
                <w:sz w:val="18"/>
              </w:rPr>
              <w:br/>
              <w:t xml:space="preserve">2. Department of Environment and Resource Management (Qld), </w:t>
            </w:r>
            <w:r w:rsidRPr="000B315F">
              <w:rPr>
                <w:i/>
                <w:sz w:val="18"/>
              </w:rPr>
              <w:t>The State of Waste and Recycling in Queensland – Technical Report</w:t>
            </w:r>
            <w:r w:rsidRPr="000B315F">
              <w:rPr>
                <w:sz w:val="18"/>
              </w:rPr>
              <w:t>, December 2009.</w:t>
            </w:r>
            <w:r w:rsidRPr="000B315F">
              <w:rPr>
                <w:sz w:val="18"/>
              </w:rPr>
              <w:br/>
              <w:t>3. Recycled Organics Unit, Organics Recycling in Australia: Industry Statistics 2009, revised edition December 2009.</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1. Total recycling data for Queensland during 2008</w:t>
            </w:r>
            <w:r w:rsidR="00C83B05" w:rsidRPr="00C36C8F">
              <w:t>–</w:t>
            </w:r>
            <w:r w:rsidRPr="000B315F">
              <w:rPr>
                <w:sz w:val="18"/>
              </w:rPr>
              <w:t>09 was primarily based upon data sourced from DERM (2011 and 2009).</w:t>
            </w:r>
            <w:r w:rsidRPr="000B315F">
              <w:rPr>
                <w:sz w:val="18"/>
              </w:rPr>
              <w:br/>
              <w:t>2. The exception to point 1 above relates to the quantification of organics recycling, which was sourced from ROU (2009). Primary production wastes relating to Recommendation 10 and 11 (Section 3.5) were excluded from the ROU (2009) data.</w:t>
            </w:r>
          </w:p>
        </w:tc>
      </w:tr>
      <w:tr w:rsidR="00F2642F" w:rsidRPr="00C36C8F" w:rsidTr="00914B95">
        <w:tblPrEx>
          <w:tblBorders>
            <w:bottom w:val="none" w:sz="0" w:space="0" w:color="auto"/>
            <w:insideH w:val="none" w:sz="0" w:space="0" w:color="auto"/>
          </w:tblBorders>
          <w:tblCellMar>
            <w:left w:w="108" w:type="dxa"/>
            <w:right w:w="108" w:type="dxa"/>
          </w:tblCellMar>
          <w:tblLook w:val="04A0"/>
        </w:tblPrEx>
        <w:trPr>
          <w:cantSplit/>
          <w:trHeight w:val="1455"/>
        </w:trPr>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108"/>
              <w:rPr>
                <w:sz w:val="18"/>
              </w:rPr>
            </w:pPr>
            <w:r w:rsidRPr="000B315F">
              <w:rPr>
                <w:sz w:val="18"/>
              </w:rPr>
              <w:t>Energy recovery - total quantity</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1. Landfill and AWT energy recovery estimates - various sources [Clean Energy Council (2010); Golder (2009); Green Energy Markets for Energy Developments (2008)].</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1. The total quantity of waste recovered through energy recovery processes was calculated using the method outlined in detail in Section 3.1 (Recommendation 6). All energy recovery in Queensland during 2008</w:t>
            </w:r>
            <w:r w:rsidR="00C83B05" w:rsidRPr="00C36C8F">
              <w:t>–</w:t>
            </w:r>
            <w:r w:rsidRPr="000B315F">
              <w:rPr>
                <w:sz w:val="18"/>
              </w:rPr>
              <w:t>09 was all through methane capture at landfills, sewage treatment plants and one bioreactor, there was no energy recovery from solid waste combustion identified.</w:t>
            </w:r>
          </w:p>
        </w:tc>
      </w:tr>
      <w:tr w:rsidR="00F2642F" w:rsidRPr="00C36C8F" w:rsidTr="00914B95">
        <w:tblPrEx>
          <w:tblBorders>
            <w:bottom w:val="none" w:sz="0" w:space="0" w:color="auto"/>
            <w:insideH w:val="none" w:sz="0" w:space="0" w:color="auto"/>
          </w:tblBorders>
          <w:tblCellMar>
            <w:left w:w="108" w:type="dxa"/>
            <w:right w:w="108" w:type="dxa"/>
          </w:tblCellMar>
          <w:tblLook w:val="04A0"/>
        </w:tblPrEx>
        <w:trPr>
          <w:cantSplit/>
          <w:trHeight w:val="975"/>
        </w:trPr>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108"/>
              <w:rPr>
                <w:sz w:val="18"/>
              </w:rPr>
            </w:pPr>
            <w:r w:rsidRPr="000B315F">
              <w:rPr>
                <w:sz w:val="18"/>
              </w:rPr>
              <w:t>Disposal to landfill - waste stream splits</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 xml:space="preserve">1. National Greenhouse and Energy Reporting System (Measurement) </w:t>
            </w:r>
            <w:r w:rsidRPr="000B315F">
              <w:rPr>
                <w:i/>
                <w:sz w:val="18"/>
              </w:rPr>
              <w:t>Technical Guidelines 2010</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1. Disposal to landfill by waste stream data was primarily based on the percentage values outlined in Section 5.10 of the NGER Technical Guidelines 2010, which for Queensland are 43% MSW; 14% C&amp;I; and 43% C&amp;D .</w:t>
            </w:r>
          </w:p>
        </w:tc>
      </w:tr>
      <w:tr w:rsidR="00F2642F" w:rsidRPr="00C36C8F" w:rsidTr="00914B95">
        <w:tblPrEx>
          <w:tblBorders>
            <w:bottom w:val="none" w:sz="0" w:space="0" w:color="auto"/>
            <w:insideH w:val="none" w:sz="0" w:space="0" w:color="auto"/>
          </w:tblBorders>
          <w:tblCellMar>
            <w:left w:w="108" w:type="dxa"/>
            <w:right w:w="108" w:type="dxa"/>
          </w:tblCellMar>
          <w:tblLook w:val="04A0"/>
        </w:tblPrEx>
        <w:trPr>
          <w:cantSplit/>
          <w:trHeight w:val="2415"/>
        </w:trPr>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108"/>
              <w:rPr>
                <w:sz w:val="18"/>
              </w:rPr>
            </w:pPr>
            <w:r w:rsidRPr="000B315F">
              <w:rPr>
                <w:sz w:val="18"/>
              </w:rPr>
              <w:t>Recycling - waste stream splits</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106"/>
              <w:rPr>
                <w:sz w:val="18"/>
              </w:rPr>
            </w:pPr>
            <w:r w:rsidRPr="000B315F">
              <w:rPr>
                <w:sz w:val="18"/>
              </w:rPr>
              <w:t>1. Department of Environment and Resource Management (Qld), Waste to landfill and recycling by material type, personal communication, 30 March 2011.</w:t>
            </w:r>
            <w:r w:rsidRPr="000B315F">
              <w:rPr>
                <w:sz w:val="18"/>
              </w:rPr>
              <w:br/>
              <w:t xml:space="preserve">2. Recycled Organics Unit, </w:t>
            </w:r>
            <w:r w:rsidR="005338E9" w:rsidRPr="000B315F">
              <w:rPr>
                <w:i/>
                <w:sz w:val="18"/>
              </w:rPr>
              <w:t>Organics Recycling in Australia: Industry Statistics 2009</w:t>
            </w:r>
            <w:r w:rsidRPr="000B315F">
              <w:rPr>
                <w:sz w:val="18"/>
              </w:rPr>
              <w:t>, revised edition December 2009.</w:t>
            </w:r>
            <w:r w:rsidRPr="000B315F">
              <w:rPr>
                <w:sz w:val="18"/>
              </w:rPr>
              <w:br/>
              <w:t xml:space="preserve">3. Sustainability Victoria, </w:t>
            </w:r>
            <w:r w:rsidR="005338E9" w:rsidRPr="000B315F">
              <w:rPr>
                <w:i/>
                <w:sz w:val="18"/>
              </w:rPr>
              <w:t>Victorian Recycling Industries Annual Survey</w:t>
            </w:r>
            <w:r w:rsidRPr="000B315F">
              <w:rPr>
                <w:sz w:val="18"/>
              </w:rPr>
              <w:t xml:space="preserve"> 2008</w:t>
            </w:r>
            <w:r w:rsidR="00C83B05" w:rsidRPr="00C36C8F">
              <w:t>–</w:t>
            </w:r>
            <w:r w:rsidRPr="000B315F">
              <w:rPr>
                <w:sz w:val="18"/>
              </w:rPr>
              <w:t>09, June 2010.</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49"/>
              <w:rPr>
                <w:sz w:val="18"/>
              </w:rPr>
            </w:pPr>
            <w:r w:rsidRPr="000B315F">
              <w:rPr>
                <w:sz w:val="18"/>
              </w:rPr>
              <w:t>1. Recycling by waste stream was based primarily upon DERM (2011) provided material categorised data, which provided a degree of waste stream categorisation. Material types that were not categorised by waste stream were allocated to probable waste sectors and then the waste stream totals were aggregated.</w:t>
            </w:r>
            <w:r w:rsidRPr="000B315F">
              <w:rPr>
                <w:sz w:val="18"/>
              </w:rPr>
              <w:br/>
              <w:t>2. An exception to point 1 above was that organics data (ROU 2009) was allocated to waste streams with a waste stream split assumed the same as for Victoria.</w:t>
            </w:r>
            <w:r w:rsidRPr="000B315F">
              <w:rPr>
                <w:sz w:val="18"/>
              </w:rPr>
              <w:br/>
              <w:t xml:space="preserve">3. </w:t>
            </w:r>
            <w:r w:rsidR="001E428C" w:rsidRPr="000B315F">
              <w:rPr>
                <w:sz w:val="18"/>
              </w:rPr>
              <w:t>A</w:t>
            </w:r>
            <w:r w:rsidR="001E428C">
              <w:rPr>
                <w:sz w:val="18"/>
              </w:rPr>
              <w:t xml:space="preserve"> further</w:t>
            </w:r>
            <w:r w:rsidR="001E428C" w:rsidRPr="000B315F">
              <w:rPr>
                <w:sz w:val="18"/>
              </w:rPr>
              <w:t xml:space="preserve"> </w:t>
            </w:r>
            <w:r w:rsidRPr="000B315F">
              <w:rPr>
                <w:sz w:val="18"/>
              </w:rPr>
              <w:t>exception to point 1 above was that metals data (DERM 2011) was allocated to waste streams with a split assumed to be similar to Victoria.</w:t>
            </w:r>
          </w:p>
        </w:tc>
      </w:tr>
      <w:tr w:rsidR="00F2642F" w:rsidRPr="00C36C8F" w:rsidTr="00914B95">
        <w:tblPrEx>
          <w:tblBorders>
            <w:bottom w:val="none" w:sz="0" w:space="0" w:color="auto"/>
            <w:insideH w:val="none" w:sz="0" w:space="0" w:color="auto"/>
          </w:tblBorders>
          <w:tblCellMar>
            <w:left w:w="108" w:type="dxa"/>
            <w:right w:w="108" w:type="dxa"/>
          </w:tblCellMar>
          <w:tblLook w:val="04A0"/>
        </w:tblPrEx>
        <w:trPr>
          <w:cantSplit/>
          <w:trHeight w:val="1215"/>
        </w:trPr>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108"/>
              <w:rPr>
                <w:sz w:val="18"/>
              </w:rPr>
            </w:pPr>
            <w:r w:rsidRPr="000B315F">
              <w:rPr>
                <w:sz w:val="18"/>
              </w:rPr>
              <w:t>Energy recovery - waste stream splits</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106"/>
              <w:rPr>
                <w:sz w:val="18"/>
              </w:rPr>
            </w:pPr>
            <w:r w:rsidRPr="000B315F">
              <w:rPr>
                <w:sz w:val="18"/>
              </w:rPr>
              <w:t>1. Landfill and AWT energy recovery estimates - various sources [Clean Energy Council (2010); Golder (2009); Green Energy Markets for Energy Developments (2008)].</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914B95">
            <w:pPr>
              <w:spacing w:after="0" w:line="240" w:lineRule="auto"/>
              <w:ind w:left="-49"/>
              <w:rPr>
                <w:sz w:val="18"/>
              </w:rPr>
            </w:pPr>
            <w:r w:rsidRPr="000B315F">
              <w:rPr>
                <w:sz w:val="18"/>
              </w:rPr>
              <w:t>1. Energy recovery by waste stream was calculated using the data sources identified here and the method outlined in detail in Section 3.1 (Recommendation 6). All energy recovery in Queensland during 2008</w:t>
            </w:r>
            <w:r w:rsidR="00C83B05" w:rsidRPr="00C36C8F">
              <w:t>–</w:t>
            </w:r>
            <w:r w:rsidRPr="000B315F">
              <w:rPr>
                <w:sz w:val="18"/>
              </w:rPr>
              <w:t>09 was all through methane capture at landfills and AWTs, there was no energy recovery from solid waste combustion identified.</w:t>
            </w:r>
          </w:p>
        </w:tc>
      </w:tr>
      <w:tr w:rsidR="00F2642F" w:rsidRPr="00C36C8F" w:rsidTr="00914B95">
        <w:trPr>
          <w:cantSplit/>
          <w:trHeight w:val="4823"/>
        </w:trPr>
        <w:tc>
          <w:tcPr>
            <w:tcW w:w="0" w:type="auto"/>
            <w:tcMar>
              <w:right w:w="142" w:type="dxa"/>
            </w:tcMar>
            <w:hideMark/>
          </w:tcPr>
          <w:p w:rsidR="00F2642F" w:rsidRPr="000B315F" w:rsidRDefault="00F2642F" w:rsidP="00315925">
            <w:pPr>
              <w:spacing w:after="0" w:line="240" w:lineRule="auto"/>
              <w:ind w:left="0"/>
              <w:rPr>
                <w:sz w:val="18"/>
              </w:rPr>
            </w:pPr>
            <w:r w:rsidRPr="000B315F">
              <w:rPr>
                <w:sz w:val="18"/>
              </w:rPr>
              <w:t>Disposal to landfill - material splits</w:t>
            </w:r>
          </w:p>
        </w:tc>
        <w:tc>
          <w:tcPr>
            <w:tcW w:w="0" w:type="auto"/>
            <w:tcMar>
              <w:right w:w="142" w:type="dxa"/>
            </w:tcMar>
            <w:hideMark/>
          </w:tcPr>
          <w:p w:rsidR="00F2642F" w:rsidRPr="000B315F" w:rsidRDefault="00F2642F" w:rsidP="00315925">
            <w:pPr>
              <w:spacing w:after="0" w:line="240" w:lineRule="auto"/>
              <w:ind w:left="0"/>
              <w:rPr>
                <w:sz w:val="18"/>
              </w:rPr>
            </w:pPr>
            <w:r w:rsidRPr="000B315F">
              <w:rPr>
                <w:sz w:val="18"/>
              </w:rPr>
              <w:t>1. Department of Environment and Resource Management (Qld), Waste to landfill and recycling by material type, personal communication, 30 March 2011.</w:t>
            </w:r>
            <w:r w:rsidRPr="000B315F">
              <w:rPr>
                <w:sz w:val="18"/>
              </w:rPr>
              <w:br/>
              <w:t>2. Various MSW waste audits [APC (2007); DECC (2004); Hyder (2008); Murdoch (1999); WACS and Golder (2005); ZWSA (2007)].</w:t>
            </w:r>
            <w:r w:rsidRPr="000B315F">
              <w:rPr>
                <w:sz w:val="18"/>
              </w:rPr>
              <w:br/>
              <w:t>3. Various C&amp;I waste audits [DEC NSW (2003); Golder and WACS (2007); WACS and Golder (2005); ZWSA (2007)].</w:t>
            </w:r>
            <w:r w:rsidRPr="000B315F">
              <w:rPr>
                <w:sz w:val="18"/>
              </w:rPr>
              <w:br/>
              <w:t>4. See "Energy recovery - total quantity" sources above.</w:t>
            </w:r>
          </w:p>
        </w:tc>
        <w:tc>
          <w:tcPr>
            <w:tcW w:w="0" w:type="auto"/>
            <w:tcMar>
              <w:right w:w="142" w:type="dxa"/>
            </w:tcMar>
            <w:hideMark/>
          </w:tcPr>
          <w:p w:rsidR="00F2642F" w:rsidRPr="000B315F" w:rsidRDefault="00F2642F" w:rsidP="00D73762">
            <w:pPr>
              <w:spacing w:after="0" w:line="240" w:lineRule="auto"/>
              <w:ind w:left="59"/>
              <w:rPr>
                <w:sz w:val="18"/>
              </w:rPr>
            </w:pPr>
            <w:r w:rsidRPr="000B315F">
              <w:rPr>
                <w:sz w:val="18"/>
              </w:rPr>
              <w:t>1. The material splits for disposal to landfill in Queensland during 2008</w:t>
            </w:r>
            <w:r w:rsidR="001F7260" w:rsidRPr="00C36C8F">
              <w:t>–</w:t>
            </w:r>
            <w:r w:rsidRPr="000B315F">
              <w:rPr>
                <w:sz w:val="18"/>
              </w:rPr>
              <w:t>09 were based primarily upon DERM (2011) provided material categorised data, which provided a degree of material categorisation.</w:t>
            </w:r>
            <w:r w:rsidR="001F7260" w:rsidRPr="000B315F">
              <w:rPr>
                <w:sz w:val="18"/>
              </w:rPr>
              <w:t xml:space="preserve"> C&amp;D data was provided separately.</w:t>
            </w:r>
            <w:r w:rsidRPr="000B315F">
              <w:rPr>
                <w:sz w:val="18"/>
              </w:rPr>
              <w:t xml:space="preserve"> Two aggregated material categories (relating to MSW and C&amp;I only) were allocated to specific material categories using the available audit data (described in points 2 and 3 immediately below), which were then aggregated to calculate disposal to landfill, by material type, for the </w:t>
            </w:r>
            <w:r w:rsidR="00427BE4" w:rsidRPr="00C36C8F">
              <w:rPr>
                <w:rFonts w:cs="Arial"/>
                <w:sz w:val="18"/>
                <w:szCs w:val="18"/>
              </w:rPr>
              <w:t>jurisdiction</w:t>
            </w:r>
            <w:r w:rsidRPr="00C36C8F">
              <w:rPr>
                <w:rFonts w:cs="Arial"/>
                <w:sz w:val="18"/>
                <w:szCs w:val="18"/>
              </w:rPr>
              <w:t>.</w:t>
            </w:r>
            <w:r w:rsidRPr="000B315F">
              <w:rPr>
                <w:sz w:val="18"/>
              </w:rPr>
              <w:br/>
              <w:t>2. The material splits for the MSW waste stream were estimated based on the available large-scale MSW audit data. The available MSW audit data was weighted against the size of the audits that were undertaken, and then aggregated to generate default (average) material splits in percentage terms.</w:t>
            </w:r>
            <w:r w:rsidRPr="000B315F">
              <w:rPr>
                <w:sz w:val="18"/>
              </w:rPr>
              <w:br/>
              <w:t>3. The material splits for the C&amp;I waste stream were estimated based on the available large-scale C&amp;I audit data. The available C&amp;I audit data was weighted against the size of the audits that were undertaken, and then aggregated to generate default (average) material splits in percentage terms.</w:t>
            </w:r>
            <w:r w:rsidRPr="000B315F">
              <w:rPr>
                <w:sz w:val="18"/>
              </w:rPr>
              <w:br/>
              <w:t>4. An estimate of the relatively small quantity of organic materials 'recovered' through energy recovery, was also subtracted from Queensland disp</w:t>
            </w:r>
            <w:r w:rsidR="001F7260" w:rsidRPr="000B315F">
              <w:rPr>
                <w:sz w:val="18"/>
              </w:rPr>
              <w:t>osal to landfill of organics.</w:t>
            </w:r>
          </w:p>
        </w:tc>
      </w:tr>
      <w:tr w:rsidR="00F2642F" w:rsidRPr="00C36C8F" w:rsidTr="00914B95">
        <w:tblPrEx>
          <w:tblBorders>
            <w:bottom w:val="none" w:sz="0" w:space="0" w:color="auto"/>
            <w:insideH w:val="none" w:sz="0" w:space="0" w:color="auto"/>
          </w:tblBorders>
          <w:tblCellMar>
            <w:left w:w="108" w:type="dxa"/>
            <w:right w:w="108" w:type="dxa"/>
          </w:tblCellMar>
          <w:tblLook w:val="04A0"/>
        </w:tblPrEx>
        <w:trPr>
          <w:cantSplit/>
          <w:trHeight w:val="2895"/>
        </w:trPr>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Recycling - material splits</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1. Department of Environment and Resource Management (Qld), Waste to landfill and recycling by material type, personal communication, 30 March 2011.</w:t>
            </w:r>
            <w:r w:rsidRPr="000B315F">
              <w:rPr>
                <w:sz w:val="18"/>
              </w:rPr>
              <w:br/>
              <w:t xml:space="preserve">2. Recycled Organics Unit, </w:t>
            </w:r>
            <w:r w:rsidRPr="000B315F">
              <w:rPr>
                <w:i/>
                <w:sz w:val="18"/>
              </w:rPr>
              <w:t>Organics Recycling in Australia: Industry Statistics 2009</w:t>
            </w:r>
            <w:r w:rsidRPr="000B315F">
              <w:rPr>
                <w:sz w:val="18"/>
              </w:rPr>
              <w:t>, revised edition December 2009.</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1. The material splits for recycling in Queensland during 2008</w:t>
            </w:r>
            <w:r w:rsidR="001F7260" w:rsidRPr="00C36C8F">
              <w:t>–</w:t>
            </w:r>
            <w:r w:rsidRPr="000B315F">
              <w:rPr>
                <w:sz w:val="18"/>
              </w:rPr>
              <w:t xml:space="preserve">09 were based primarily upon DERM (2011) provided material categorised data, which provided a significant degree of recycled material categorisation. Two aggregated material categories (mostly relating to C&amp;I) were allocated proportionally to specific material categories using the available data, which were then aggregated to calculate recycling, by material type, for the </w:t>
            </w:r>
            <w:r w:rsidR="000C6679" w:rsidRPr="00C36C8F">
              <w:rPr>
                <w:rFonts w:cs="Arial"/>
                <w:sz w:val="18"/>
                <w:szCs w:val="18"/>
              </w:rPr>
              <w:t>jurisdiction</w:t>
            </w:r>
            <w:r w:rsidRPr="00C36C8F">
              <w:rPr>
                <w:rFonts w:cs="Arial"/>
                <w:sz w:val="18"/>
                <w:szCs w:val="18"/>
              </w:rPr>
              <w:t>.</w:t>
            </w:r>
            <w:r w:rsidRPr="000B315F">
              <w:rPr>
                <w:sz w:val="18"/>
              </w:rPr>
              <w:br/>
              <w:t>2. The exception to point 1 above relates to the quantification of organics recycling, which was sourced from ROU (2009). Primary production wastes relating to Recommendation 10 and 11 (Section 3.5) were excluded from the ROU (2009) data.</w:t>
            </w:r>
          </w:p>
        </w:tc>
      </w:tr>
      <w:tr w:rsidR="00F2642F" w:rsidRPr="00C36C8F" w:rsidTr="00914B95">
        <w:tblPrEx>
          <w:tblBorders>
            <w:bottom w:val="none" w:sz="0" w:space="0" w:color="auto"/>
            <w:insideH w:val="none" w:sz="0" w:space="0" w:color="auto"/>
          </w:tblBorders>
          <w:tblCellMar>
            <w:left w:w="108" w:type="dxa"/>
            <w:right w:w="108" w:type="dxa"/>
          </w:tblCellMar>
          <w:tblLook w:val="04A0"/>
        </w:tblPrEx>
        <w:trPr>
          <w:cantSplit/>
          <w:trHeight w:val="270"/>
        </w:trPr>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Energy recovery - material splits</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See sources against "Energy recovery - total quantity" above.</w:t>
            </w:r>
          </w:p>
        </w:tc>
        <w:tc>
          <w:tcPr>
            <w:tcW w:w="0" w:type="auto"/>
            <w:tcBorders>
              <w:top w:val="nil"/>
              <w:left w:val="nil"/>
              <w:bottom w:val="single" w:sz="8" w:space="0" w:color="808080"/>
              <w:right w:val="nil"/>
            </w:tcBorders>
            <w:shd w:val="clear" w:color="auto" w:fill="auto"/>
            <w:tcMar>
              <w:right w:w="142" w:type="dxa"/>
            </w:tcMar>
            <w:hideMark/>
          </w:tcPr>
          <w:p w:rsidR="00F2642F" w:rsidRPr="000B315F" w:rsidRDefault="00F2642F" w:rsidP="00315925">
            <w:pPr>
              <w:spacing w:after="0" w:line="240" w:lineRule="auto"/>
              <w:ind w:left="0"/>
              <w:rPr>
                <w:sz w:val="18"/>
              </w:rPr>
            </w:pPr>
            <w:r w:rsidRPr="000B315F">
              <w:rPr>
                <w:sz w:val="18"/>
              </w:rPr>
              <w:t>See comments against "Energy recovery - total quantity" above.</w:t>
            </w:r>
          </w:p>
        </w:tc>
      </w:tr>
    </w:tbl>
    <w:p w:rsidR="00313465" w:rsidRPr="00C36C8F" w:rsidRDefault="00313465">
      <w:pPr>
        <w:pStyle w:val="ParaIndent"/>
        <w:spacing w:before="120"/>
      </w:pPr>
    </w:p>
    <w:p w:rsidR="000C6679" w:rsidRDefault="000C6679">
      <w:pPr>
        <w:spacing w:after="0" w:line="240" w:lineRule="auto"/>
        <w:ind w:left="0"/>
      </w:pPr>
      <w:r>
        <w:br w:type="page"/>
      </w:r>
    </w:p>
    <w:p w:rsidR="00BE69D2" w:rsidRPr="00C36C8F" w:rsidRDefault="00B9555F" w:rsidP="00F85334">
      <w:pPr>
        <w:pStyle w:val="ParaIndent"/>
        <w:keepNext/>
        <w:spacing w:before="120"/>
        <w:jc w:val="both"/>
      </w:pPr>
      <w:r w:rsidRPr="00C36C8F">
        <w:fldChar w:fldCharType="begin"/>
      </w:r>
      <w:r w:rsidR="00E1600D" w:rsidRPr="00C36C8F">
        <w:instrText xml:space="preserve"> REF _Ref284591121 \h </w:instrText>
      </w:r>
      <w:r w:rsidRPr="00C36C8F">
        <w:fldChar w:fldCharType="separate"/>
      </w:r>
      <w:r w:rsidR="00AE7E3B" w:rsidRPr="00C36C8F">
        <w:t xml:space="preserve">Table </w:t>
      </w:r>
      <w:r w:rsidR="00AE7E3B">
        <w:rPr>
          <w:noProof/>
        </w:rPr>
        <w:t>4</w:t>
      </w:r>
      <w:r w:rsidR="00AE7E3B" w:rsidRPr="00C36C8F">
        <w:t>-</w:t>
      </w:r>
      <w:r w:rsidR="00AE7E3B">
        <w:rPr>
          <w:noProof/>
        </w:rPr>
        <w:t>9</w:t>
      </w:r>
      <w:r w:rsidRPr="00C36C8F">
        <w:fldChar w:fldCharType="end"/>
      </w:r>
      <w:r w:rsidR="00E1600D" w:rsidRPr="00C36C8F">
        <w:t xml:space="preserve"> </w:t>
      </w:r>
      <w:r w:rsidR="00DE05C7" w:rsidRPr="00C36C8F">
        <w:t xml:space="preserve">charts Queensland’s </w:t>
      </w:r>
      <w:r w:rsidR="00313465" w:rsidRPr="00C36C8F">
        <w:t xml:space="preserve">waste </w:t>
      </w:r>
      <w:r w:rsidR="00F5319B" w:rsidRPr="00C36C8F">
        <w:t>disposal, recycling and energy recovery</w:t>
      </w:r>
      <w:r w:rsidR="00DE05C7" w:rsidRPr="00C36C8F">
        <w:t xml:space="preserve"> </w:t>
      </w:r>
      <w:r w:rsidR="0030719F" w:rsidRPr="00C36C8F">
        <w:t>for the years 2002</w:t>
      </w:r>
      <w:r w:rsidR="00E131A2" w:rsidRPr="00C36C8F">
        <w:t>–</w:t>
      </w:r>
      <w:r w:rsidR="0030719F" w:rsidRPr="00C36C8F">
        <w:t xml:space="preserve">03, 2006–07 and 2008–09. Data for 2002–03 and 2006–07 has been taken directly from the previous </w:t>
      </w:r>
      <w:r w:rsidR="0030719F" w:rsidRPr="00C36C8F">
        <w:rPr>
          <w:i/>
        </w:rPr>
        <w:t xml:space="preserve">Waste and Recycling in Australia </w:t>
      </w:r>
      <w:r w:rsidR="0030719F" w:rsidRPr="00C36C8F">
        <w:t xml:space="preserve">reports and </w:t>
      </w:r>
      <w:r w:rsidR="007D2F30" w:rsidRPr="00C36C8F">
        <w:t>has not had the new data compilation method introduced in this report retrospectively applied.</w:t>
      </w:r>
      <w:r w:rsidR="0030719F" w:rsidRPr="00C36C8F">
        <w:t xml:space="preserve"> </w:t>
      </w:r>
    </w:p>
    <w:tbl>
      <w:tblPr>
        <w:tblW w:w="0" w:type="auto"/>
        <w:tblInd w:w="1242" w:type="dxa"/>
        <w:tblLayout w:type="fixed"/>
        <w:tblCellMar>
          <w:left w:w="0" w:type="dxa"/>
          <w:right w:w="0" w:type="dxa"/>
        </w:tblCellMar>
        <w:tblLook w:val="0000"/>
      </w:tblPr>
      <w:tblGrid>
        <w:gridCol w:w="8505"/>
      </w:tblGrid>
      <w:tr w:rsidR="00562131" w:rsidRPr="00C36C8F" w:rsidTr="000B315F">
        <w:tc>
          <w:tcPr>
            <w:tcW w:w="8505" w:type="dxa"/>
          </w:tcPr>
          <w:p w:rsidR="00562131" w:rsidRPr="00C36C8F" w:rsidRDefault="00A11246" w:rsidP="00562131">
            <w:pPr>
              <w:pStyle w:val="Heading40"/>
              <w:tabs>
                <w:tab w:val="clear" w:pos="1134"/>
                <w:tab w:val="left" w:pos="0"/>
              </w:tabs>
              <w:ind w:left="0"/>
            </w:pPr>
            <w:bookmarkStart w:id="165" w:name="_Ref284592011"/>
            <w:r>
              <w:rPr>
                <w:noProof/>
                <w:lang w:eastAsia="en-AU"/>
              </w:rPr>
              <w:drawing>
                <wp:inline distT="0" distB="0" distL="0" distR="0">
                  <wp:extent cx="5167842" cy="2871083"/>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562131" w:rsidRPr="00C36C8F" w:rsidTr="000B315F">
        <w:tblPrEx>
          <w:tblCellMar>
            <w:left w:w="108" w:type="dxa"/>
            <w:right w:w="108" w:type="dxa"/>
          </w:tblCellMar>
        </w:tblPrEx>
        <w:trPr>
          <w:trHeight w:val="549"/>
        </w:trPr>
        <w:tc>
          <w:tcPr>
            <w:tcW w:w="8505" w:type="dxa"/>
          </w:tcPr>
          <w:p w:rsidR="00562131" w:rsidRPr="00C36C8F" w:rsidRDefault="00562131" w:rsidP="00562131">
            <w:pPr>
              <w:pStyle w:val="Caption"/>
            </w:pPr>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15</w:t>
            </w:r>
            <w:r w:rsidR="00B9555F" w:rsidRPr="00C36C8F">
              <w:rPr>
                <w:noProof/>
              </w:rPr>
              <w:fldChar w:fldCharType="end"/>
            </w:r>
            <w:r w:rsidRPr="00C36C8F">
              <w:tab/>
            </w:r>
            <w:r w:rsidR="00121C5C" w:rsidRPr="00C36C8F">
              <w:t>Queensland</w:t>
            </w:r>
            <w:r w:rsidR="007970F7" w:rsidRPr="00C36C8F">
              <w:t xml:space="preserve"> total waste generation, disposal, recycling and energy recovery, 2002–03, 2006–07 &amp; 2008–09</w:t>
            </w:r>
          </w:p>
        </w:tc>
      </w:tr>
      <w:tr w:rsidR="00562131" w:rsidRPr="00C36C8F" w:rsidTr="000B315F">
        <w:tblPrEx>
          <w:tblCellMar>
            <w:left w:w="108" w:type="dxa"/>
            <w:right w:w="108" w:type="dxa"/>
          </w:tblCellMar>
        </w:tblPrEx>
        <w:tc>
          <w:tcPr>
            <w:tcW w:w="8505" w:type="dxa"/>
          </w:tcPr>
          <w:p w:rsidR="007970F7" w:rsidRPr="00C36C8F" w:rsidRDefault="007970F7" w:rsidP="005B65D5">
            <w:pPr>
              <w:pStyle w:val="TableText"/>
              <w:spacing w:line="240" w:lineRule="auto"/>
              <w:rPr>
                <w:sz w:val="16"/>
                <w:szCs w:val="16"/>
              </w:rPr>
            </w:pPr>
            <w:r w:rsidRPr="00C36C8F">
              <w:rPr>
                <w:sz w:val="16"/>
                <w:szCs w:val="16"/>
              </w:rPr>
              <w:t>2002</w:t>
            </w:r>
            <w:r w:rsidR="004A0115">
              <w:rPr>
                <w:sz w:val="16"/>
                <w:szCs w:val="16"/>
              </w:rPr>
              <w:t>–</w:t>
            </w:r>
            <w:r w:rsidRPr="00C36C8F">
              <w:rPr>
                <w:sz w:val="16"/>
                <w:szCs w:val="16"/>
              </w:rPr>
              <w:t>03 and 2006</w:t>
            </w:r>
            <w:r w:rsidR="004A0115">
              <w:rPr>
                <w:rFonts w:cs="Arial"/>
                <w:sz w:val="16"/>
                <w:szCs w:val="16"/>
              </w:rPr>
              <w:t>–</w:t>
            </w:r>
            <w:r w:rsidRPr="00C36C8F">
              <w:rPr>
                <w:sz w:val="16"/>
                <w:szCs w:val="16"/>
              </w:rPr>
              <w:t xml:space="preserve">07 data sources are </w:t>
            </w:r>
            <w:r w:rsidR="005338E9" w:rsidRPr="00C36C8F">
              <w:rPr>
                <w:i/>
                <w:sz w:val="16"/>
                <w:szCs w:val="16"/>
              </w:rPr>
              <w:t>Waste and Recycling in Australia 2009</w:t>
            </w:r>
            <w:r w:rsidRPr="00C36C8F">
              <w:rPr>
                <w:sz w:val="16"/>
                <w:szCs w:val="16"/>
              </w:rPr>
              <w:t>.</w:t>
            </w:r>
          </w:p>
          <w:p w:rsidR="007970F7" w:rsidRPr="00C36C8F" w:rsidRDefault="007970F7" w:rsidP="005B65D5">
            <w:pPr>
              <w:pStyle w:val="TableText"/>
              <w:spacing w:line="240" w:lineRule="auto"/>
              <w:rPr>
                <w:sz w:val="16"/>
                <w:szCs w:val="16"/>
              </w:rPr>
            </w:pPr>
            <w:r w:rsidRPr="00C36C8F">
              <w:rPr>
                <w:sz w:val="16"/>
                <w:szCs w:val="16"/>
              </w:rPr>
              <w:t>2008</w:t>
            </w:r>
            <w:r w:rsidR="004A0115">
              <w:rPr>
                <w:rFonts w:cs="Arial"/>
                <w:sz w:val="16"/>
                <w:szCs w:val="16"/>
              </w:rPr>
              <w:t>–</w:t>
            </w:r>
            <w:r w:rsidRPr="00C36C8F">
              <w:rPr>
                <w:sz w:val="16"/>
                <w:szCs w:val="16"/>
              </w:rPr>
              <w:t>09 “Subtotal” excludes fly ash data.</w:t>
            </w:r>
          </w:p>
          <w:p w:rsidR="00562131" w:rsidRPr="00C36C8F" w:rsidRDefault="007970F7" w:rsidP="004A0115">
            <w:pPr>
              <w:pStyle w:val="TableText"/>
              <w:spacing w:line="240" w:lineRule="auto"/>
              <w:rPr>
                <w:sz w:val="16"/>
                <w:szCs w:val="16"/>
              </w:rPr>
            </w:pPr>
            <w:r w:rsidRPr="00C36C8F">
              <w:rPr>
                <w:sz w:val="16"/>
                <w:szCs w:val="16"/>
              </w:rPr>
              <w:t>2008</w:t>
            </w:r>
            <w:r w:rsidR="004A0115">
              <w:rPr>
                <w:rFonts w:cs="Arial"/>
                <w:sz w:val="16"/>
                <w:szCs w:val="16"/>
              </w:rPr>
              <w:t>–</w:t>
            </w:r>
            <w:r w:rsidRPr="00C36C8F">
              <w:rPr>
                <w:sz w:val="16"/>
                <w:szCs w:val="16"/>
              </w:rPr>
              <w:t>09 “Total” include fly ash data.</w:t>
            </w:r>
          </w:p>
        </w:tc>
      </w:tr>
    </w:tbl>
    <w:p w:rsidR="002D5AC8" w:rsidRPr="00C36C8F" w:rsidRDefault="00B9555F" w:rsidP="00F85334">
      <w:pPr>
        <w:pStyle w:val="ParaIndent"/>
        <w:keepNext/>
        <w:spacing w:before="120"/>
        <w:jc w:val="both"/>
      </w:pPr>
      <w:r w:rsidRPr="00C36C8F">
        <w:fldChar w:fldCharType="begin"/>
      </w:r>
      <w:r w:rsidR="00293185" w:rsidRPr="00C36C8F">
        <w:instrText xml:space="preserve"> REF _Ref287276650 \h </w:instrText>
      </w:r>
      <w:r w:rsidRPr="00C36C8F">
        <w:fldChar w:fldCharType="separate"/>
      </w:r>
      <w:r w:rsidR="00AE7E3B" w:rsidRPr="00C36C8F">
        <w:t xml:space="preserve">Table </w:t>
      </w:r>
      <w:r w:rsidR="00AE7E3B">
        <w:rPr>
          <w:noProof/>
        </w:rPr>
        <w:t>4</w:t>
      </w:r>
      <w:r w:rsidR="00AE7E3B" w:rsidRPr="00C36C8F">
        <w:t>-</w:t>
      </w:r>
      <w:r w:rsidR="00AE7E3B">
        <w:rPr>
          <w:noProof/>
        </w:rPr>
        <w:t>22</w:t>
      </w:r>
      <w:r w:rsidRPr="00C36C8F">
        <w:fldChar w:fldCharType="end"/>
      </w:r>
      <w:r w:rsidR="00293185" w:rsidRPr="00C36C8F">
        <w:t xml:space="preserve"> </w:t>
      </w:r>
      <w:r w:rsidR="002D5AC8" w:rsidRPr="00C36C8F">
        <w:t>details Queensland’s waste generation and disposal data by material for 2008</w:t>
      </w:r>
      <w:r w:rsidR="00E131A2" w:rsidRPr="00C36C8F">
        <w:t>–</w:t>
      </w:r>
      <w:r w:rsidR="002D5AC8" w:rsidRPr="00C36C8F">
        <w:t>09, and compares the associated per capita disposal (</w:t>
      </w:r>
      <w:r w:rsidR="00921E93" w:rsidRPr="00C36C8F">
        <w:t>k</w:t>
      </w:r>
      <w:r w:rsidR="002D5AC8" w:rsidRPr="00C36C8F">
        <w:t>g) for Queensland with the national average for all jurisdictions.</w:t>
      </w:r>
    </w:p>
    <w:p w:rsidR="00DE05C7" w:rsidRPr="00C36C8F" w:rsidRDefault="00DE05C7" w:rsidP="00DE05C7">
      <w:pPr>
        <w:pStyle w:val="Caption"/>
        <w:tabs>
          <w:tab w:val="left" w:pos="7275"/>
        </w:tabs>
      </w:pPr>
      <w:bookmarkStart w:id="166" w:name="_Ref287276650"/>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22</w:t>
      </w:r>
      <w:r w:rsidR="00B9555F" w:rsidRPr="00C36C8F">
        <w:rPr>
          <w:noProof/>
        </w:rPr>
        <w:fldChar w:fldCharType="end"/>
      </w:r>
      <w:bookmarkEnd w:id="165"/>
      <w:bookmarkEnd w:id="166"/>
      <w:r w:rsidRPr="00C36C8F">
        <w:tab/>
      </w:r>
      <w:r w:rsidR="006F6D79" w:rsidRPr="00C36C8F">
        <w:t>Queensland</w:t>
      </w:r>
      <w:r w:rsidRPr="00C36C8F">
        <w:t xml:space="preserve"> generation and dis</w:t>
      </w:r>
      <w:r w:rsidR="006F6D79" w:rsidRPr="00C36C8F">
        <w:t>posal data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6F6D79" w:rsidRPr="008170A4" w:rsidTr="006F6D79">
        <w:tc>
          <w:tcPr>
            <w:tcW w:w="4111" w:type="dxa"/>
            <w:gridSpan w:val="2"/>
            <w:tcBorders>
              <w:right w:val="single" w:sz="4" w:space="0" w:color="808080"/>
            </w:tcBorders>
            <w:shd w:val="clear" w:color="auto" w:fill="auto"/>
            <w:vAlign w:val="center"/>
          </w:tcPr>
          <w:p w:rsidR="006F6D79" w:rsidRPr="008170A4" w:rsidRDefault="006F6D79" w:rsidP="003B428C">
            <w:pPr>
              <w:pStyle w:val="TableHeading"/>
              <w:keepLines/>
              <w:jc w:val="center"/>
              <w:rPr>
                <w:rFonts w:cs="Arial"/>
                <w:kern w:val="28"/>
                <w:szCs w:val="18"/>
              </w:rPr>
            </w:pPr>
          </w:p>
        </w:tc>
        <w:tc>
          <w:tcPr>
            <w:tcW w:w="1329"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Qld waste generation</w:t>
            </w:r>
          </w:p>
        </w:tc>
        <w:tc>
          <w:tcPr>
            <w:tcW w:w="2658" w:type="dxa"/>
            <w:gridSpan w:val="2"/>
            <w:tcBorders>
              <w:top w:val="nil"/>
              <w:left w:val="single" w:sz="8" w:space="0" w:color="808080" w:themeColor="background1" w:themeShade="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Qld waste disposal</w:t>
            </w:r>
          </w:p>
        </w:tc>
        <w:tc>
          <w:tcPr>
            <w:tcW w:w="1329" w:type="dxa"/>
            <w:tcBorders>
              <w:lef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National average disposal</w:t>
            </w:r>
          </w:p>
        </w:tc>
      </w:tr>
      <w:tr w:rsidR="006F6D79" w:rsidRPr="008170A4" w:rsidTr="006F6D79">
        <w:tc>
          <w:tcPr>
            <w:tcW w:w="2127" w:type="dxa"/>
            <w:tcBorders>
              <w:bottom w:val="single" w:sz="4" w:space="0" w:color="808080"/>
              <w:right w:val="nil"/>
            </w:tcBorders>
            <w:shd w:val="clear" w:color="auto" w:fill="auto"/>
          </w:tcPr>
          <w:p w:rsidR="006F6D79" w:rsidRPr="008170A4" w:rsidRDefault="006F6D79" w:rsidP="006170C4">
            <w:pPr>
              <w:pStyle w:val="TableHeading"/>
              <w:keepLines/>
              <w:jc w:val="center"/>
              <w:rPr>
                <w:rFonts w:cs="Arial"/>
                <w:kern w:val="28"/>
                <w:szCs w:val="18"/>
              </w:rPr>
            </w:pPr>
            <w:r w:rsidRPr="008170A4">
              <w:rPr>
                <w:rFonts w:cs="Arial"/>
                <w:kern w:val="28"/>
                <w:szCs w:val="18"/>
              </w:rPr>
              <w:t>Ma</w:t>
            </w:r>
            <w:r w:rsidR="006170C4" w:rsidRPr="008170A4">
              <w:rPr>
                <w:rFonts w:cs="Arial"/>
                <w:kern w:val="28"/>
                <w:szCs w:val="18"/>
              </w:rPr>
              <w:t>terial Ca</w:t>
            </w:r>
            <w:r w:rsidRPr="008170A4">
              <w:rPr>
                <w:rFonts w:cs="Arial"/>
                <w:kern w:val="28"/>
                <w:szCs w:val="18"/>
              </w:rPr>
              <w:t>tegory</w:t>
            </w:r>
          </w:p>
        </w:tc>
        <w:tc>
          <w:tcPr>
            <w:tcW w:w="1984" w:type="dxa"/>
            <w:tcBorders>
              <w:left w:val="nil"/>
              <w:bottom w:val="single" w:sz="4" w:space="0" w:color="808080"/>
              <w:right w:val="single" w:sz="4" w:space="0" w:color="808080"/>
            </w:tcBorders>
            <w:shd w:val="clear" w:color="auto" w:fill="auto"/>
          </w:tcPr>
          <w:p w:rsidR="006F6D79" w:rsidRPr="008170A4" w:rsidRDefault="006170C4" w:rsidP="006F6D79">
            <w:pPr>
              <w:pStyle w:val="TableHeading"/>
              <w:keepLines/>
              <w:jc w:val="center"/>
              <w:rPr>
                <w:rFonts w:cs="Arial"/>
                <w:kern w:val="28"/>
                <w:szCs w:val="18"/>
              </w:rPr>
            </w:pPr>
            <w:r w:rsidRPr="008170A4">
              <w:rPr>
                <w:rFonts w:cs="Arial"/>
                <w:kern w:val="28"/>
                <w:szCs w:val="1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kg per capita</w:t>
            </w:r>
          </w:p>
        </w:tc>
        <w:tc>
          <w:tcPr>
            <w:tcW w:w="1329" w:type="dxa"/>
            <w:tcBorders>
              <w:left w:val="single" w:sz="8" w:space="0" w:color="808080" w:themeColor="background1" w:themeShade="80"/>
            </w:tcBorders>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kg per capita</w:t>
            </w:r>
          </w:p>
        </w:tc>
      </w:tr>
      <w:tr w:rsidR="00476BAA" w:rsidRPr="008170A4" w:rsidTr="006F6D79">
        <w:tc>
          <w:tcPr>
            <w:tcW w:w="2127" w:type="dxa"/>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szCs w:val="18"/>
              </w:rPr>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8170A4" w:rsidRDefault="00476BAA"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2,617,500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1,433,700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325</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312</w:t>
            </w:r>
          </w:p>
        </w:tc>
      </w:tr>
      <w:tr w:rsidR="00476BAA" w:rsidRPr="008170A4" w:rsidTr="006F6D79">
        <w:tc>
          <w:tcPr>
            <w:tcW w:w="2127" w:type="dxa"/>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szCs w:val="18"/>
              </w:rPr>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8170A4" w:rsidRDefault="00476BAA"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788,700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100,900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23</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24</w:t>
            </w:r>
          </w:p>
        </w:tc>
      </w:tr>
      <w:tr w:rsidR="00476BAA" w:rsidRPr="008170A4" w:rsidTr="006F6D79">
        <w:tc>
          <w:tcPr>
            <w:tcW w:w="2127" w:type="dxa"/>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szCs w:val="18"/>
              </w:rPr>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8170A4" w:rsidRDefault="00476BAA"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2,861,100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1,756,000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398</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332</w:t>
            </w:r>
          </w:p>
        </w:tc>
      </w:tr>
      <w:tr w:rsidR="00476BAA" w:rsidRPr="008170A4" w:rsidTr="006F6D79">
        <w:tc>
          <w:tcPr>
            <w:tcW w:w="2127" w:type="dxa"/>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szCs w:val="18"/>
              </w:rPr>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8170A4" w:rsidRDefault="00476BAA"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978,500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449,400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102</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113</w:t>
            </w:r>
          </w:p>
        </w:tc>
      </w:tr>
      <w:tr w:rsidR="00476BAA" w:rsidRPr="008170A4" w:rsidTr="006F6D79">
        <w:tc>
          <w:tcPr>
            <w:tcW w:w="2127" w:type="dxa"/>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szCs w:val="18"/>
              </w:rPr>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8170A4" w:rsidRDefault="00476BAA"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389,700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350,500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80</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80</w:t>
            </w:r>
          </w:p>
        </w:tc>
      </w:tr>
      <w:tr w:rsidR="00476BAA" w:rsidRPr="008170A4" w:rsidTr="006F6D79">
        <w:tc>
          <w:tcPr>
            <w:tcW w:w="2127" w:type="dxa"/>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szCs w:val="18"/>
              </w:rPr>
              <w:t>Glass</w:t>
            </w:r>
            <w:r w:rsidRPr="008170A4" w:rsidDel="00304A95">
              <w:rPr>
                <w:rFonts w:cs="Arial"/>
                <w:szCs w:val="18"/>
              </w:rPr>
              <w:t xml:space="preserve"> </w:t>
            </w:r>
          </w:p>
        </w:tc>
        <w:tc>
          <w:tcPr>
            <w:tcW w:w="1984" w:type="dxa"/>
            <w:tcBorders>
              <w:top w:val="single" w:sz="4" w:space="0" w:color="808080"/>
              <w:left w:val="nil"/>
              <w:bottom w:val="single" w:sz="4" w:space="0" w:color="808080"/>
              <w:right w:val="single" w:sz="4" w:space="0" w:color="808080"/>
            </w:tcBorders>
            <w:vAlign w:val="center"/>
          </w:tcPr>
          <w:p w:rsidR="00476BAA" w:rsidRPr="008170A4" w:rsidRDefault="00476BAA"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294,400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99,400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23</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21</w:t>
            </w:r>
          </w:p>
        </w:tc>
      </w:tr>
      <w:tr w:rsidR="00476BAA" w:rsidRPr="008170A4" w:rsidTr="006170C4">
        <w:tc>
          <w:tcPr>
            <w:tcW w:w="2127" w:type="dxa"/>
            <w:vMerge w:val="restart"/>
            <w:tcBorders>
              <w:top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szCs w:val="18"/>
              </w:rPr>
              <w:t>Other</w:t>
            </w:r>
          </w:p>
        </w:tc>
        <w:tc>
          <w:tcPr>
            <w:tcW w:w="1984" w:type="dxa"/>
            <w:tcBorders>
              <w:top w:val="single" w:sz="4" w:space="0" w:color="808080"/>
              <w:left w:val="nil"/>
              <w:bottom w:val="single" w:sz="4" w:space="0" w:color="808080"/>
              <w:right w:val="single" w:sz="4" w:space="0" w:color="808080"/>
            </w:tcBorders>
            <w:vAlign w:val="center"/>
          </w:tcPr>
          <w:p w:rsidR="00476BAA" w:rsidRPr="008170A4" w:rsidRDefault="00476BAA" w:rsidP="006F6D79">
            <w:pPr>
              <w:pStyle w:val="TableText"/>
              <w:keepNext/>
              <w:keepLines/>
              <w:rPr>
                <w:rFonts w:cs="Arial"/>
                <w:szCs w:val="18"/>
              </w:rPr>
            </w:pPr>
            <w:r w:rsidRPr="008170A4">
              <w:rPr>
                <w:rFonts w:cs="Arial"/>
                <w:szCs w:val="18"/>
              </w:rPr>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95,500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95,500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22</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22</w:t>
            </w:r>
          </w:p>
        </w:tc>
      </w:tr>
      <w:tr w:rsidR="00476BAA" w:rsidRPr="008170A4" w:rsidTr="006170C4">
        <w:tc>
          <w:tcPr>
            <w:tcW w:w="2127" w:type="dxa"/>
            <w:vMerge/>
            <w:tcBorders>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p>
        </w:tc>
        <w:tc>
          <w:tcPr>
            <w:tcW w:w="1984" w:type="dxa"/>
            <w:tcBorders>
              <w:top w:val="single" w:sz="4" w:space="0" w:color="808080"/>
              <w:left w:val="nil"/>
              <w:bottom w:val="single" w:sz="4" w:space="0" w:color="808080"/>
              <w:right w:val="single" w:sz="4" w:space="0" w:color="808080"/>
            </w:tcBorders>
            <w:vAlign w:val="center"/>
          </w:tcPr>
          <w:p w:rsidR="00476BAA" w:rsidRPr="008170A4" w:rsidRDefault="00476BAA" w:rsidP="006F6D79">
            <w:pPr>
              <w:pStyle w:val="TableText"/>
              <w:keepNext/>
              <w:keepLines/>
              <w:rPr>
                <w:rFonts w:cs="Arial"/>
                <w:szCs w:val="18"/>
              </w:rPr>
            </w:pPr>
            <w:r w:rsidRPr="008170A4">
              <w:rPr>
                <w:rFonts w:cs="Arial"/>
                <w:szCs w:val="18"/>
              </w:rPr>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62,000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62,000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14</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12</w:t>
            </w:r>
          </w:p>
        </w:tc>
      </w:tr>
      <w:tr w:rsidR="00476BAA" w:rsidRPr="008170A4" w:rsidTr="006F6D79">
        <w:tc>
          <w:tcPr>
            <w:tcW w:w="2127" w:type="dxa"/>
            <w:vMerge w:val="restart"/>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szCs w:val="18"/>
              </w:rPr>
              <w:t>Hazardous</w:t>
            </w:r>
          </w:p>
        </w:tc>
        <w:tc>
          <w:tcPr>
            <w:tcW w:w="1984" w:type="dxa"/>
            <w:tcBorders>
              <w:top w:val="single" w:sz="4" w:space="0" w:color="808080"/>
              <w:left w:val="nil"/>
              <w:bottom w:val="single" w:sz="4" w:space="0" w:color="808080"/>
              <w:right w:val="single" w:sz="4" w:space="0" w:color="808080"/>
            </w:tcBorders>
            <w:vAlign w:val="center"/>
          </w:tcPr>
          <w:p w:rsidR="00476BAA" w:rsidRPr="008170A4" w:rsidRDefault="00476BAA" w:rsidP="006F6D79">
            <w:pPr>
              <w:pStyle w:val="TableText"/>
              <w:keepNext/>
              <w:keepLines/>
              <w:rPr>
                <w:rFonts w:cs="Arial"/>
                <w:szCs w:val="18"/>
              </w:rPr>
            </w:pPr>
            <w:r w:rsidRPr="008170A4">
              <w:rPr>
                <w:rFonts w:cs="Arial"/>
                <w:szCs w:val="18"/>
              </w:rPr>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1</w:t>
            </w:r>
          </w:p>
        </w:tc>
      </w:tr>
      <w:tr w:rsidR="00476BAA" w:rsidRPr="008170A4" w:rsidTr="006F6D79">
        <w:tc>
          <w:tcPr>
            <w:tcW w:w="2127" w:type="dxa"/>
            <w:vMerge/>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p>
        </w:tc>
        <w:tc>
          <w:tcPr>
            <w:tcW w:w="1984" w:type="dxa"/>
            <w:tcBorders>
              <w:top w:val="single" w:sz="4" w:space="0" w:color="808080"/>
              <w:left w:val="nil"/>
              <w:bottom w:val="single" w:sz="4" w:space="0" w:color="808080"/>
              <w:right w:val="single" w:sz="4" w:space="0" w:color="808080"/>
            </w:tcBorders>
            <w:vAlign w:val="center"/>
          </w:tcPr>
          <w:p w:rsidR="00476BAA" w:rsidRPr="008170A4" w:rsidRDefault="00476BAA" w:rsidP="006F6D79">
            <w:pPr>
              <w:pStyle w:val="TableText"/>
              <w:keepNext/>
              <w:keepLines/>
              <w:rPr>
                <w:rFonts w:cs="Arial"/>
                <w:szCs w:val="18"/>
              </w:rPr>
            </w:pPr>
            <w:r w:rsidRPr="008170A4">
              <w:rPr>
                <w:rFonts w:cs="Arial"/>
                <w:szCs w:val="18"/>
              </w:rPr>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712,700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536,300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122</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57</w:t>
            </w:r>
          </w:p>
        </w:tc>
      </w:tr>
      <w:tr w:rsidR="00476BAA" w:rsidRPr="008170A4" w:rsidTr="006F6D79">
        <w:tc>
          <w:tcPr>
            <w:tcW w:w="2127" w:type="dxa"/>
            <w:vMerge/>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p>
        </w:tc>
        <w:tc>
          <w:tcPr>
            <w:tcW w:w="1984" w:type="dxa"/>
            <w:tcBorders>
              <w:top w:val="single" w:sz="4" w:space="0" w:color="808080"/>
              <w:left w:val="nil"/>
              <w:bottom w:val="single" w:sz="4" w:space="0" w:color="808080"/>
              <w:right w:val="single" w:sz="4" w:space="0" w:color="808080"/>
            </w:tcBorders>
            <w:vAlign w:val="center"/>
          </w:tcPr>
          <w:p w:rsidR="00476BAA" w:rsidRPr="008170A4" w:rsidRDefault="00476BAA" w:rsidP="006F6D79">
            <w:pPr>
              <w:pStyle w:val="TableText"/>
              <w:keepNext/>
              <w:keepLines/>
              <w:rPr>
                <w:rFonts w:cs="Arial"/>
                <w:szCs w:val="18"/>
              </w:rPr>
            </w:pPr>
            <w:r w:rsidRPr="008170A4">
              <w:rPr>
                <w:rFonts w:cs="Arial"/>
                <w:szCs w:val="18"/>
              </w:rPr>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400,900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179,400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41</w:t>
            </w:r>
          </w:p>
        </w:tc>
        <w:tc>
          <w:tcPr>
            <w:tcW w:w="1329" w:type="dxa"/>
            <w:tcBorders>
              <w:left w:val="single" w:sz="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34</w:t>
            </w:r>
          </w:p>
        </w:tc>
      </w:tr>
      <w:tr w:rsidR="00476BAA" w:rsidRPr="008170A4" w:rsidTr="006F6D79">
        <w:tc>
          <w:tcPr>
            <w:tcW w:w="2127" w:type="dxa"/>
            <w:vMerge/>
            <w:tcBorders>
              <w:top w:val="single" w:sz="4" w:space="0" w:color="8080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p>
        </w:tc>
        <w:tc>
          <w:tcPr>
            <w:tcW w:w="1984" w:type="dxa"/>
            <w:tcBorders>
              <w:top w:val="single" w:sz="4" w:space="0" w:color="808080"/>
              <w:left w:val="nil"/>
              <w:bottom w:val="single" w:sz="4" w:space="0" w:color="808080"/>
              <w:right w:val="single" w:sz="4" w:space="0" w:color="808080"/>
            </w:tcBorders>
            <w:vAlign w:val="center"/>
          </w:tcPr>
          <w:p w:rsidR="00476BAA" w:rsidRPr="008170A4" w:rsidRDefault="00476BAA" w:rsidP="006F6D79">
            <w:pPr>
              <w:pStyle w:val="TableText"/>
              <w:keepNext/>
              <w:keepLines/>
              <w:rPr>
                <w:rFonts w:cs="Arial"/>
                <w:szCs w:val="18"/>
              </w:rPr>
            </w:pPr>
            <w:r w:rsidRPr="008170A4">
              <w:rPr>
                <w:rFonts w:cs="Arial"/>
                <w:szCs w:val="18"/>
              </w:rPr>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44,200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44,200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10</w:t>
            </w:r>
          </w:p>
        </w:tc>
        <w:tc>
          <w:tcPr>
            <w:tcW w:w="1329" w:type="dxa"/>
            <w:tcBorders>
              <w:left w:val="single" w:sz="8" w:space="0" w:color="808080" w:themeColor="background1" w:themeShade="80"/>
              <w:bottom w:val="single" w:sz="4" w:space="0" w:color="8080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25</w:t>
            </w:r>
          </w:p>
        </w:tc>
      </w:tr>
      <w:tr w:rsidR="00476BAA" w:rsidRPr="008170A4" w:rsidTr="006F6D79">
        <w:tc>
          <w:tcPr>
            <w:tcW w:w="2127" w:type="dxa"/>
            <w:tcBorders>
              <w:top w:val="single" w:sz="4" w:space="0" w:color="808080"/>
              <w:bottom w:val="single" w:sz="18" w:space="0" w:color="808080" w:themeColor="background1" w:themeShade="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b/>
                <w:szCs w:val="18"/>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476BAA" w:rsidRPr="008170A4" w:rsidRDefault="00476BAA" w:rsidP="006F6D79">
            <w:pPr>
              <w:pStyle w:val="TableText"/>
              <w:keepNext/>
              <w:keepLines/>
              <w:rPr>
                <w:rFonts w:cs="Arial"/>
                <w:szCs w:val="18"/>
              </w:rPr>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b/>
                <w:szCs w:val="18"/>
              </w:rPr>
            </w:pPr>
            <w:r w:rsidRPr="00A11246">
              <w:rPr>
                <w:rFonts w:cs="Arial"/>
                <w:b/>
                <w:bCs/>
                <w:color w:val="000000"/>
                <w:szCs w:val="18"/>
              </w:rPr>
              <w:t>9,245,200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b/>
                <w:szCs w:val="18"/>
              </w:rPr>
            </w:pPr>
            <w:r w:rsidRPr="00A11246">
              <w:rPr>
                <w:rFonts w:cs="Arial"/>
                <w:b/>
                <w:bCs/>
                <w:color w:val="000000"/>
                <w:szCs w:val="18"/>
              </w:rPr>
              <w:t>5,107,300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b/>
                <w:szCs w:val="18"/>
              </w:rPr>
            </w:pPr>
            <w:r w:rsidRPr="00A11246">
              <w:rPr>
                <w:rFonts w:cs="Arial"/>
                <w:b/>
                <w:bCs/>
                <w:color w:val="000000"/>
                <w:szCs w:val="18"/>
              </w:rPr>
              <w:t>1,159</w:t>
            </w:r>
          </w:p>
        </w:tc>
        <w:tc>
          <w:tcPr>
            <w:tcW w:w="1329"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476BAA" w:rsidRDefault="00476BAA" w:rsidP="006F6D79">
            <w:pPr>
              <w:pStyle w:val="TableText"/>
              <w:keepNext/>
              <w:keepLines/>
              <w:jc w:val="right"/>
              <w:rPr>
                <w:rFonts w:cs="Arial"/>
                <w:b/>
                <w:szCs w:val="18"/>
              </w:rPr>
            </w:pPr>
            <w:r w:rsidRPr="00476BAA">
              <w:rPr>
                <w:rFonts w:cs="Arial"/>
                <w:b/>
                <w:bCs/>
                <w:color w:val="000000"/>
                <w:szCs w:val="18"/>
              </w:rPr>
              <w:t>1,035</w:t>
            </w:r>
          </w:p>
        </w:tc>
      </w:tr>
      <w:tr w:rsidR="00476BAA" w:rsidRPr="008170A4" w:rsidTr="006F6D79">
        <w:tc>
          <w:tcPr>
            <w:tcW w:w="2127" w:type="dxa"/>
            <w:tcBorders>
              <w:top w:val="single" w:sz="18" w:space="0" w:color="808080" w:themeColor="background1" w:themeShade="80"/>
              <w:bottom w:val="single" w:sz="4" w:space="0" w:color="8080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szCs w:val="18"/>
              </w:rPr>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476BAA" w:rsidRPr="008170A4" w:rsidRDefault="00476BAA" w:rsidP="006F6D79">
            <w:pPr>
              <w:pStyle w:val="TableText"/>
              <w:keepNext/>
              <w:keepLines/>
              <w:rPr>
                <w:rFonts w:cs="Arial"/>
                <w:szCs w:val="18"/>
              </w:rPr>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5,843,700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4,914,100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szCs w:val="18"/>
              </w:rPr>
            </w:pPr>
            <w:r w:rsidRPr="00A11246">
              <w:rPr>
                <w:rFonts w:cs="Arial"/>
                <w:color w:val="000000"/>
                <w:szCs w:val="18"/>
              </w:rPr>
              <w:t>1,115</w:t>
            </w:r>
          </w:p>
        </w:tc>
        <w:tc>
          <w:tcPr>
            <w:tcW w:w="1329" w:type="dxa"/>
            <w:tcBorders>
              <w:top w:val="single" w:sz="18" w:space="0" w:color="808080" w:themeColor="background1" w:themeShade="80"/>
              <w:left w:val="single" w:sz="8" w:space="0" w:color="808080" w:themeColor="background1" w:themeShade="80"/>
              <w:bottom w:val="single" w:sz="4" w:space="0" w:color="808080"/>
            </w:tcBorders>
            <w:tcMar>
              <w:right w:w="142" w:type="dxa"/>
            </w:tcMar>
            <w:vAlign w:val="center"/>
          </w:tcPr>
          <w:p w:rsidR="00476BAA" w:rsidRPr="00476BAA" w:rsidRDefault="00476BAA" w:rsidP="006F6D79">
            <w:pPr>
              <w:pStyle w:val="TableText"/>
              <w:keepNext/>
              <w:keepLines/>
              <w:jc w:val="right"/>
              <w:rPr>
                <w:rFonts w:cs="Arial"/>
                <w:szCs w:val="18"/>
              </w:rPr>
            </w:pPr>
            <w:r w:rsidRPr="00476BAA">
              <w:rPr>
                <w:rFonts w:cs="Arial"/>
                <w:color w:val="000000"/>
                <w:szCs w:val="18"/>
              </w:rPr>
              <w:t>532</w:t>
            </w:r>
          </w:p>
        </w:tc>
      </w:tr>
      <w:tr w:rsidR="00476BAA" w:rsidRPr="008170A4" w:rsidTr="006F6D79">
        <w:tc>
          <w:tcPr>
            <w:tcW w:w="2127" w:type="dxa"/>
            <w:tcBorders>
              <w:top w:val="single" w:sz="4" w:space="0" w:color="808080"/>
              <w:bottom w:val="single" w:sz="18" w:space="0" w:color="7F7F7F" w:themeColor="text1" w:themeTint="80"/>
              <w:right w:val="nil"/>
            </w:tcBorders>
            <w:shd w:val="clear" w:color="auto" w:fill="auto"/>
            <w:vAlign w:val="center"/>
          </w:tcPr>
          <w:p w:rsidR="00476BAA" w:rsidRPr="008170A4" w:rsidRDefault="00476BAA" w:rsidP="006F6D79">
            <w:pPr>
              <w:pStyle w:val="TableText"/>
              <w:keepNext/>
              <w:keepLines/>
              <w:rPr>
                <w:rFonts w:cs="Arial"/>
                <w:szCs w:val="18"/>
              </w:rPr>
            </w:pPr>
            <w:r w:rsidRPr="008170A4">
              <w:rPr>
                <w:rFonts w:cs="Arial"/>
                <w:b/>
                <w:szCs w:val="18"/>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476BAA" w:rsidRPr="008170A4" w:rsidRDefault="00476BAA" w:rsidP="006F6D79">
            <w:pPr>
              <w:pStyle w:val="TableText"/>
              <w:keepNext/>
              <w:keepLines/>
              <w:rPr>
                <w:rFonts w:cs="Arial"/>
                <w:szCs w:val="18"/>
              </w:rPr>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b/>
                <w:szCs w:val="18"/>
              </w:rPr>
            </w:pPr>
            <w:r w:rsidRPr="00A11246">
              <w:rPr>
                <w:rFonts w:cs="Arial"/>
                <w:b/>
                <w:bCs/>
                <w:color w:val="000000"/>
                <w:szCs w:val="18"/>
              </w:rPr>
              <w:t>15,088,900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b/>
                <w:szCs w:val="18"/>
              </w:rPr>
            </w:pPr>
            <w:r w:rsidRPr="00A11246">
              <w:rPr>
                <w:rFonts w:cs="Arial"/>
                <w:b/>
                <w:bCs/>
                <w:color w:val="000000"/>
                <w:szCs w:val="18"/>
              </w:rPr>
              <w:t>10,021,400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A11246" w:rsidRDefault="00476BAA" w:rsidP="006F6D79">
            <w:pPr>
              <w:pStyle w:val="TableText"/>
              <w:keepNext/>
              <w:keepLines/>
              <w:jc w:val="right"/>
              <w:rPr>
                <w:rFonts w:cs="Arial"/>
                <w:b/>
                <w:szCs w:val="18"/>
              </w:rPr>
            </w:pPr>
            <w:r w:rsidRPr="00A11246">
              <w:rPr>
                <w:rFonts w:cs="Arial"/>
                <w:b/>
                <w:bCs/>
                <w:color w:val="000000"/>
                <w:szCs w:val="18"/>
              </w:rPr>
              <w:t>2,274</w:t>
            </w:r>
          </w:p>
        </w:tc>
        <w:tc>
          <w:tcPr>
            <w:tcW w:w="1329" w:type="dxa"/>
            <w:tcBorders>
              <w:top w:val="single" w:sz="4" w:space="0" w:color="808080"/>
              <w:left w:val="single" w:sz="8" w:space="0" w:color="808080" w:themeColor="background1" w:themeShade="80"/>
              <w:bottom w:val="single" w:sz="18" w:space="0" w:color="7F7F7F" w:themeColor="text1" w:themeTint="80"/>
            </w:tcBorders>
            <w:tcMar>
              <w:right w:w="142" w:type="dxa"/>
            </w:tcMar>
            <w:vAlign w:val="center"/>
          </w:tcPr>
          <w:p w:rsidR="00476BAA" w:rsidRPr="00476BAA" w:rsidRDefault="00476BAA" w:rsidP="006F6D79">
            <w:pPr>
              <w:pStyle w:val="TableText"/>
              <w:keepNext/>
              <w:keepLines/>
              <w:jc w:val="right"/>
              <w:rPr>
                <w:rFonts w:cs="Arial"/>
                <w:b/>
                <w:szCs w:val="18"/>
              </w:rPr>
            </w:pPr>
            <w:r w:rsidRPr="00476BAA">
              <w:rPr>
                <w:rFonts w:cs="Arial"/>
                <w:b/>
                <w:bCs/>
                <w:color w:val="000000"/>
                <w:szCs w:val="18"/>
              </w:rPr>
              <w:t>1,567</w:t>
            </w:r>
          </w:p>
        </w:tc>
      </w:tr>
    </w:tbl>
    <w:p w:rsidR="006F6D79" w:rsidRPr="00C36C8F" w:rsidRDefault="006F6D79" w:rsidP="006F6D79">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802C9D" w:rsidRPr="00C36C8F" w:rsidRDefault="00802C9D" w:rsidP="000B315F">
      <w:pPr>
        <w:pStyle w:val="ParaIndent"/>
        <w:spacing w:before="120"/>
      </w:pPr>
    </w:p>
    <w:p w:rsidR="00802C9D" w:rsidRPr="00C36C8F" w:rsidRDefault="00B9555F" w:rsidP="00F85334">
      <w:pPr>
        <w:pStyle w:val="ParaIndent"/>
        <w:keepNext/>
        <w:keepLines/>
        <w:spacing w:before="120"/>
        <w:jc w:val="both"/>
      </w:pPr>
      <w:r w:rsidRPr="00C36C8F">
        <w:fldChar w:fldCharType="begin"/>
      </w:r>
      <w:r w:rsidR="00802C9D" w:rsidRPr="00C36C8F">
        <w:instrText xml:space="preserve"> REF _Ref284592052 \h </w:instrText>
      </w:r>
      <w:r w:rsidRPr="00C36C8F">
        <w:fldChar w:fldCharType="separate"/>
      </w:r>
      <w:r w:rsidR="00AE7E3B" w:rsidRPr="00C36C8F">
        <w:t xml:space="preserve">Table </w:t>
      </w:r>
      <w:r w:rsidR="00AE7E3B">
        <w:rPr>
          <w:noProof/>
        </w:rPr>
        <w:t>4</w:t>
      </w:r>
      <w:r w:rsidR="00AE7E3B" w:rsidRPr="00C36C8F">
        <w:t>-</w:t>
      </w:r>
      <w:r w:rsidR="00AE7E3B">
        <w:rPr>
          <w:noProof/>
        </w:rPr>
        <w:t>23</w:t>
      </w:r>
      <w:r w:rsidRPr="00C36C8F">
        <w:fldChar w:fldCharType="end"/>
      </w:r>
      <w:r w:rsidR="00802C9D" w:rsidRPr="00C36C8F">
        <w:t xml:space="preserve"> presents the total recycling by material for Queensland during 2008–09, in terms of total tonnes, per capita rate and recycling rate. The per capita recycling rate for Queensland is also compared to the national average per capita recycling rate.</w:t>
      </w:r>
    </w:p>
    <w:p w:rsidR="00DE05C7" w:rsidRPr="00C36C8F" w:rsidRDefault="00DE05C7" w:rsidP="00DE05C7">
      <w:pPr>
        <w:pStyle w:val="Caption"/>
        <w:tabs>
          <w:tab w:val="left" w:pos="7275"/>
        </w:tabs>
      </w:pPr>
      <w:bookmarkStart w:id="167" w:name="_Ref284592052"/>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23</w:t>
      </w:r>
      <w:r w:rsidR="00B9555F" w:rsidRPr="00C36C8F">
        <w:rPr>
          <w:noProof/>
        </w:rPr>
        <w:fldChar w:fldCharType="end"/>
      </w:r>
      <w:bookmarkEnd w:id="167"/>
      <w:r w:rsidRPr="00C36C8F">
        <w:tab/>
      </w:r>
      <w:r w:rsidR="006F6D79" w:rsidRPr="00C36C8F">
        <w:t>Queensland r</w:t>
      </w:r>
      <w:r w:rsidRPr="00C36C8F">
        <w:t>ecycling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6F6D79" w:rsidRPr="008170A4" w:rsidTr="006F6D79">
        <w:tc>
          <w:tcPr>
            <w:tcW w:w="4111" w:type="dxa"/>
            <w:gridSpan w:val="2"/>
            <w:tcBorders>
              <w:right w:val="single" w:sz="4" w:space="0" w:color="808080"/>
            </w:tcBorders>
            <w:shd w:val="clear" w:color="auto" w:fill="auto"/>
            <w:vAlign w:val="center"/>
          </w:tcPr>
          <w:p w:rsidR="006F6D79" w:rsidRPr="008170A4" w:rsidRDefault="006F6D79" w:rsidP="00304A95">
            <w:pPr>
              <w:pStyle w:val="TableHeading"/>
              <w:keepLines/>
              <w:jc w:val="center"/>
              <w:rPr>
                <w:rFonts w:cs="Arial"/>
                <w:kern w:val="28"/>
                <w:szCs w:val="1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Qld recycling</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National average</w:t>
            </w:r>
          </w:p>
        </w:tc>
        <w:tc>
          <w:tcPr>
            <w:tcW w:w="1329" w:type="dxa"/>
            <w:tcBorders>
              <w:lef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Qld recycling rate</w:t>
            </w:r>
          </w:p>
        </w:tc>
      </w:tr>
      <w:tr w:rsidR="006F6D79" w:rsidRPr="008170A4" w:rsidTr="006F6D79">
        <w:tc>
          <w:tcPr>
            <w:tcW w:w="2127" w:type="dxa"/>
            <w:tcBorders>
              <w:bottom w:val="single" w:sz="4" w:space="0" w:color="808080"/>
              <w:right w:val="nil"/>
            </w:tcBorders>
            <w:shd w:val="clear" w:color="auto" w:fill="auto"/>
          </w:tcPr>
          <w:p w:rsidR="006F6D79" w:rsidRPr="008170A4" w:rsidRDefault="00304A95" w:rsidP="00304A95">
            <w:pPr>
              <w:pStyle w:val="TableHeading"/>
              <w:keepLines/>
              <w:jc w:val="center"/>
              <w:rPr>
                <w:rFonts w:cs="Arial"/>
                <w:kern w:val="28"/>
                <w:szCs w:val="18"/>
              </w:rPr>
            </w:pPr>
            <w:r w:rsidRPr="008170A4">
              <w:rPr>
                <w:rFonts w:cs="Arial"/>
                <w:kern w:val="28"/>
                <w:szCs w:val="18"/>
              </w:rPr>
              <w:t>Material Category</w:t>
            </w:r>
          </w:p>
        </w:tc>
        <w:tc>
          <w:tcPr>
            <w:tcW w:w="1984" w:type="dxa"/>
            <w:tcBorders>
              <w:left w:val="nil"/>
              <w:bottom w:val="single" w:sz="4" w:space="0" w:color="808080"/>
              <w:right w:val="single" w:sz="4" w:space="0" w:color="808080"/>
            </w:tcBorders>
            <w:shd w:val="clear" w:color="auto" w:fill="auto"/>
          </w:tcPr>
          <w:p w:rsidR="006F6D79" w:rsidRPr="008170A4" w:rsidRDefault="00304A95" w:rsidP="006F6D79">
            <w:pPr>
              <w:pStyle w:val="TableHeading"/>
              <w:keepLines/>
              <w:jc w:val="center"/>
              <w:rPr>
                <w:rFonts w:cs="Arial"/>
                <w:kern w:val="28"/>
                <w:szCs w:val="18"/>
              </w:rPr>
            </w:pPr>
            <w:r w:rsidRPr="008170A4">
              <w:rPr>
                <w:rFonts w:cs="Arial"/>
                <w:kern w:val="28"/>
                <w:szCs w:val="1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kg per capita</w:t>
            </w:r>
          </w:p>
        </w:tc>
        <w:tc>
          <w:tcPr>
            <w:tcW w:w="1329" w:type="dxa"/>
            <w:tcBorders>
              <w:left w:val="single" w:sz="8" w:space="0" w:color="808080" w:themeColor="background1" w:themeShade="80"/>
            </w:tcBorders>
            <w:vAlign w:val="center"/>
          </w:tcPr>
          <w:p w:rsidR="006F6D79" w:rsidRPr="008170A4" w:rsidRDefault="006F6D79" w:rsidP="006F6D79">
            <w:pPr>
              <w:pStyle w:val="TableHeading"/>
              <w:keepLines/>
              <w:jc w:val="center"/>
              <w:rPr>
                <w:rFonts w:cs="Arial"/>
                <w:kern w:val="28"/>
                <w:szCs w:val="18"/>
              </w:rPr>
            </w:pPr>
            <w:r w:rsidRPr="008170A4">
              <w:rPr>
                <w:rFonts w:cs="Arial"/>
                <w:kern w:val="28"/>
                <w:szCs w:val="18"/>
              </w:rPr>
              <w:t>%</w:t>
            </w:r>
          </w:p>
        </w:tc>
      </w:tr>
      <w:tr w:rsidR="00A11246" w:rsidRPr="008170A4" w:rsidTr="006F6D79">
        <w:tc>
          <w:tcPr>
            <w:tcW w:w="2127" w:type="dxa"/>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szCs w:val="18"/>
              </w:rPr>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8170A4" w:rsidRDefault="00A11246"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1,183,900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269</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462</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45%</w:t>
            </w:r>
          </w:p>
        </w:tc>
      </w:tr>
      <w:tr w:rsidR="00A11246" w:rsidRPr="008170A4" w:rsidTr="006F6D79">
        <w:tc>
          <w:tcPr>
            <w:tcW w:w="2127" w:type="dxa"/>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szCs w:val="18"/>
              </w:rPr>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8170A4" w:rsidRDefault="00A11246"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687,800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156</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188</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87%</w:t>
            </w:r>
          </w:p>
        </w:tc>
      </w:tr>
      <w:tr w:rsidR="00A11246" w:rsidRPr="008170A4" w:rsidTr="006F6D79">
        <w:tc>
          <w:tcPr>
            <w:tcW w:w="2127" w:type="dxa"/>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szCs w:val="18"/>
              </w:rPr>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8170A4" w:rsidRDefault="00A11246"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1,069,000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243</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172</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38%</w:t>
            </w:r>
          </w:p>
        </w:tc>
      </w:tr>
      <w:tr w:rsidR="00A11246" w:rsidRPr="008170A4" w:rsidTr="006F6D79">
        <w:tc>
          <w:tcPr>
            <w:tcW w:w="2127" w:type="dxa"/>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szCs w:val="18"/>
              </w:rPr>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8170A4" w:rsidRDefault="00A11246"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529,100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120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178</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54%</w:t>
            </w:r>
          </w:p>
        </w:tc>
      </w:tr>
      <w:tr w:rsidR="00A11246" w:rsidRPr="008170A4" w:rsidTr="006F6D79">
        <w:tc>
          <w:tcPr>
            <w:tcW w:w="2127" w:type="dxa"/>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szCs w:val="18"/>
              </w:rPr>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A11246" w:rsidRPr="008170A4" w:rsidRDefault="00A11246" w:rsidP="006F6D79">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39,200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9</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24</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10%</w:t>
            </w:r>
          </w:p>
        </w:tc>
      </w:tr>
      <w:tr w:rsidR="00A11246" w:rsidRPr="008170A4" w:rsidTr="006F6D79">
        <w:tc>
          <w:tcPr>
            <w:tcW w:w="2127" w:type="dxa"/>
            <w:vMerge w:val="restart"/>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szCs w:val="18"/>
              </w:rPr>
              <w:t>Other</w:t>
            </w:r>
          </w:p>
        </w:tc>
        <w:tc>
          <w:tcPr>
            <w:tcW w:w="1984" w:type="dxa"/>
            <w:tcBorders>
              <w:top w:val="single" w:sz="4" w:space="0" w:color="808080"/>
              <w:left w:val="nil"/>
              <w:bottom w:val="single" w:sz="4" w:space="0" w:color="808080"/>
              <w:right w:val="single" w:sz="4" w:space="0" w:color="808080"/>
            </w:tcBorders>
            <w:vAlign w:val="center"/>
          </w:tcPr>
          <w:p w:rsidR="00A11246" w:rsidRPr="008170A4" w:rsidRDefault="00A11246" w:rsidP="006F6D79">
            <w:pPr>
              <w:pStyle w:val="TableText"/>
              <w:keepNext/>
              <w:keepLines/>
              <w:rPr>
                <w:rFonts w:cs="Arial"/>
                <w:szCs w:val="18"/>
              </w:rPr>
            </w:pPr>
            <w:r w:rsidRPr="008170A4">
              <w:rPr>
                <w:rFonts w:cs="Arial"/>
                <w:szCs w:val="18"/>
              </w:rPr>
              <w:t>Glass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195,000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44</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44</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66%</w:t>
            </w:r>
          </w:p>
        </w:tc>
      </w:tr>
      <w:tr w:rsidR="00A11246" w:rsidRPr="008170A4" w:rsidTr="006F6D79">
        <w:tc>
          <w:tcPr>
            <w:tcW w:w="2127" w:type="dxa"/>
            <w:vMerge/>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p>
        </w:tc>
        <w:tc>
          <w:tcPr>
            <w:tcW w:w="1984" w:type="dxa"/>
            <w:tcBorders>
              <w:top w:val="single" w:sz="4" w:space="0" w:color="808080"/>
              <w:left w:val="nil"/>
              <w:bottom w:val="single" w:sz="4" w:space="0" w:color="808080"/>
              <w:right w:val="single" w:sz="4" w:space="0" w:color="808080"/>
            </w:tcBorders>
            <w:vAlign w:val="center"/>
          </w:tcPr>
          <w:p w:rsidR="00A11246" w:rsidRPr="008170A4" w:rsidRDefault="00A11246" w:rsidP="006F6D79">
            <w:pPr>
              <w:pStyle w:val="TableText"/>
              <w:keepNext/>
              <w:keepLines/>
              <w:rPr>
                <w:rFonts w:cs="Arial"/>
                <w:szCs w:val="18"/>
              </w:rPr>
            </w:pPr>
            <w:r w:rsidRPr="008170A4">
              <w:rPr>
                <w:rFonts w:cs="Arial"/>
                <w:szCs w:val="18"/>
              </w:rPr>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3</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r>
      <w:tr w:rsidR="00A11246" w:rsidRPr="008170A4" w:rsidTr="006F6D79">
        <w:tc>
          <w:tcPr>
            <w:tcW w:w="2127" w:type="dxa"/>
            <w:vMerge/>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p>
        </w:tc>
        <w:tc>
          <w:tcPr>
            <w:tcW w:w="1984" w:type="dxa"/>
            <w:tcBorders>
              <w:top w:val="single" w:sz="4" w:space="0" w:color="808080"/>
              <w:left w:val="nil"/>
              <w:bottom w:val="single" w:sz="4" w:space="0" w:color="808080"/>
              <w:right w:val="single" w:sz="4" w:space="0" w:color="808080"/>
            </w:tcBorders>
            <w:vAlign w:val="center"/>
          </w:tcPr>
          <w:p w:rsidR="00A11246" w:rsidRPr="008170A4" w:rsidRDefault="00A11246" w:rsidP="006F6D79">
            <w:pPr>
              <w:pStyle w:val="TableText"/>
              <w:keepNext/>
              <w:keepLines/>
              <w:rPr>
                <w:rFonts w:cs="Arial"/>
                <w:szCs w:val="18"/>
              </w:rPr>
            </w:pPr>
            <w:r w:rsidRPr="008170A4">
              <w:rPr>
                <w:rFonts w:cs="Arial"/>
                <w:szCs w:val="18"/>
              </w:rPr>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2</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r>
      <w:tr w:rsidR="00A11246" w:rsidRPr="008170A4" w:rsidTr="006F6D79">
        <w:tc>
          <w:tcPr>
            <w:tcW w:w="2127" w:type="dxa"/>
            <w:vMerge w:val="restart"/>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szCs w:val="18"/>
              </w:rPr>
              <w:t>Hazardous</w:t>
            </w:r>
          </w:p>
        </w:tc>
        <w:tc>
          <w:tcPr>
            <w:tcW w:w="1984" w:type="dxa"/>
            <w:tcBorders>
              <w:top w:val="single" w:sz="4" w:space="0" w:color="808080"/>
              <w:left w:val="nil"/>
              <w:bottom w:val="single" w:sz="4" w:space="0" w:color="808080"/>
              <w:right w:val="single" w:sz="4" w:space="0" w:color="808080"/>
            </w:tcBorders>
            <w:vAlign w:val="center"/>
          </w:tcPr>
          <w:p w:rsidR="00A11246" w:rsidRPr="008170A4" w:rsidRDefault="00A11246" w:rsidP="006F6D79">
            <w:pPr>
              <w:pStyle w:val="TableText"/>
              <w:keepNext/>
              <w:keepLines/>
              <w:rPr>
                <w:rFonts w:cs="Arial"/>
                <w:szCs w:val="18"/>
              </w:rPr>
            </w:pPr>
            <w:r w:rsidRPr="008170A4">
              <w:rPr>
                <w:rFonts w:cs="Arial"/>
                <w:szCs w:val="18"/>
              </w:rPr>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r>
      <w:tr w:rsidR="00A11246" w:rsidRPr="008170A4" w:rsidTr="006F6D79">
        <w:tc>
          <w:tcPr>
            <w:tcW w:w="2127" w:type="dxa"/>
            <w:vMerge/>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p>
        </w:tc>
        <w:tc>
          <w:tcPr>
            <w:tcW w:w="1984" w:type="dxa"/>
            <w:tcBorders>
              <w:top w:val="single" w:sz="4" w:space="0" w:color="808080"/>
              <w:left w:val="nil"/>
              <w:bottom w:val="single" w:sz="4" w:space="0" w:color="808080"/>
              <w:right w:val="single" w:sz="4" w:space="0" w:color="808080"/>
            </w:tcBorders>
            <w:vAlign w:val="center"/>
          </w:tcPr>
          <w:p w:rsidR="00A11246" w:rsidRPr="008170A4" w:rsidRDefault="00A11246" w:rsidP="006F6D79">
            <w:pPr>
              <w:pStyle w:val="TableText"/>
              <w:keepNext/>
              <w:keepLines/>
              <w:rPr>
                <w:rFonts w:cs="Arial"/>
                <w:szCs w:val="18"/>
              </w:rPr>
            </w:pPr>
            <w:r w:rsidRPr="008170A4">
              <w:rPr>
                <w:rFonts w:cs="Arial"/>
                <w:szCs w:val="18"/>
              </w:rPr>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176,400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40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8</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25%</w:t>
            </w:r>
          </w:p>
        </w:tc>
      </w:tr>
      <w:tr w:rsidR="00A11246" w:rsidRPr="008170A4" w:rsidTr="006F6D79">
        <w:tc>
          <w:tcPr>
            <w:tcW w:w="2127" w:type="dxa"/>
            <w:vMerge/>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p>
        </w:tc>
        <w:tc>
          <w:tcPr>
            <w:tcW w:w="1984" w:type="dxa"/>
            <w:tcBorders>
              <w:top w:val="single" w:sz="4" w:space="0" w:color="808080"/>
              <w:left w:val="nil"/>
              <w:bottom w:val="single" w:sz="4" w:space="0" w:color="808080"/>
              <w:right w:val="single" w:sz="4" w:space="0" w:color="808080"/>
            </w:tcBorders>
            <w:vAlign w:val="center"/>
          </w:tcPr>
          <w:p w:rsidR="00A11246" w:rsidRPr="008170A4" w:rsidRDefault="00A11246" w:rsidP="006F6D79">
            <w:pPr>
              <w:pStyle w:val="TableText"/>
              <w:keepNext/>
              <w:keepLines/>
              <w:rPr>
                <w:rFonts w:cs="Arial"/>
                <w:szCs w:val="18"/>
              </w:rPr>
            </w:pPr>
            <w:r w:rsidRPr="008170A4">
              <w:rPr>
                <w:rFonts w:cs="Arial"/>
                <w:szCs w:val="18"/>
              </w:rPr>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221,500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50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10</w:t>
            </w:r>
          </w:p>
        </w:tc>
        <w:tc>
          <w:tcPr>
            <w:tcW w:w="1329" w:type="dxa"/>
            <w:tcBorders>
              <w:left w:val="single" w:sz="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55%</w:t>
            </w:r>
          </w:p>
        </w:tc>
      </w:tr>
      <w:tr w:rsidR="00A11246" w:rsidRPr="008170A4" w:rsidTr="006F6D79">
        <w:tc>
          <w:tcPr>
            <w:tcW w:w="2127" w:type="dxa"/>
            <w:vMerge/>
            <w:tcBorders>
              <w:top w:val="single" w:sz="4" w:space="0" w:color="8080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p>
        </w:tc>
        <w:tc>
          <w:tcPr>
            <w:tcW w:w="1984" w:type="dxa"/>
            <w:tcBorders>
              <w:top w:val="single" w:sz="4" w:space="0" w:color="808080"/>
              <w:left w:val="nil"/>
              <w:bottom w:val="single" w:sz="4" w:space="0" w:color="808080"/>
              <w:right w:val="single" w:sz="4" w:space="0" w:color="808080"/>
            </w:tcBorders>
            <w:vAlign w:val="center"/>
          </w:tcPr>
          <w:p w:rsidR="00A11246" w:rsidRPr="008170A4" w:rsidRDefault="00A11246" w:rsidP="006F6D79">
            <w:pPr>
              <w:pStyle w:val="TableText"/>
              <w:keepNext/>
              <w:keepLines/>
              <w:rPr>
                <w:rFonts w:cs="Arial"/>
                <w:szCs w:val="18"/>
              </w:rPr>
            </w:pPr>
            <w:r w:rsidRPr="008170A4">
              <w:rPr>
                <w:rFonts w:cs="Arial"/>
                <w:szCs w:val="18"/>
              </w:rPr>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c>
          <w:tcPr>
            <w:tcW w:w="1329" w:type="dxa"/>
            <w:tcBorders>
              <w:left w:val="single" w:sz="8" w:space="0" w:color="808080" w:themeColor="background1" w:themeShade="80"/>
              <w:bottom w:val="single" w:sz="4" w:space="0" w:color="8080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0%</w:t>
            </w:r>
          </w:p>
        </w:tc>
      </w:tr>
      <w:tr w:rsidR="00A11246" w:rsidRPr="008170A4" w:rsidTr="006F6D79">
        <w:tc>
          <w:tcPr>
            <w:tcW w:w="2127" w:type="dxa"/>
            <w:tcBorders>
              <w:top w:val="single" w:sz="4" w:space="0" w:color="808080"/>
              <w:bottom w:val="single" w:sz="18" w:space="0" w:color="808080" w:themeColor="background1" w:themeShade="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b/>
                <w:szCs w:val="18"/>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A11246" w:rsidRPr="008170A4" w:rsidRDefault="00A11246" w:rsidP="006F6D79">
            <w:pPr>
              <w:pStyle w:val="TableText"/>
              <w:keepNext/>
              <w:keepLines/>
              <w:rPr>
                <w:rFonts w:cs="Arial"/>
                <w:szCs w:val="18"/>
              </w:rPr>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b/>
                <w:szCs w:val="18"/>
              </w:rPr>
            </w:pPr>
            <w:r w:rsidRPr="00A11246">
              <w:rPr>
                <w:rFonts w:cs="Arial"/>
                <w:b/>
                <w:bCs/>
                <w:color w:val="000000"/>
                <w:szCs w:val="18"/>
              </w:rPr>
              <w:t>4,101,800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b/>
                <w:szCs w:val="18"/>
              </w:rPr>
            </w:pPr>
            <w:r w:rsidRPr="00A11246">
              <w:rPr>
                <w:rFonts w:cs="Arial"/>
                <w:b/>
                <w:bCs/>
                <w:color w:val="000000"/>
                <w:szCs w:val="18"/>
              </w:rPr>
              <w:t>931</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b/>
                <w:szCs w:val="18"/>
              </w:rPr>
            </w:pPr>
            <w:r w:rsidRPr="00A11246">
              <w:rPr>
                <w:rFonts w:cs="Arial"/>
                <w:b/>
                <w:bCs/>
                <w:color w:val="000000"/>
                <w:szCs w:val="18"/>
              </w:rPr>
              <w:t>1,091</w:t>
            </w:r>
          </w:p>
        </w:tc>
        <w:tc>
          <w:tcPr>
            <w:tcW w:w="1329"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A11246" w:rsidRPr="00A11246" w:rsidRDefault="00A11246" w:rsidP="006F6D79">
            <w:pPr>
              <w:pStyle w:val="TableText"/>
              <w:keepNext/>
              <w:keepLines/>
              <w:jc w:val="right"/>
              <w:rPr>
                <w:rFonts w:cs="Arial"/>
                <w:b/>
                <w:szCs w:val="18"/>
              </w:rPr>
            </w:pPr>
            <w:r w:rsidRPr="00A11246">
              <w:rPr>
                <w:rFonts w:cs="Arial"/>
                <w:b/>
                <w:bCs/>
                <w:color w:val="000000"/>
                <w:szCs w:val="18"/>
              </w:rPr>
              <w:t>45%</w:t>
            </w:r>
          </w:p>
        </w:tc>
      </w:tr>
      <w:tr w:rsidR="00A11246" w:rsidRPr="008170A4" w:rsidTr="006F6D79">
        <w:tc>
          <w:tcPr>
            <w:tcW w:w="2127" w:type="dxa"/>
            <w:tcBorders>
              <w:top w:val="single" w:sz="18" w:space="0" w:color="808080" w:themeColor="background1" w:themeShade="80"/>
              <w:bottom w:val="single" w:sz="4" w:space="0" w:color="8080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szCs w:val="18"/>
              </w:rPr>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A11246" w:rsidRPr="008170A4" w:rsidRDefault="00A11246" w:rsidP="006F6D79">
            <w:pPr>
              <w:pStyle w:val="TableText"/>
              <w:keepNext/>
              <w:keepLines/>
              <w:rPr>
                <w:rFonts w:cs="Arial"/>
                <w:szCs w:val="18"/>
              </w:rPr>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929,600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211</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110</w:t>
            </w:r>
          </w:p>
        </w:tc>
        <w:tc>
          <w:tcPr>
            <w:tcW w:w="1329" w:type="dxa"/>
            <w:tcBorders>
              <w:top w:val="single" w:sz="18" w:space="0" w:color="808080" w:themeColor="background1" w:themeShade="80"/>
              <w:left w:val="single" w:sz="8" w:space="0" w:color="808080" w:themeColor="background1" w:themeShade="80"/>
              <w:bottom w:val="single" w:sz="4" w:space="0" w:color="808080"/>
            </w:tcBorders>
            <w:tcMar>
              <w:right w:w="142" w:type="dxa"/>
            </w:tcMar>
            <w:vAlign w:val="center"/>
          </w:tcPr>
          <w:p w:rsidR="00A11246" w:rsidRPr="00A11246" w:rsidRDefault="00A11246" w:rsidP="006F6D79">
            <w:pPr>
              <w:pStyle w:val="TableText"/>
              <w:keepNext/>
              <w:keepLines/>
              <w:jc w:val="right"/>
              <w:rPr>
                <w:rFonts w:cs="Arial"/>
                <w:szCs w:val="18"/>
              </w:rPr>
            </w:pPr>
            <w:r w:rsidRPr="00A11246">
              <w:rPr>
                <w:rFonts w:cs="Arial"/>
                <w:color w:val="000000"/>
                <w:szCs w:val="18"/>
              </w:rPr>
              <w:t>16%</w:t>
            </w:r>
          </w:p>
        </w:tc>
      </w:tr>
      <w:tr w:rsidR="00A11246" w:rsidRPr="008170A4" w:rsidTr="006F6D79">
        <w:tc>
          <w:tcPr>
            <w:tcW w:w="2127" w:type="dxa"/>
            <w:tcBorders>
              <w:top w:val="single" w:sz="4" w:space="0" w:color="808080"/>
              <w:bottom w:val="single" w:sz="18" w:space="0" w:color="7F7F7F" w:themeColor="text1" w:themeTint="80"/>
              <w:right w:val="nil"/>
            </w:tcBorders>
            <w:shd w:val="clear" w:color="auto" w:fill="auto"/>
            <w:vAlign w:val="center"/>
          </w:tcPr>
          <w:p w:rsidR="00A11246" w:rsidRPr="008170A4" w:rsidRDefault="00A11246" w:rsidP="006F6D79">
            <w:pPr>
              <w:pStyle w:val="TableText"/>
              <w:keepNext/>
              <w:keepLines/>
              <w:rPr>
                <w:rFonts w:cs="Arial"/>
                <w:szCs w:val="18"/>
              </w:rPr>
            </w:pPr>
            <w:r w:rsidRPr="008170A4">
              <w:rPr>
                <w:rFonts w:cs="Arial"/>
                <w:b/>
                <w:szCs w:val="18"/>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A11246" w:rsidRPr="008170A4" w:rsidRDefault="00A11246" w:rsidP="006F6D79">
            <w:pPr>
              <w:pStyle w:val="TableText"/>
              <w:keepNext/>
              <w:keepLines/>
              <w:rPr>
                <w:rFonts w:cs="Arial"/>
                <w:szCs w:val="18"/>
              </w:rPr>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b/>
                <w:szCs w:val="18"/>
              </w:rPr>
            </w:pPr>
            <w:r w:rsidRPr="00A11246">
              <w:rPr>
                <w:rFonts w:cs="Arial"/>
                <w:b/>
                <w:bCs/>
                <w:color w:val="000000"/>
                <w:szCs w:val="18"/>
              </w:rPr>
              <w:t>5,031,400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b/>
                <w:szCs w:val="18"/>
              </w:rPr>
            </w:pPr>
            <w:r w:rsidRPr="00A11246">
              <w:rPr>
                <w:rFonts w:cs="Arial"/>
                <w:b/>
                <w:bCs/>
                <w:color w:val="000000"/>
                <w:szCs w:val="18"/>
              </w:rPr>
              <w:t>1,142</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A11246" w:rsidRPr="00A11246" w:rsidRDefault="00A11246" w:rsidP="006F6D79">
            <w:pPr>
              <w:pStyle w:val="TableText"/>
              <w:keepNext/>
              <w:keepLines/>
              <w:jc w:val="right"/>
              <w:rPr>
                <w:rFonts w:cs="Arial"/>
                <w:b/>
                <w:szCs w:val="18"/>
              </w:rPr>
            </w:pPr>
            <w:r w:rsidRPr="00A11246">
              <w:rPr>
                <w:rFonts w:cs="Arial"/>
                <w:b/>
                <w:bCs/>
                <w:color w:val="000000"/>
                <w:szCs w:val="18"/>
              </w:rPr>
              <w:t>1,201</w:t>
            </w:r>
          </w:p>
        </w:tc>
        <w:tc>
          <w:tcPr>
            <w:tcW w:w="1329" w:type="dxa"/>
            <w:tcBorders>
              <w:top w:val="single" w:sz="4" w:space="0" w:color="808080"/>
              <w:left w:val="single" w:sz="8" w:space="0" w:color="808080" w:themeColor="background1" w:themeShade="80"/>
              <w:bottom w:val="single" w:sz="18" w:space="0" w:color="7F7F7F" w:themeColor="text1" w:themeTint="80"/>
            </w:tcBorders>
            <w:tcMar>
              <w:right w:w="142" w:type="dxa"/>
            </w:tcMar>
            <w:vAlign w:val="center"/>
          </w:tcPr>
          <w:p w:rsidR="00A11246" w:rsidRPr="00A11246" w:rsidRDefault="00A11246" w:rsidP="006F6D79">
            <w:pPr>
              <w:pStyle w:val="TableText"/>
              <w:keepNext/>
              <w:keepLines/>
              <w:jc w:val="right"/>
              <w:rPr>
                <w:rFonts w:cs="Arial"/>
                <w:b/>
                <w:szCs w:val="18"/>
              </w:rPr>
            </w:pPr>
            <w:r w:rsidRPr="00A11246">
              <w:rPr>
                <w:rFonts w:cs="Arial"/>
                <w:b/>
                <w:bCs/>
                <w:color w:val="000000"/>
                <w:szCs w:val="18"/>
              </w:rPr>
              <w:t>33%</w:t>
            </w:r>
          </w:p>
        </w:tc>
      </w:tr>
    </w:tbl>
    <w:p w:rsidR="006F6D79" w:rsidRPr="00C36C8F" w:rsidRDefault="006F6D79" w:rsidP="006F6D79">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6F6D79" w:rsidRPr="00C36C8F" w:rsidRDefault="006F6D79" w:rsidP="006F6D79"/>
    <w:p w:rsidR="006F6D79" w:rsidRPr="00C36C8F" w:rsidRDefault="006F6D79" w:rsidP="006F6D79"/>
    <w:p w:rsidR="00EB0688" w:rsidRPr="00C36C8F" w:rsidRDefault="00EB0688" w:rsidP="00EB0688">
      <w:pPr>
        <w:pStyle w:val="ParaIndent"/>
        <w:spacing w:before="120"/>
      </w:pPr>
    </w:p>
    <w:p w:rsidR="00EB0688" w:rsidRPr="00C36C8F" w:rsidRDefault="00B9555F" w:rsidP="00F85334">
      <w:pPr>
        <w:pStyle w:val="ParaIndent"/>
        <w:keepNext/>
        <w:keepLines/>
        <w:spacing w:before="120"/>
        <w:jc w:val="both"/>
      </w:pPr>
      <w:r w:rsidRPr="00C36C8F">
        <w:fldChar w:fldCharType="begin"/>
      </w:r>
      <w:r w:rsidR="00EB0688" w:rsidRPr="00C36C8F">
        <w:instrText xml:space="preserve"> REF _Ref284592091 \h </w:instrText>
      </w:r>
      <w:r w:rsidRPr="00C36C8F">
        <w:fldChar w:fldCharType="separate"/>
      </w:r>
      <w:r w:rsidR="00AE7E3B" w:rsidRPr="00C36C8F">
        <w:t xml:space="preserve">Table </w:t>
      </w:r>
      <w:r w:rsidR="00AE7E3B">
        <w:rPr>
          <w:noProof/>
        </w:rPr>
        <w:t>4</w:t>
      </w:r>
      <w:r w:rsidR="00AE7E3B" w:rsidRPr="00C36C8F">
        <w:t>-</w:t>
      </w:r>
      <w:r w:rsidR="00AE7E3B">
        <w:rPr>
          <w:noProof/>
        </w:rPr>
        <w:t>24</w:t>
      </w:r>
      <w:r w:rsidRPr="00C36C8F">
        <w:fldChar w:fldCharType="end"/>
      </w:r>
      <w:r w:rsidR="00EB0688" w:rsidRPr="00C36C8F">
        <w:t xml:space="preserve"> details energy recovery by material type for Queensland. Recovery for the jurisdiction is presented in terms of total tonnes, and the per capita rate. The national average per capita recovery rate is also provided.</w:t>
      </w:r>
    </w:p>
    <w:p w:rsidR="00DE05C7" w:rsidRPr="00C36C8F" w:rsidRDefault="00DE05C7" w:rsidP="00DE05C7">
      <w:pPr>
        <w:pStyle w:val="Caption"/>
        <w:tabs>
          <w:tab w:val="left" w:pos="7275"/>
        </w:tabs>
      </w:pPr>
      <w:bookmarkStart w:id="168" w:name="_Ref284592091"/>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24</w:t>
      </w:r>
      <w:r w:rsidR="00B9555F" w:rsidRPr="00C36C8F">
        <w:rPr>
          <w:noProof/>
        </w:rPr>
        <w:fldChar w:fldCharType="end"/>
      </w:r>
      <w:bookmarkEnd w:id="168"/>
      <w:r w:rsidRPr="00C36C8F">
        <w:tab/>
      </w:r>
      <w:r w:rsidR="006F6D79" w:rsidRPr="00C36C8F">
        <w:t>Queensland e</w:t>
      </w:r>
      <w:r w:rsidRPr="00C36C8F">
        <w:t>nergy recovery by material, 2008–09</w:t>
      </w:r>
    </w:p>
    <w:tbl>
      <w:tblPr>
        <w:tblW w:w="8098" w:type="dxa"/>
        <w:jc w:val="right"/>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tblGrid>
      <w:tr w:rsidR="006F6D79" w:rsidRPr="00C36C8F" w:rsidTr="006F6D79">
        <w:trPr>
          <w:jc w:val="right"/>
        </w:trPr>
        <w:tc>
          <w:tcPr>
            <w:tcW w:w="4111" w:type="dxa"/>
            <w:gridSpan w:val="2"/>
            <w:tcBorders>
              <w:right w:val="single" w:sz="4" w:space="0" w:color="808080"/>
            </w:tcBorders>
            <w:shd w:val="clear" w:color="auto" w:fill="auto"/>
            <w:vAlign w:val="center"/>
          </w:tcPr>
          <w:p w:rsidR="006F6D79" w:rsidRPr="00C36C8F" w:rsidRDefault="006F6D79" w:rsidP="006F6D79">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6F6D79" w:rsidRPr="00C36C8F" w:rsidRDefault="006F6D79" w:rsidP="006F6D79">
            <w:pPr>
              <w:pStyle w:val="TableHeading"/>
              <w:keepLines/>
              <w:jc w:val="center"/>
              <w:rPr>
                <w:kern w:val="28"/>
              </w:rPr>
            </w:pPr>
            <w:r w:rsidRPr="00C36C8F">
              <w:rPr>
                <w:kern w:val="28"/>
              </w:rPr>
              <w:t>Qld energy recovery</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6F6D79" w:rsidRPr="00C36C8F" w:rsidRDefault="006F6D79" w:rsidP="006F6D79">
            <w:pPr>
              <w:pStyle w:val="TableHeading"/>
              <w:keepLines/>
              <w:jc w:val="center"/>
              <w:rPr>
                <w:kern w:val="28"/>
              </w:rPr>
            </w:pPr>
            <w:r w:rsidRPr="00C36C8F">
              <w:rPr>
                <w:kern w:val="28"/>
              </w:rPr>
              <w:t>National average</w:t>
            </w:r>
          </w:p>
        </w:tc>
      </w:tr>
      <w:tr w:rsidR="006F6D79" w:rsidRPr="00C36C8F" w:rsidTr="006F6D79">
        <w:trPr>
          <w:jc w:val="right"/>
        </w:trPr>
        <w:tc>
          <w:tcPr>
            <w:tcW w:w="2127" w:type="dxa"/>
            <w:tcBorders>
              <w:bottom w:val="single" w:sz="4" w:space="0" w:color="808080"/>
              <w:right w:val="nil"/>
            </w:tcBorders>
            <w:shd w:val="clear" w:color="auto" w:fill="auto"/>
          </w:tcPr>
          <w:p w:rsidR="006F6D79" w:rsidRPr="00C36C8F" w:rsidRDefault="006F6D79" w:rsidP="006170C4">
            <w:pPr>
              <w:pStyle w:val="TableHeading"/>
              <w:keepLines/>
              <w:jc w:val="center"/>
              <w:rPr>
                <w:kern w:val="28"/>
              </w:rPr>
            </w:pPr>
            <w:r w:rsidRPr="00C36C8F">
              <w:rPr>
                <w:kern w:val="28"/>
              </w:rPr>
              <w:t>Ma</w:t>
            </w:r>
            <w:r w:rsidR="006170C4"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6F6D79" w:rsidRPr="00C36C8F" w:rsidRDefault="006170C4" w:rsidP="006F6D79">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6F6D79" w:rsidRPr="00C36C8F" w:rsidRDefault="006F6D79" w:rsidP="006F6D79">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6F6D79" w:rsidRPr="00C36C8F" w:rsidRDefault="006F6D79" w:rsidP="006F6D79">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6F6D79" w:rsidRPr="00C36C8F" w:rsidRDefault="006F6D79" w:rsidP="006F6D79">
            <w:pPr>
              <w:pStyle w:val="TableHeading"/>
              <w:keepLines/>
              <w:jc w:val="center"/>
              <w:rPr>
                <w:kern w:val="28"/>
              </w:rPr>
            </w:pPr>
            <w:r w:rsidRPr="00C36C8F">
              <w:rPr>
                <w:kern w:val="28"/>
              </w:rPr>
              <w:t>kg per capita</w:t>
            </w:r>
          </w:p>
        </w:tc>
      </w:tr>
      <w:tr w:rsidR="006F6D79"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6F6D79" w:rsidRPr="00C36C8F" w:rsidRDefault="006F6D79"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6F6D79" w:rsidRPr="00C36C8F" w:rsidRDefault="006F6D79"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6F6D79" w:rsidRPr="00C36C8F" w:rsidRDefault="006F6D79"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36,100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8</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15</w:t>
            </w:r>
          </w:p>
        </w:tc>
      </w:tr>
      <w:tr w:rsidR="006F6D79"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6F6D79" w:rsidRPr="00C36C8F" w:rsidRDefault="006F6D79"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6F6D79" w:rsidRPr="00C36C8F" w:rsidRDefault="006F6D79" w:rsidP="006F6D79">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vMerge w:val="restart"/>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6F6D79" w:rsidRPr="00C36C8F" w:rsidRDefault="006F6D79" w:rsidP="006F6D79">
            <w:pPr>
              <w:pStyle w:val="TableText"/>
              <w:keepNext/>
              <w:keepLines/>
            </w:pPr>
            <w:r w:rsidRPr="00C36C8F">
              <w:t>Glass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vMerge/>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6F6D79" w:rsidRPr="00C36C8F" w:rsidRDefault="006F6D79" w:rsidP="006F6D79">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vMerge/>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6F6D79" w:rsidRPr="00C36C8F" w:rsidRDefault="006F6D79" w:rsidP="006F6D79">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vMerge w:val="restart"/>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6F6D79" w:rsidRPr="00C36C8F" w:rsidRDefault="006F6D79" w:rsidP="006F6D79">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vMerge/>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6F6D79" w:rsidRPr="00C36C8F" w:rsidRDefault="006F6D79" w:rsidP="006F6D79">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vMerge/>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6F6D79" w:rsidRPr="00C36C8F" w:rsidRDefault="006F6D79" w:rsidP="006F6D79">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1</w:t>
            </w:r>
          </w:p>
        </w:tc>
      </w:tr>
      <w:tr w:rsidR="006F6D79" w:rsidRPr="00C36C8F" w:rsidTr="006F6D79">
        <w:trPr>
          <w:jc w:val="right"/>
        </w:trPr>
        <w:tc>
          <w:tcPr>
            <w:tcW w:w="2127" w:type="dxa"/>
            <w:vMerge/>
            <w:tcBorders>
              <w:top w:val="single" w:sz="4" w:space="0" w:color="808080"/>
              <w:bottom w:val="single" w:sz="4" w:space="0" w:color="808080"/>
              <w:right w:val="nil"/>
            </w:tcBorders>
            <w:shd w:val="clear" w:color="auto" w:fill="auto"/>
            <w:vAlign w:val="center"/>
          </w:tcPr>
          <w:p w:rsidR="006F6D79" w:rsidRPr="00C36C8F" w:rsidRDefault="006F6D79" w:rsidP="006F6D79">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6F6D79" w:rsidRPr="00C36C8F" w:rsidRDefault="006F6D79" w:rsidP="006F6D79">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tcBorders>
              <w:top w:val="single" w:sz="4" w:space="0" w:color="808080"/>
              <w:bottom w:val="single" w:sz="18" w:space="0" w:color="808080" w:themeColor="background1" w:themeShade="80"/>
              <w:right w:val="nil"/>
            </w:tcBorders>
            <w:shd w:val="clear" w:color="auto" w:fill="auto"/>
            <w:vAlign w:val="center"/>
          </w:tcPr>
          <w:p w:rsidR="006F6D79" w:rsidRPr="00C36C8F" w:rsidRDefault="006F6D79" w:rsidP="006F6D79">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6F6D79" w:rsidRPr="00C36C8F" w:rsidRDefault="006F6D79" w:rsidP="006F6D79">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b/>
                <w:szCs w:val="18"/>
              </w:rPr>
            </w:pPr>
            <w:r w:rsidRPr="00C36C8F">
              <w:rPr>
                <w:rFonts w:cs="Arial"/>
                <w:color w:val="000000"/>
                <w:szCs w:val="18"/>
              </w:rPr>
              <w:t>36,100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b/>
                <w:szCs w:val="18"/>
              </w:rPr>
            </w:pPr>
            <w:r w:rsidRPr="00C36C8F">
              <w:rPr>
                <w:rFonts w:cs="Arial"/>
                <w:color w:val="000000"/>
                <w:szCs w:val="18"/>
              </w:rPr>
              <w:t>8</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b/>
                <w:szCs w:val="18"/>
              </w:rPr>
            </w:pPr>
            <w:r w:rsidRPr="00C36C8F">
              <w:rPr>
                <w:rFonts w:cs="Arial"/>
                <w:color w:val="000000"/>
                <w:szCs w:val="18"/>
              </w:rPr>
              <w:t>16</w:t>
            </w:r>
          </w:p>
        </w:tc>
      </w:tr>
      <w:tr w:rsidR="006F6D79" w:rsidRPr="00C36C8F" w:rsidTr="006F6D79">
        <w:trPr>
          <w:jc w:val="right"/>
        </w:trPr>
        <w:tc>
          <w:tcPr>
            <w:tcW w:w="2127" w:type="dxa"/>
            <w:tcBorders>
              <w:top w:val="single" w:sz="18" w:space="0" w:color="808080" w:themeColor="background1" w:themeShade="80"/>
              <w:bottom w:val="single" w:sz="4" w:space="0" w:color="808080"/>
              <w:right w:val="nil"/>
            </w:tcBorders>
            <w:shd w:val="clear" w:color="auto" w:fill="auto"/>
            <w:vAlign w:val="center"/>
          </w:tcPr>
          <w:p w:rsidR="006F6D79" w:rsidRPr="00C36C8F" w:rsidRDefault="006F6D79" w:rsidP="006F6D79">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6F6D79" w:rsidRPr="00C36C8F" w:rsidRDefault="006F6D79" w:rsidP="006F6D79">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szCs w:val="18"/>
              </w:rPr>
            </w:pPr>
            <w:r w:rsidRPr="00C36C8F">
              <w:rPr>
                <w:rFonts w:cs="Arial"/>
                <w:color w:val="000000"/>
                <w:szCs w:val="18"/>
              </w:rPr>
              <w:t>0</w:t>
            </w:r>
          </w:p>
        </w:tc>
      </w:tr>
      <w:tr w:rsidR="006F6D79" w:rsidRPr="00C36C8F" w:rsidTr="006F6D79">
        <w:trPr>
          <w:jc w:val="right"/>
        </w:trPr>
        <w:tc>
          <w:tcPr>
            <w:tcW w:w="2127" w:type="dxa"/>
            <w:tcBorders>
              <w:top w:val="single" w:sz="4" w:space="0" w:color="808080"/>
              <w:bottom w:val="single" w:sz="18" w:space="0" w:color="7F7F7F" w:themeColor="text1" w:themeTint="80"/>
              <w:right w:val="nil"/>
            </w:tcBorders>
            <w:shd w:val="clear" w:color="auto" w:fill="auto"/>
            <w:vAlign w:val="center"/>
          </w:tcPr>
          <w:p w:rsidR="006F6D79" w:rsidRPr="00C36C8F" w:rsidRDefault="006F6D79" w:rsidP="006F6D79">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6F6D79" w:rsidRPr="00C36C8F" w:rsidRDefault="006F6D79" w:rsidP="006F6D79">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b/>
                <w:szCs w:val="18"/>
              </w:rPr>
            </w:pPr>
            <w:r w:rsidRPr="00C36C8F">
              <w:rPr>
                <w:rFonts w:cs="Arial"/>
                <w:color w:val="000000"/>
                <w:szCs w:val="18"/>
              </w:rPr>
              <w:t>36,100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b/>
                <w:szCs w:val="18"/>
              </w:rPr>
            </w:pPr>
            <w:r w:rsidRPr="00C36C8F">
              <w:rPr>
                <w:rFonts w:cs="Arial"/>
                <w:color w:val="000000"/>
                <w:szCs w:val="18"/>
              </w:rPr>
              <w:t>8</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6F6D79" w:rsidRPr="00C36C8F" w:rsidRDefault="006F6D79" w:rsidP="006F6D79">
            <w:pPr>
              <w:pStyle w:val="TableText"/>
              <w:keepNext/>
              <w:keepLines/>
              <w:jc w:val="right"/>
              <w:rPr>
                <w:rFonts w:cs="Arial"/>
                <w:b/>
                <w:szCs w:val="18"/>
              </w:rPr>
            </w:pPr>
            <w:r w:rsidRPr="00C36C8F">
              <w:rPr>
                <w:rFonts w:cs="Arial"/>
                <w:color w:val="000000"/>
                <w:szCs w:val="18"/>
              </w:rPr>
              <w:t>16</w:t>
            </w:r>
          </w:p>
        </w:tc>
      </w:tr>
    </w:tbl>
    <w:p w:rsidR="006F6D79" w:rsidRPr="00C36C8F" w:rsidRDefault="006F6D79" w:rsidP="006F6D79">
      <w:pPr>
        <w:pStyle w:val="ParaIndent"/>
        <w:spacing w:before="120"/>
        <w:ind w:left="156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09088A" w:rsidRPr="00C36C8F" w:rsidRDefault="00B9555F" w:rsidP="00F85334">
      <w:pPr>
        <w:pStyle w:val="ParaIndent"/>
        <w:keepNext/>
        <w:spacing w:before="120"/>
        <w:jc w:val="both"/>
      </w:pPr>
      <w:r w:rsidRPr="00C36C8F">
        <w:fldChar w:fldCharType="begin"/>
      </w:r>
      <w:r w:rsidR="006F6D79" w:rsidRPr="00C36C8F">
        <w:instrText xml:space="preserve"> REF _Ref300766221 \h </w:instrText>
      </w:r>
      <w:r w:rsidRPr="00C36C8F">
        <w:fldChar w:fldCharType="separate"/>
      </w:r>
      <w:r w:rsidR="00AE7E3B" w:rsidRPr="00C36C8F">
        <w:t xml:space="preserve">Figure </w:t>
      </w:r>
      <w:r w:rsidR="00AE7E3B">
        <w:rPr>
          <w:noProof/>
        </w:rPr>
        <w:t>4</w:t>
      </w:r>
      <w:r w:rsidR="00AE7E3B" w:rsidRPr="00C36C8F">
        <w:t>-</w:t>
      </w:r>
      <w:r w:rsidR="00AE7E3B">
        <w:rPr>
          <w:noProof/>
        </w:rPr>
        <w:t>16</w:t>
      </w:r>
      <w:r w:rsidRPr="00C36C8F">
        <w:fldChar w:fldCharType="end"/>
      </w:r>
      <w:r w:rsidR="00F05CEC" w:rsidRPr="00C36C8F">
        <w:t xml:space="preserve"> </w:t>
      </w:r>
      <w:r w:rsidR="0009088A" w:rsidRPr="00C36C8F">
        <w:t>charts waste disposal, recycling and energy recovery, by source sector for Queensland.</w:t>
      </w:r>
    </w:p>
    <w:tbl>
      <w:tblPr>
        <w:tblW w:w="0" w:type="auto"/>
        <w:tblInd w:w="1134" w:type="dxa"/>
        <w:tblLayout w:type="fixed"/>
        <w:tblCellMar>
          <w:left w:w="0" w:type="dxa"/>
          <w:right w:w="0" w:type="dxa"/>
        </w:tblCellMar>
        <w:tblLook w:val="0000"/>
      </w:tblPr>
      <w:tblGrid>
        <w:gridCol w:w="8505"/>
      </w:tblGrid>
      <w:tr w:rsidR="006F6D79" w:rsidRPr="00C36C8F" w:rsidTr="006F6D79">
        <w:trPr>
          <w:cantSplit/>
          <w:trHeight w:val="3486"/>
        </w:trPr>
        <w:tc>
          <w:tcPr>
            <w:tcW w:w="8505" w:type="dxa"/>
          </w:tcPr>
          <w:p w:rsidR="006F6D79" w:rsidRPr="00C36C8F" w:rsidRDefault="00A11246" w:rsidP="006F6D79">
            <w:pPr>
              <w:pStyle w:val="ParaIndent"/>
              <w:spacing w:before="120"/>
              <w:ind w:left="0"/>
            </w:pPr>
            <w:bookmarkStart w:id="169" w:name="_Toc284316465"/>
            <w:r>
              <w:rPr>
                <w:noProof/>
                <w:lang w:eastAsia="en-AU"/>
              </w:rPr>
              <w:drawing>
                <wp:inline distT="0" distB="0" distL="0" distR="0">
                  <wp:extent cx="1695449" cy="2871789"/>
                  <wp:effectExtent l="0" t="0" r="635" b="508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eastAsia="en-AU"/>
              </w:rPr>
              <w:drawing>
                <wp:inline distT="0" distB="0" distL="0" distR="0">
                  <wp:extent cx="1733550" cy="2905126"/>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lang w:eastAsia="en-AU"/>
              </w:rPr>
              <w:drawing>
                <wp:inline distT="0" distB="0" distL="0" distR="0">
                  <wp:extent cx="1809750" cy="2905126"/>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6F6D79" w:rsidRPr="00C36C8F" w:rsidTr="006F6D79">
        <w:trPr>
          <w:cantSplit/>
        </w:trPr>
        <w:tc>
          <w:tcPr>
            <w:tcW w:w="8505" w:type="dxa"/>
          </w:tcPr>
          <w:p w:rsidR="006F6D79" w:rsidRPr="00C36C8F" w:rsidRDefault="006F6D79" w:rsidP="006F6D79">
            <w:pPr>
              <w:pStyle w:val="Caption"/>
              <w:tabs>
                <w:tab w:val="left" w:pos="7275"/>
              </w:tabs>
            </w:pPr>
            <w:bookmarkStart w:id="170" w:name="_Ref300766221"/>
            <w:r w:rsidRPr="00C36C8F">
              <w:t xml:space="preserve">Figure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Figure \* Arabic </w:instrText>
            </w:r>
            <w:r w:rsidR="00B9555F" w:rsidRPr="00C36C8F">
              <w:fldChar w:fldCharType="separate"/>
            </w:r>
            <w:r w:rsidR="00AE7E3B">
              <w:rPr>
                <w:noProof/>
              </w:rPr>
              <w:t>16</w:t>
            </w:r>
            <w:r w:rsidR="00B9555F" w:rsidRPr="00C36C8F">
              <w:rPr>
                <w:noProof/>
              </w:rPr>
              <w:fldChar w:fldCharType="end"/>
            </w:r>
            <w:bookmarkEnd w:id="170"/>
            <w:r w:rsidRPr="00C36C8F">
              <w:tab/>
              <w:t>Queensland waste disposal, recycling and energy recovery, by source sector 2008–09</w:t>
            </w:r>
            <w:r w:rsidR="00C16F94">
              <w:t xml:space="preserve"> subtotals</w:t>
            </w:r>
            <w:r w:rsidR="00AB1315" w:rsidRPr="00C36C8F">
              <w:t>. Units in ‘000 tonnes.</w:t>
            </w:r>
          </w:p>
        </w:tc>
      </w:tr>
    </w:tbl>
    <w:p w:rsidR="0009088A" w:rsidRPr="00C36C8F" w:rsidRDefault="0009088A" w:rsidP="0009088A">
      <w:pPr>
        <w:pStyle w:val="ParaIndent"/>
      </w:pPr>
    </w:p>
    <w:p w:rsidR="0009088A" w:rsidRPr="00C36C8F" w:rsidRDefault="0009088A" w:rsidP="0009088A">
      <w:pPr>
        <w:pStyle w:val="ParaIndent"/>
      </w:pPr>
      <w:r w:rsidRPr="00C36C8F">
        <w:br w:type="page"/>
      </w:r>
    </w:p>
    <w:p w:rsidR="00DE05C7" w:rsidRPr="00C36C8F" w:rsidRDefault="00DE05C7" w:rsidP="00D73762">
      <w:pPr>
        <w:pStyle w:val="Heading2"/>
        <w:spacing w:after="120"/>
      </w:pPr>
      <w:bookmarkStart w:id="171" w:name="_Toc325020108"/>
      <w:bookmarkStart w:id="172" w:name="_Toc305049756"/>
      <w:r w:rsidRPr="00C36C8F">
        <w:t>South Australia waste disposal and recovery</w:t>
      </w:r>
      <w:bookmarkEnd w:id="169"/>
      <w:bookmarkEnd w:id="171"/>
      <w:bookmarkEnd w:id="172"/>
    </w:p>
    <w:p w:rsidR="002D5AC8" w:rsidRPr="00C36C8F" w:rsidRDefault="002D5AC8" w:rsidP="00D73762">
      <w:pPr>
        <w:pStyle w:val="ParaIndent"/>
        <w:spacing w:after="120"/>
        <w:jc w:val="both"/>
      </w:pPr>
      <w:r w:rsidRPr="00C36C8F">
        <w:t>South Australian disposal, recycling and energy recovery data is for the 2008</w:t>
      </w:r>
      <w:r w:rsidRPr="00C36C8F">
        <w:noBreakHyphen/>
        <w:t>09 financial year. The waste disposal composition was estimated by applying compositions derived from disposal-based waste audit</w:t>
      </w:r>
      <w:r w:rsidR="006F6D79" w:rsidRPr="00C36C8F">
        <w:t>s</w:t>
      </w:r>
      <w:r w:rsidRPr="00C36C8F">
        <w:t xml:space="preserve"> to landfill data published in the Hyder Consulting </w:t>
      </w:r>
      <w:r w:rsidRPr="00C36C8F">
        <w:rPr>
          <w:i/>
        </w:rPr>
        <w:t xml:space="preserve">Recycling Activity in South Australia </w:t>
      </w:r>
      <w:r w:rsidRPr="00C36C8F">
        <w:t>report.</w:t>
      </w:r>
    </w:p>
    <w:p w:rsidR="00DE05C7" w:rsidRPr="00C36C8F" w:rsidRDefault="00B9555F" w:rsidP="00D73762">
      <w:pPr>
        <w:pStyle w:val="ParaIndent"/>
        <w:spacing w:after="0"/>
        <w:jc w:val="both"/>
      </w:pPr>
      <w:fldSimple w:instr=" REF _Ref287277199 \h  \* MERGEFORMAT ">
        <w:r w:rsidR="00AE7E3B" w:rsidRPr="00C36C8F">
          <w:t xml:space="preserve">Table </w:t>
        </w:r>
        <w:r w:rsidR="00AE7E3B">
          <w:rPr>
            <w:noProof/>
          </w:rPr>
          <w:t>4</w:t>
        </w:r>
        <w:r w:rsidR="00AE7E3B" w:rsidRPr="00C36C8F">
          <w:rPr>
            <w:noProof/>
          </w:rPr>
          <w:t>-</w:t>
        </w:r>
        <w:r w:rsidR="00AE7E3B">
          <w:rPr>
            <w:noProof/>
          </w:rPr>
          <w:t>25</w:t>
        </w:r>
      </w:fldSimple>
      <w:r w:rsidR="006F6D79" w:rsidRPr="00C36C8F">
        <w:t xml:space="preserve"> </w:t>
      </w:r>
      <w:r w:rsidR="00DE05C7" w:rsidRPr="00C36C8F">
        <w:t>provides an overview of the sources of the South Australian waste disposal and recovery data, upon which the jurisdictional review and national figures for the 2008</w:t>
      </w:r>
      <w:r w:rsidR="009D57A4" w:rsidRPr="00C36C8F">
        <w:t>–</w:t>
      </w:r>
      <w:r w:rsidR="00DE05C7" w:rsidRPr="00C36C8F">
        <w:t>09 reporting period are based.</w:t>
      </w:r>
    </w:p>
    <w:p w:rsidR="00DE05C7" w:rsidRPr="00C36C8F" w:rsidRDefault="00F05CEC" w:rsidP="004307B9">
      <w:pPr>
        <w:pStyle w:val="Caption"/>
        <w:spacing w:before="120" w:after="60"/>
      </w:pPr>
      <w:bookmarkStart w:id="173" w:name="_Ref287277199"/>
      <w:bookmarkStart w:id="174" w:name="_Ref287277196"/>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25</w:t>
      </w:r>
      <w:r w:rsidR="00B9555F" w:rsidRPr="00C36C8F">
        <w:rPr>
          <w:noProof/>
        </w:rPr>
        <w:fldChar w:fldCharType="end"/>
      </w:r>
      <w:bookmarkEnd w:id="173"/>
      <w:r w:rsidRPr="00C36C8F">
        <w:tab/>
      </w:r>
      <w:r w:rsidR="00DE05C7" w:rsidRPr="00C36C8F">
        <w:t>Sources of South Australian waste disposal and recovery data</w:t>
      </w:r>
      <w:bookmarkEnd w:id="174"/>
    </w:p>
    <w:tbl>
      <w:tblPr>
        <w:tblW w:w="0" w:type="auto"/>
        <w:tblBorders>
          <w:bottom w:val="single" w:sz="18" w:space="0" w:color="808080"/>
          <w:insideH w:val="single" w:sz="4" w:space="0" w:color="808080"/>
        </w:tblBorders>
        <w:tblCellMar>
          <w:left w:w="0" w:type="dxa"/>
          <w:right w:w="0" w:type="dxa"/>
        </w:tblCellMar>
        <w:tblLook w:val="01E0"/>
      </w:tblPr>
      <w:tblGrid>
        <w:gridCol w:w="1498"/>
        <w:gridCol w:w="3464"/>
        <w:gridCol w:w="4819"/>
      </w:tblGrid>
      <w:tr w:rsidR="00315925" w:rsidRPr="00C36C8F" w:rsidTr="004307B9">
        <w:trPr>
          <w:cantSplit/>
          <w:tblHeader/>
        </w:trPr>
        <w:tc>
          <w:tcPr>
            <w:tcW w:w="0" w:type="auto"/>
            <w:shd w:val="clear" w:color="auto" w:fill="auto"/>
            <w:tcMar>
              <w:right w:w="142" w:type="dxa"/>
            </w:tcMar>
          </w:tcPr>
          <w:p w:rsidR="00315925" w:rsidRPr="00C36C8F" w:rsidRDefault="00315925" w:rsidP="00315925">
            <w:pPr>
              <w:pStyle w:val="TableHeading"/>
              <w:rPr>
                <w:kern w:val="28"/>
              </w:rPr>
            </w:pPr>
            <w:r w:rsidRPr="00C36C8F">
              <w:rPr>
                <w:kern w:val="28"/>
              </w:rPr>
              <w:t>Data field</w:t>
            </w:r>
          </w:p>
        </w:tc>
        <w:tc>
          <w:tcPr>
            <w:tcW w:w="3464" w:type="dxa"/>
            <w:shd w:val="clear" w:color="auto" w:fill="auto"/>
            <w:tcMar>
              <w:right w:w="142" w:type="dxa"/>
            </w:tcMar>
          </w:tcPr>
          <w:p w:rsidR="00315925" w:rsidRPr="00C36C8F" w:rsidRDefault="00315925" w:rsidP="00315925">
            <w:pPr>
              <w:pStyle w:val="TableHeading"/>
              <w:rPr>
                <w:kern w:val="28"/>
              </w:rPr>
            </w:pPr>
            <w:r w:rsidRPr="00C36C8F">
              <w:rPr>
                <w:kern w:val="28"/>
              </w:rPr>
              <w:t>Data Sources</w:t>
            </w:r>
          </w:p>
        </w:tc>
        <w:tc>
          <w:tcPr>
            <w:tcW w:w="4819" w:type="dxa"/>
            <w:tcMar>
              <w:right w:w="142" w:type="dxa"/>
            </w:tcMar>
          </w:tcPr>
          <w:p w:rsidR="00315925" w:rsidRPr="00C36C8F" w:rsidRDefault="00315925" w:rsidP="00315925">
            <w:pPr>
              <w:pStyle w:val="TableHeading"/>
              <w:rPr>
                <w:kern w:val="28"/>
              </w:rPr>
            </w:pPr>
            <w:r w:rsidRPr="00C36C8F">
              <w:rPr>
                <w:kern w:val="28"/>
              </w:rPr>
              <w:t>Data collation assumptions &amp; calculation methods</w:t>
            </w:r>
          </w:p>
        </w:tc>
      </w:tr>
      <w:tr w:rsidR="00315925" w:rsidRPr="00C36C8F" w:rsidTr="004307B9">
        <w:tblPrEx>
          <w:tblBorders>
            <w:bottom w:val="none" w:sz="0" w:space="0" w:color="auto"/>
            <w:insideH w:val="none" w:sz="0" w:space="0" w:color="auto"/>
          </w:tblBorders>
          <w:tblCellMar>
            <w:left w:w="108" w:type="dxa"/>
            <w:right w:w="108" w:type="dxa"/>
          </w:tblCellMar>
          <w:tblLook w:val="04A0"/>
        </w:tblPrEx>
        <w:trPr>
          <w:trHeight w:val="73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D73762">
            <w:pPr>
              <w:spacing w:after="0" w:line="240" w:lineRule="auto"/>
              <w:ind w:left="-108"/>
              <w:rPr>
                <w:sz w:val="18"/>
              </w:rPr>
            </w:pPr>
            <w:r w:rsidRPr="000B315F">
              <w:rPr>
                <w:sz w:val="18"/>
              </w:rPr>
              <w:t>Population data</w:t>
            </w:r>
          </w:p>
        </w:tc>
        <w:tc>
          <w:tcPr>
            <w:tcW w:w="3464" w:type="dxa"/>
            <w:tcBorders>
              <w:top w:val="nil"/>
              <w:left w:val="nil"/>
              <w:bottom w:val="single" w:sz="8" w:space="0" w:color="808080"/>
              <w:right w:val="nil"/>
            </w:tcBorders>
            <w:shd w:val="clear" w:color="auto" w:fill="auto"/>
            <w:tcMar>
              <w:right w:w="142" w:type="dxa"/>
            </w:tcMar>
            <w:hideMark/>
          </w:tcPr>
          <w:p w:rsidR="00315925" w:rsidRPr="000B315F" w:rsidRDefault="00315925" w:rsidP="00D73762">
            <w:pPr>
              <w:spacing w:after="0" w:line="240" w:lineRule="auto"/>
              <w:ind w:left="-46"/>
              <w:rPr>
                <w:sz w:val="18"/>
              </w:rPr>
            </w:pPr>
            <w:r w:rsidRPr="000B315F">
              <w:rPr>
                <w:sz w:val="18"/>
              </w:rPr>
              <w:t>Australian Bureau of Statistics, ABS Release 3101.04 – Estimated Resident Population, States and Territories (Number), June 2009, Canberra, Australia.</w:t>
            </w:r>
          </w:p>
        </w:tc>
        <w:tc>
          <w:tcPr>
            <w:tcW w:w="4819"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None.</w:t>
            </w:r>
          </w:p>
        </w:tc>
      </w:tr>
      <w:tr w:rsidR="00315925" w:rsidRPr="00C36C8F" w:rsidTr="004307B9">
        <w:tblPrEx>
          <w:tblBorders>
            <w:bottom w:val="none" w:sz="0" w:space="0" w:color="auto"/>
            <w:insideH w:val="none" w:sz="0" w:space="0" w:color="auto"/>
          </w:tblBorders>
          <w:tblCellMar>
            <w:left w:w="108" w:type="dxa"/>
            <w:right w:w="108" w:type="dxa"/>
          </w:tblCellMar>
          <w:tblLook w:val="04A0"/>
        </w:tblPrEx>
        <w:trPr>
          <w:trHeight w:val="409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D73762">
            <w:pPr>
              <w:spacing w:after="0" w:line="240" w:lineRule="auto"/>
              <w:ind w:left="-108"/>
              <w:rPr>
                <w:sz w:val="18"/>
              </w:rPr>
            </w:pPr>
            <w:r w:rsidRPr="000B315F">
              <w:rPr>
                <w:sz w:val="18"/>
              </w:rPr>
              <w:t>Disposal to landfill - total quantity</w:t>
            </w:r>
          </w:p>
        </w:tc>
        <w:tc>
          <w:tcPr>
            <w:tcW w:w="3464" w:type="dxa"/>
            <w:tcBorders>
              <w:top w:val="nil"/>
              <w:left w:val="nil"/>
              <w:bottom w:val="single" w:sz="8" w:space="0" w:color="808080"/>
              <w:right w:val="nil"/>
            </w:tcBorders>
            <w:shd w:val="clear" w:color="auto" w:fill="auto"/>
            <w:tcMar>
              <w:right w:w="142" w:type="dxa"/>
            </w:tcMar>
            <w:hideMark/>
          </w:tcPr>
          <w:p w:rsidR="00315925" w:rsidRPr="000B315F" w:rsidRDefault="00315925" w:rsidP="00D73762">
            <w:pPr>
              <w:spacing w:after="240" w:line="240" w:lineRule="auto"/>
              <w:ind w:left="-46"/>
              <w:rPr>
                <w:sz w:val="18"/>
              </w:rPr>
            </w:pPr>
            <w:r w:rsidRPr="000B315F">
              <w:rPr>
                <w:sz w:val="18"/>
              </w:rPr>
              <w:t xml:space="preserve">1. Hyder Consulting, </w:t>
            </w:r>
            <w:r w:rsidR="005338E9" w:rsidRPr="000B315F">
              <w:rPr>
                <w:i/>
                <w:sz w:val="18"/>
              </w:rPr>
              <w:t>Recycling activity in South Australia 2008–09</w:t>
            </w:r>
            <w:r w:rsidRPr="000B315F">
              <w:rPr>
                <w:sz w:val="18"/>
              </w:rPr>
              <w:t>, prepared for Zero Waste South Australia, 20 May 2010b.</w:t>
            </w:r>
            <w:r w:rsidRPr="000B315F">
              <w:rPr>
                <w:sz w:val="18"/>
              </w:rPr>
              <w:br/>
              <w:t>2. Energy recovery estimates - various sources [Clean Energy Council (2010); Golder (2009); Green Energy Markets for Energy Developments (2008)].</w:t>
            </w:r>
            <w:r w:rsidRPr="000B315F">
              <w:rPr>
                <w:sz w:val="18"/>
              </w:rPr>
              <w:br/>
              <w:t>3. Ash Development Association of Australia, Annual membership survey results: January - December 2009. Prepared by HBM Group Pty Ltd.</w:t>
            </w:r>
          </w:p>
        </w:tc>
        <w:tc>
          <w:tcPr>
            <w:tcW w:w="4819" w:type="dxa"/>
            <w:tcBorders>
              <w:top w:val="nil"/>
              <w:left w:val="nil"/>
              <w:bottom w:val="single" w:sz="8" w:space="0" w:color="808080"/>
              <w:right w:val="nil"/>
            </w:tcBorders>
            <w:shd w:val="clear" w:color="auto" w:fill="auto"/>
            <w:tcMar>
              <w:right w:w="142" w:type="dxa"/>
            </w:tcMar>
            <w:hideMark/>
          </w:tcPr>
          <w:p w:rsidR="00315925" w:rsidRPr="000B315F" w:rsidRDefault="00315925" w:rsidP="004C75D4">
            <w:pPr>
              <w:spacing w:after="0" w:line="240" w:lineRule="auto"/>
              <w:ind w:left="0"/>
              <w:rPr>
                <w:sz w:val="18"/>
              </w:rPr>
            </w:pPr>
            <w:r w:rsidRPr="000B315F">
              <w:rPr>
                <w:sz w:val="18"/>
              </w:rPr>
              <w:t>1. Total disposal to landfill data for South Australia during 2008</w:t>
            </w:r>
            <w:r w:rsidR="00E1378F" w:rsidRPr="000B315F">
              <w:rPr>
                <w:sz w:val="18"/>
              </w:rPr>
              <w:t>–</w:t>
            </w:r>
            <w:r w:rsidRPr="000B315F">
              <w:rPr>
                <w:sz w:val="18"/>
              </w:rPr>
              <w:t>09 was primarily based upon data sourced from Hyder (2010b). This data did not account for the disposal of fly ash, or the recovery of all organic materials recovered through energy recovery, see points 2 and 3 for the description of the determination of the disposed quantities of these materials.</w:t>
            </w:r>
            <w:r w:rsidRPr="000B315F">
              <w:rPr>
                <w:sz w:val="18"/>
              </w:rPr>
              <w:br/>
              <w:t>2. Data for the disposal to landfill of fly ash is based upon South Australia's estimated generation as based upon its proportion of national installed capacity of coal fired power stations, and the known national total generation (ADAA 2009). From this estimated SA generation is subtracted the known recovery of fly ash in SA (Hyder 2010b) to determine disposal.</w:t>
            </w:r>
            <w:r w:rsidRPr="000B315F">
              <w:rPr>
                <w:sz w:val="18"/>
              </w:rPr>
              <w:br/>
              <w:t>3. An estimate of the relatively small quantity of organic materials recovered through energy recovery was also subtracted from SA disposal to landfill in 2008</w:t>
            </w:r>
            <w:r w:rsidR="00AB1315" w:rsidRPr="000B315F">
              <w:rPr>
                <w:sz w:val="18"/>
              </w:rPr>
              <w:t>–</w:t>
            </w:r>
            <w:r w:rsidRPr="000B315F">
              <w:rPr>
                <w:sz w:val="18"/>
              </w:rPr>
              <w:t>09. See Section 3.1 (Recommendation 6) for a detailed outline of the method applied to determine the total quantity of waste recovered through energy recovery processes.</w:t>
            </w:r>
          </w:p>
        </w:tc>
      </w:tr>
      <w:tr w:rsidR="00315925" w:rsidRPr="00C36C8F" w:rsidTr="004307B9">
        <w:tblPrEx>
          <w:tblBorders>
            <w:bottom w:val="none" w:sz="0" w:space="0" w:color="auto"/>
            <w:insideH w:val="none" w:sz="0" w:space="0" w:color="auto"/>
          </w:tblBorders>
          <w:tblCellMar>
            <w:left w:w="108" w:type="dxa"/>
            <w:right w:w="108" w:type="dxa"/>
          </w:tblCellMar>
          <w:tblLook w:val="04A0"/>
        </w:tblPrEx>
        <w:trPr>
          <w:trHeight w:val="145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D73762">
            <w:pPr>
              <w:spacing w:after="0" w:line="240" w:lineRule="auto"/>
              <w:ind w:left="-108"/>
              <w:rPr>
                <w:sz w:val="18"/>
              </w:rPr>
            </w:pPr>
            <w:r w:rsidRPr="000B315F">
              <w:rPr>
                <w:sz w:val="18"/>
              </w:rPr>
              <w:t>Recycling - total quantity</w:t>
            </w:r>
          </w:p>
        </w:tc>
        <w:tc>
          <w:tcPr>
            <w:tcW w:w="3464" w:type="dxa"/>
            <w:tcBorders>
              <w:top w:val="nil"/>
              <w:left w:val="nil"/>
              <w:bottom w:val="single" w:sz="8" w:space="0" w:color="808080"/>
              <w:right w:val="nil"/>
            </w:tcBorders>
            <w:shd w:val="clear" w:color="auto" w:fill="auto"/>
            <w:tcMar>
              <w:right w:w="142" w:type="dxa"/>
            </w:tcMar>
            <w:hideMark/>
          </w:tcPr>
          <w:p w:rsidR="00315925" w:rsidRPr="000B315F" w:rsidRDefault="00315925" w:rsidP="00D73762">
            <w:pPr>
              <w:spacing w:after="240" w:line="240" w:lineRule="auto"/>
              <w:ind w:left="-46"/>
              <w:rPr>
                <w:sz w:val="18"/>
              </w:rPr>
            </w:pPr>
            <w:r w:rsidRPr="000B315F">
              <w:rPr>
                <w:sz w:val="18"/>
              </w:rPr>
              <w:t xml:space="preserve">1. Hyder Consulting, </w:t>
            </w:r>
            <w:r w:rsidRPr="000B315F">
              <w:rPr>
                <w:i/>
                <w:sz w:val="18"/>
              </w:rPr>
              <w:t>Recycling activity in South Australia 2008</w:t>
            </w:r>
            <w:r w:rsidR="00E1378F" w:rsidRPr="000B315F">
              <w:rPr>
                <w:i/>
                <w:sz w:val="18"/>
              </w:rPr>
              <w:t>–</w:t>
            </w:r>
            <w:r w:rsidRPr="000B315F">
              <w:rPr>
                <w:i/>
                <w:sz w:val="18"/>
              </w:rPr>
              <w:t>09</w:t>
            </w:r>
            <w:r w:rsidRPr="000B315F">
              <w:rPr>
                <w:sz w:val="18"/>
              </w:rPr>
              <w:t>, prepared for Zero Waste South Australia, 20 May 2010b.</w:t>
            </w:r>
            <w:r w:rsidRPr="000B315F">
              <w:rPr>
                <w:sz w:val="18"/>
              </w:rPr>
              <w:br/>
              <w:t xml:space="preserve">2. Recycled Organics Unit, </w:t>
            </w:r>
            <w:r w:rsidRPr="000B315F">
              <w:rPr>
                <w:i/>
                <w:sz w:val="18"/>
              </w:rPr>
              <w:t>Organics Recycling in Australia: Industry Statistics 2009</w:t>
            </w:r>
            <w:r w:rsidRPr="000B315F">
              <w:rPr>
                <w:sz w:val="18"/>
              </w:rPr>
              <w:t>, revised edition December 2009.</w:t>
            </w:r>
          </w:p>
        </w:tc>
        <w:tc>
          <w:tcPr>
            <w:tcW w:w="4819"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1. Total recycling data for South Australia during 2008</w:t>
            </w:r>
            <w:r w:rsidR="00E1378F" w:rsidRPr="000B315F">
              <w:rPr>
                <w:sz w:val="18"/>
              </w:rPr>
              <w:t>–</w:t>
            </w:r>
            <w:r w:rsidRPr="000B315F">
              <w:rPr>
                <w:sz w:val="18"/>
              </w:rPr>
              <w:t>09 was primarily based upon data sourced from Hyder (2010b).</w:t>
            </w:r>
            <w:r w:rsidRPr="000B315F">
              <w:rPr>
                <w:sz w:val="18"/>
              </w:rPr>
              <w:br/>
              <w:t>2. The exception to point 1 above relates to the quantification of organics recycling, which was sourced from ROU (2009). Primary production wastes relating to Recommendation 10 and 11 (Section 3.5) were excluded from the ROU (2009) data.</w:t>
            </w:r>
          </w:p>
        </w:tc>
      </w:tr>
      <w:tr w:rsidR="00315925" w:rsidRPr="00C36C8F" w:rsidTr="004307B9">
        <w:tblPrEx>
          <w:tblBorders>
            <w:bottom w:val="none" w:sz="0" w:space="0" w:color="auto"/>
            <w:insideH w:val="none" w:sz="0" w:space="0" w:color="auto"/>
          </w:tblBorders>
          <w:tblCellMar>
            <w:left w:w="108" w:type="dxa"/>
            <w:right w:w="108" w:type="dxa"/>
          </w:tblCellMar>
          <w:tblLook w:val="04A0"/>
        </w:tblPrEx>
        <w:trPr>
          <w:trHeight w:val="169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D73762">
            <w:pPr>
              <w:spacing w:after="0" w:line="240" w:lineRule="auto"/>
              <w:ind w:left="-108"/>
              <w:rPr>
                <w:sz w:val="18"/>
              </w:rPr>
            </w:pPr>
            <w:r w:rsidRPr="000B315F">
              <w:rPr>
                <w:sz w:val="18"/>
              </w:rPr>
              <w:t>Energy recovery - total quantity</w:t>
            </w:r>
          </w:p>
        </w:tc>
        <w:tc>
          <w:tcPr>
            <w:tcW w:w="3464" w:type="dxa"/>
            <w:tcBorders>
              <w:top w:val="nil"/>
              <w:left w:val="nil"/>
              <w:bottom w:val="single" w:sz="8" w:space="0" w:color="808080"/>
              <w:right w:val="nil"/>
            </w:tcBorders>
            <w:shd w:val="clear" w:color="auto" w:fill="auto"/>
            <w:tcMar>
              <w:right w:w="142" w:type="dxa"/>
            </w:tcMar>
            <w:hideMark/>
          </w:tcPr>
          <w:p w:rsidR="00315925" w:rsidRPr="000B315F" w:rsidRDefault="00315925" w:rsidP="00D73762">
            <w:pPr>
              <w:spacing w:after="0" w:line="240" w:lineRule="auto"/>
              <w:ind w:left="-46"/>
              <w:rPr>
                <w:sz w:val="18"/>
              </w:rPr>
            </w:pPr>
            <w:r w:rsidRPr="000B315F">
              <w:rPr>
                <w:sz w:val="18"/>
              </w:rPr>
              <w:t>1. Landfill energy recovery estimates - various sources [Clean Energy Council (2010); Golder (2009); Green Energy Markets for Energy Developments (2008)].</w:t>
            </w:r>
            <w:r w:rsidRPr="000B315F">
              <w:rPr>
                <w:sz w:val="18"/>
              </w:rPr>
              <w:br/>
              <w:t>2. Cement Industry Federation, Sustainability Report 2009, Australia Cement Industry report, 2009.</w:t>
            </w:r>
            <w:r w:rsidRPr="000B315F">
              <w:rPr>
                <w:sz w:val="18"/>
              </w:rPr>
              <w:br/>
              <w:t xml:space="preserve">3. Hyder Consulting, </w:t>
            </w:r>
            <w:r w:rsidRPr="000B315F">
              <w:rPr>
                <w:i/>
                <w:sz w:val="18"/>
              </w:rPr>
              <w:t>Recycling activity in South Australia 2008</w:t>
            </w:r>
            <w:r w:rsidR="00E1378F" w:rsidRPr="000B315F">
              <w:rPr>
                <w:i/>
                <w:sz w:val="18"/>
              </w:rPr>
              <w:t>–</w:t>
            </w:r>
            <w:r w:rsidRPr="000B315F">
              <w:rPr>
                <w:i/>
                <w:sz w:val="18"/>
              </w:rPr>
              <w:t>09</w:t>
            </w:r>
            <w:r w:rsidRPr="000B315F">
              <w:rPr>
                <w:sz w:val="18"/>
              </w:rPr>
              <w:t>, prepared for Zero Waste South Australia, 20 May 2010b.</w:t>
            </w:r>
          </w:p>
        </w:tc>
        <w:tc>
          <w:tcPr>
            <w:tcW w:w="4819"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1. Total energy recovery was calculated using the sources and method outlined in detail in Section 3.1 (Recommendation 6). The majority of energy recovery in South Australia during 2008</w:t>
            </w:r>
            <w:r w:rsidR="00E1378F" w:rsidRPr="000B315F">
              <w:rPr>
                <w:sz w:val="18"/>
              </w:rPr>
              <w:t>–</w:t>
            </w:r>
            <w:r w:rsidRPr="000B315F">
              <w:rPr>
                <w:sz w:val="18"/>
              </w:rPr>
              <w:t>09 was through solid waste combustion (primarily waste timber) in cement kilns (CIF 2009 and Hyder 2010b). However, a reasonable quantity methane capture at landfills also occurred.</w:t>
            </w:r>
          </w:p>
        </w:tc>
      </w:tr>
      <w:tr w:rsidR="00315925" w:rsidRPr="00C36C8F" w:rsidTr="004307B9">
        <w:trPr>
          <w:trHeight w:val="1695"/>
        </w:trPr>
        <w:tc>
          <w:tcPr>
            <w:tcW w:w="0" w:type="auto"/>
            <w:tcBorders>
              <w:top w:val="single" w:sz="8" w:space="0" w:color="808080"/>
            </w:tcBorders>
            <w:tcMar>
              <w:right w:w="142" w:type="dxa"/>
            </w:tcMar>
            <w:hideMark/>
          </w:tcPr>
          <w:p w:rsidR="00315925" w:rsidRPr="000B315F" w:rsidRDefault="00315925" w:rsidP="00315925">
            <w:pPr>
              <w:spacing w:after="0" w:line="240" w:lineRule="auto"/>
              <w:ind w:left="0"/>
              <w:rPr>
                <w:sz w:val="18"/>
              </w:rPr>
            </w:pPr>
            <w:r w:rsidRPr="000B315F">
              <w:rPr>
                <w:sz w:val="18"/>
              </w:rPr>
              <w:t>Disposal to landfill - waste stream splits</w:t>
            </w:r>
          </w:p>
        </w:tc>
        <w:tc>
          <w:tcPr>
            <w:tcW w:w="3464" w:type="dxa"/>
            <w:tcBorders>
              <w:top w:val="single" w:sz="8" w:space="0" w:color="808080"/>
            </w:tcBorders>
            <w:tcMar>
              <w:right w:w="142" w:type="dxa"/>
            </w:tcMar>
            <w:hideMark/>
          </w:tcPr>
          <w:p w:rsidR="00315925" w:rsidRPr="000B315F" w:rsidRDefault="00315925" w:rsidP="004307B9">
            <w:pPr>
              <w:spacing w:after="60" w:line="240" w:lineRule="auto"/>
              <w:ind w:left="0"/>
              <w:rPr>
                <w:sz w:val="18"/>
              </w:rPr>
            </w:pPr>
            <w:r w:rsidRPr="000B315F">
              <w:rPr>
                <w:sz w:val="18"/>
              </w:rPr>
              <w:t xml:space="preserve">1. Hyder Consulting, </w:t>
            </w:r>
            <w:r w:rsidRPr="000B315F">
              <w:rPr>
                <w:i/>
                <w:sz w:val="18"/>
              </w:rPr>
              <w:t>Recycling activity in South Australia 2008</w:t>
            </w:r>
            <w:r w:rsidR="00E1378F" w:rsidRPr="000B315F">
              <w:rPr>
                <w:i/>
                <w:sz w:val="18"/>
              </w:rPr>
              <w:t>–</w:t>
            </w:r>
            <w:r w:rsidRPr="000B315F">
              <w:rPr>
                <w:i/>
                <w:sz w:val="18"/>
              </w:rPr>
              <w:t>09</w:t>
            </w:r>
            <w:r w:rsidRPr="000B315F">
              <w:rPr>
                <w:sz w:val="18"/>
              </w:rPr>
              <w:t>, prepared for Zero Waste South Australia, 20 May 2010b.</w:t>
            </w:r>
            <w:r w:rsidRPr="000B315F">
              <w:rPr>
                <w:sz w:val="18"/>
              </w:rPr>
              <w:br/>
              <w:t>2. Ash Development Association of Australia, Annual membership survey results: January - December 2009. Prepared by HBM Group Pty Ltd.</w:t>
            </w:r>
          </w:p>
        </w:tc>
        <w:tc>
          <w:tcPr>
            <w:tcW w:w="4819" w:type="dxa"/>
            <w:tcBorders>
              <w:top w:val="single" w:sz="8" w:space="0" w:color="808080"/>
            </w:tcBorders>
            <w:tcMar>
              <w:right w:w="142" w:type="dxa"/>
            </w:tcMar>
            <w:hideMark/>
          </w:tcPr>
          <w:p w:rsidR="00315925" w:rsidRPr="000B315F" w:rsidRDefault="00315925" w:rsidP="00315925">
            <w:pPr>
              <w:spacing w:after="0" w:line="240" w:lineRule="auto"/>
              <w:ind w:left="0"/>
              <w:rPr>
                <w:sz w:val="18"/>
              </w:rPr>
            </w:pPr>
            <w:r w:rsidRPr="000B315F">
              <w:rPr>
                <w:sz w:val="18"/>
              </w:rPr>
              <w:t>1. Disposal to landfill by waste stream data for South Australia during 2008</w:t>
            </w:r>
            <w:r w:rsidR="00E1378F" w:rsidRPr="000B315F">
              <w:rPr>
                <w:sz w:val="18"/>
              </w:rPr>
              <w:t>–</w:t>
            </w:r>
            <w:r w:rsidRPr="000B315F">
              <w:rPr>
                <w:sz w:val="18"/>
              </w:rPr>
              <w:t>09 was primarily based upon data sourced from Hyder (2010b). This data did not account for the disposal of fly ash, which was allocated to the C&amp;I sector.</w:t>
            </w:r>
          </w:p>
        </w:tc>
      </w:tr>
      <w:tr w:rsidR="00315925" w:rsidRPr="00C36C8F" w:rsidTr="004307B9">
        <w:tblPrEx>
          <w:tblBorders>
            <w:bottom w:val="none" w:sz="0" w:space="0" w:color="auto"/>
            <w:insideH w:val="none" w:sz="0" w:space="0" w:color="auto"/>
          </w:tblBorders>
          <w:tblCellMar>
            <w:left w:w="108" w:type="dxa"/>
            <w:right w:w="108" w:type="dxa"/>
          </w:tblCellMar>
          <w:tblLook w:val="04A0"/>
        </w:tblPrEx>
        <w:trPr>
          <w:trHeight w:val="1759"/>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4F326F">
            <w:pPr>
              <w:spacing w:after="0" w:line="240" w:lineRule="auto"/>
              <w:ind w:left="-108"/>
              <w:rPr>
                <w:sz w:val="18"/>
              </w:rPr>
            </w:pPr>
            <w:r w:rsidRPr="000B315F">
              <w:rPr>
                <w:sz w:val="18"/>
              </w:rPr>
              <w:t>Recycling - waste stream splits</w:t>
            </w:r>
          </w:p>
        </w:tc>
        <w:tc>
          <w:tcPr>
            <w:tcW w:w="3464" w:type="dxa"/>
            <w:tcBorders>
              <w:top w:val="nil"/>
              <w:left w:val="nil"/>
              <w:bottom w:val="single" w:sz="8" w:space="0" w:color="808080"/>
              <w:right w:val="nil"/>
            </w:tcBorders>
            <w:shd w:val="clear" w:color="auto" w:fill="auto"/>
            <w:tcMar>
              <w:right w:w="142" w:type="dxa"/>
            </w:tcMar>
            <w:hideMark/>
          </w:tcPr>
          <w:p w:rsidR="00315925" w:rsidRPr="000B315F" w:rsidRDefault="00315925" w:rsidP="004F326F">
            <w:pPr>
              <w:spacing w:after="0" w:line="240" w:lineRule="auto"/>
              <w:ind w:left="-46"/>
              <w:rPr>
                <w:sz w:val="18"/>
              </w:rPr>
            </w:pPr>
            <w:r w:rsidRPr="000B315F">
              <w:rPr>
                <w:sz w:val="18"/>
              </w:rPr>
              <w:t xml:space="preserve">1. Hyder Consulting, </w:t>
            </w:r>
            <w:r w:rsidRPr="000B315F">
              <w:rPr>
                <w:i/>
                <w:sz w:val="18"/>
              </w:rPr>
              <w:t>Recycling activity in South Australia 2008</w:t>
            </w:r>
            <w:r w:rsidR="00E1378F" w:rsidRPr="000B315F">
              <w:rPr>
                <w:i/>
                <w:sz w:val="18"/>
              </w:rPr>
              <w:t>–</w:t>
            </w:r>
            <w:r w:rsidRPr="000B315F">
              <w:rPr>
                <w:i/>
                <w:sz w:val="18"/>
              </w:rPr>
              <w:t>09</w:t>
            </w:r>
            <w:r w:rsidRPr="000B315F">
              <w:rPr>
                <w:sz w:val="18"/>
              </w:rPr>
              <w:t>, prepared for Zero Waste South Australia, 20 May 2010b.</w:t>
            </w:r>
            <w:r w:rsidRPr="000B315F">
              <w:rPr>
                <w:sz w:val="18"/>
              </w:rPr>
              <w:br/>
              <w:t xml:space="preserve">2. Recycled Organics Unit, </w:t>
            </w:r>
            <w:r w:rsidRPr="000B315F">
              <w:rPr>
                <w:i/>
                <w:sz w:val="18"/>
              </w:rPr>
              <w:t>Organics Recycling in Australia: Industry Statistics 2009</w:t>
            </w:r>
            <w:r w:rsidRPr="000B315F">
              <w:rPr>
                <w:sz w:val="18"/>
              </w:rPr>
              <w:t>, revised edition December 2009.</w:t>
            </w:r>
          </w:p>
        </w:tc>
        <w:tc>
          <w:tcPr>
            <w:tcW w:w="4819" w:type="dxa"/>
            <w:tcBorders>
              <w:top w:val="nil"/>
              <w:left w:val="nil"/>
              <w:bottom w:val="single" w:sz="8" w:space="0" w:color="808080"/>
              <w:right w:val="nil"/>
            </w:tcBorders>
            <w:shd w:val="clear" w:color="auto" w:fill="auto"/>
            <w:tcMar>
              <w:right w:w="142" w:type="dxa"/>
            </w:tcMar>
            <w:hideMark/>
          </w:tcPr>
          <w:p w:rsidR="00315925" w:rsidRPr="000B315F" w:rsidRDefault="00315925" w:rsidP="00585800">
            <w:pPr>
              <w:spacing w:after="0" w:line="240" w:lineRule="auto"/>
              <w:ind w:left="-109"/>
              <w:rPr>
                <w:sz w:val="18"/>
              </w:rPr>
            </w:pPr>
            <w:r w:rsidRPr="000B315F">
              <w:rPr>
                <w:sz w:val="18"/>
              </w:rPr>
              <w:t>1. Recycling by waste stream data for South Australia during 2008</w:t>
            </w:r>
            <w:r w:rsidR="00E1378F" w:rsidRPr="000B315F">
              <w:rPr>
                <w:sz w:val="18"/>
              </w:rPr>
              <w:t>–</w:t>
            </w:r>
            <w:r w:rsidRPr="000B315F">
              <w:rPr>
                <w:sz w:val="18"/>
              </w:rPr>
              <w:t>09 was primarily based upon data sourced from Hyder (2010b).</w:t>
            </w:r>
            <w:r w:rsidRPr="000B315F">
              <w:rPr>
                <w:sz w:val="18"/>
              </w:rPr>
              <w:br/>
              <w:t>2. The exception to point 1 above relates to the quantification of organics recycling, which was sourced from ROU (2009). Primary production wastes relating to Recommendation 10 and 11 (Section 3.5) were excluded from the ROU (2009) data.</w:t>
            </w:r>
          </w:p>
        </w:tc>
      </w:tr>
      <w:tr w:rsidR="00315925" w:rsidRPr="00C36C8F" w:rsidTr="004307B9">
        <w:tblPrEx>
          <w:tblBorders>
            <w:bottom w:val="none" w:sz="0" w:space="0" w:color="auto"/>
            <w:insideH w:val="none" w:sz="0" w:space="0" w:color="auto"/>
          </w:tblBorders>
          <w:tblCellMar>
            <w:left w:w="108" w:type="dxa"/>
            <w:right w:w="108" w:type="dxa"/>
          </w:tblCellMar>
          <w:tblLook w:val="04A0"/>
        </w:tblPrEx>
        <w:trPr>
          <w:trHeight w:val="169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4F326F">
            <w:pPr>
              <w:spacing w:after="0" w:line="240" w:lineRule="auto"/>
              <w:ind w:left="-108"/>
              <w:rPr>
                <w:sz w:val="18"/>
              </w:rPr>
            </w:pPr>
            <w:r w:rsidRPr="000B315F">
              <w:rPr>
                <w:sz w:val="18"/>
              </w:rPr>
              <w:t>Energy recovery - waste stream splits</w:t>
            </w:r>
          </w:p>
        </w:tc>
        <w:tc>
          <w:tcPr>
            <w:tcW w:w="3464" w:type="dxa"/>
            <w:tcBorders>
              <w:top w:val="nil"/>
              <w:left w:val="nil"/>
              <w:bottom w:val="single" w:sz="8" w:space="0" w:color="808080"/>
              <w:right w:val="nil"/>
            </w:tcBorders>
            <w:shd w:val="clear" w:color="auto" w:fill="auto"/>
            <w:tcMar>
              <w:right w:w="142" w:type="dxa"/>
            </w:tcMar>
            <w:hideMark/>
          </w:tcPr>
          <w:p w:rsidR="00315925" w:rsidRPr="000B315F" w:rsidRDefault="00315925" w:rsidP="004307B9">
            <w:pPr>
              <w:spacing w:after="120" w:line="240" w:lineRule="auto"/>
              <w:ind w:left="-46"/>
              <w:rPr>
                <w:sz w:val="18"/>
              </w:rPr>
            </w:pPr>
            <w:r w:rsidRPr="000B315F">
              <w:rPr>
                <w:sz w:val="18"/>
              </w:rPr>
              <w:t>1. Landfill energy recovery estimates - various sources [Clean Energy Council (2010); Golder (2009); Green Energy Markets for Energy Developments (2008)].</w:t>
            </w:r>
            <w:r w:rsidRPr="000B315F">
              <w:rPr>
                <w:sz w:val="18"/>
              </w:rPr>
              <w:br/>
              <w:t xml:space="preserve">2. Cement Industry Federation, </w:t>
            </w:r>
            <w:r w:rsidRPr="000B315F">
              <w:rPr>
                <w:i/>
                <w:sz w:val="18"/>
              </w:rPr>
              <w:t>Sustainability Report 2009</w:t>
            </w:r>
            <w:r w:rsidRPr="000B315F">
              <w:rPr>
                <w:sz w:val="18"/>
              </w:rPr>
              <w:t>, Australia Cement Industry report, 2009.</w:t>
            </w:r>
            <w:r w:rsidRPr="000B315F">
              <w:rPr>
                <w:sz w:val="18"/>
              </w:rPr>
              <w:br/>
              <w:t xml:space="preserve">3. Hyder Consulting, </w:t>
            </w:r>
            <w:r w:rsidRPr="000B315F">
              <w:rPr>
                <w:i/>
                <w:sz w:val="18"/>
              </w:rPr>
              <w:t>Recycling activity in South Australia 2008</w:t>
            </w:r>
            <w:r w:rsidR="00E1378F" w:rsidRPr="000B315F">
              <w:rPr>
                <w:i/>
                <w:sz w:val="18"/>
              </w:rPr>
              <w:t>–</w:t>
            </w:r>
            <w:r w:rsidRPr="000B315F">
              <w:rPr>
                <w:i/>
                <w:sz w:val="18"/>
              </w:rPr>
              <w:t>09</w:t>
            </w:r>
            <w:r w:rsidRPr="000B315F">
              <w:rPr>
                <w:sz w:val="18"/>
              </w:rPr>
              <w:t>, prepared for Zero Waste South Australia, 20</w:t>
            </w:r>
            <w:r w:rsidR="004307B9">
              <w:rPr>
                <w:sz w:val="18"/>
              </w:rPr>
              <w:t>/5/</w:t>
            </w:r>
            <w:r w:rsidRPr="000B315F">
              <w:rPr>
                <w:sz w:val="18"/>
              </w:rPr>
              <w:t>10b.</w:t>
            </w:r>
          </w:p>
        </w:tc>
        <w:tc>
          <w:tcPr>
            <w:tcW w:w="4819" w:type="dxa"/>
            <w:tcBorders>
              <w:top w:val="nil"/>
              <w:left w:val="nil"/>
              <w:bottom w:val="single" w:sz="8" w:space="0" w:color="808080"/>
              <w:right w:val="nil"/>
            </w:tcBorders>
            <w:shd w:val="clear" w:color="auto" w:fill="auto"/>
            <w:tcMar>
              <w:right w:w="142" w:type="dxa"/>
            </w:tcMar>
            <w:hideMark/>
          </w:tcPr>
          <w:p w:rsidR="00315925" w:rsidRPr="000B315F" w:rsidRDefault="00315925" w:rsidP="00585800">
            <w:pPr>
              <w:spacing w:after="0" w:line="240" w:lineRule="auto"/>
              <w:ind w:left="-109"/>
              <w:rPr>
                <w:sz w:val="18"/>
              </w:rPr>
            </w:pPr>
            <w:r w:rsidRPr="000B315F">
              <w:rPr>
                <w:sz w:val="18"/>
              </w:rPr>
              <w:t>1. Energy recovery by waste stream was calculated using the data sources identified here and the method outlined in detail in Section 3.1 (Recommendation 6).</w:t>
            </w:r>
          </w:p>
        </w:tc>
      </w:tr>
      <w:tr w:rsidR="00315925" w:rsidRPr="00C36C8F" w:rsidTr="004307B9">
        <w:tblPrEx>
          <w:tblBorders>
            <w:bottom w:val="none" w:sz="0" w:space="0" w:color="auto"/>
            <w:insideH w:val="none" w:sz="0" w:space="0" w:color="auto"/>
          </w:tblBorders>
          <w:tblCellMar>
            <w:left w:w="108" w:type="dxa"/>
            <w:right w:w="108" w:type="dxa"/>
          </w:tblCellMar>
          <w:tblLook w:val="04A0"/>
        </w:tblPrEx>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4F326F">
            <w:pPr>
              <w:spacing w:after="0" w:line="240" w:lineRule="auto"/>
              <w:ind w:left="-108"/>
              <w:rPr>
                <w:sz w:val="18"/>
              </w:rPr>
            </w:pPr>
            <w:r w:rsidRPr="000B315F">
              <w:rPr>
                <w:sz w:val="18"/>
              </w:rPr>
              <w:t>Disposal to landfill - material splits</w:t>
            </w:r>
          </w:p>
        </w:tc>
        <w:tc>
          <w:tcPr>
            <w:tcW w:w="3464" w:type="dxa"/>
            <w:tcBorders>
              <w:top w:val="nil"/>
              <w:left w:val="nil"/>
              <w:bottom w:val="single" w:sz="8" w:space="0" w:color="808080"/>
              <w:right w:val="nil"/>
            </w:tcBorders>
            <w:shd w:val="clear" w:color="auto" w:fill="auto"/>
            <w:tcMar>
              <w:right w:w="142" w:type="dxa"/>
            </w:tcMar>
            <w:hideMark/>
          </w:tcPr>
          <w:p w:rsidR="00315925" w:rsidRPr="000B315F" w:rsidRDefault="00315925" w:rsidP="004F326F">
            <w:pPr>
              <w:spacing w:after="0" w:line="240" w:lineRule="auto"/>
              <w:ind w:left="-46"/>
              <w:rPr>
                <w:sz w:val="18"/>
              </w:rPr>
            </w:pPr>
            <w:r w:rsidRPr="000B315F">
              <w:rPr>
                <w:sz w:val="18"/>
              </w:rPr>
              <w:t xml:space="preserve">1. Hyder Consulting, </w:t>
            </w:r>
            <w:r w:rsidRPr="000B315F">
              <w:rPr>
                <w:i/>
                <w:sz w:val="18"/>
              </w:rPr>
              <w:t>Recycling activity in South Australia 2008</w:t>
            </w:r>
            <w:r w:rsidR="00E1378F" w:rsidRPr="000B315F">
              <w:rPr>
                <w:i/>
                <w:sz w:val="18"/>
              </w:rPr>
              <w:t>–</w:t>
            </w:r>
            <w:r w:rsidRPr="000B315F">
              <w:rPr>
                <w:i/>
                <w:sz w:val="18"/>
              </w:rPr>
              <w:t>09</w:t>
            </w:r>
            <w:r w:rsidRPr="000B315F">
              <w:rPr>
                <w:sz w:val="18"/>
              </w:rPr>
              <w:t>, prepared for Zero Waste South Australia, 20 May 2010b.</w:t>
            </w:r>
            <w:r w:rsidRPr="000B315F">
              <w:rPr>
                <w:sz w:val="18"/>
              </w:rPr>
              <w:br/>
              <w:t>2. Ash Development Association of Australia, Annual membership survey results: January - December 2009. Prepared by HBM Group Pty Ltd.</w:t>
            </w:r>
            <w:r w:rsidRPr="000B315F">
              <w:rPr>
                <w:sz w:val="18"/>
              </w:rPr>
              <w:br/>
              <w:t>3. Various MSW waste audits [APC (2007); DECC (2004); Hyder (2008); Murdoch (1999); WACS and Golder (2005); ZWSA (2007)].</w:t>
            </w:r>
            <w:r w:rsidRPr="000B315F">
              <w:rPr>
                <w:sz w:val="18"/>
              </w:rPr>
              <w:br/>
              <w:t>4. Various C&amp;I waste audits [DEC NSW (2003); Golder and WACS (2007); WACS and Golder (2005); ZWSA (2007)].</w:t>
            </w:r>
            <w:r w:rsidRPr="000B315F">
              <w:rPr>
                <w:sz w:val="18"/>
              </w:rPr>
              <w:br/>
              <w:t>5. Various C&amp;D waste audits [DECC (2007); Golder and WACS (2007); WACS and Golder (2005); ZWSA (2007)].</w:t>
            </w:r>
          </w:p>
        </w:tc>
        <w:tc>
          <w:tcPr>
            <w:tcW w:w="4819" w:type="dxa"/>
            <w:tcBorders>
              <w:top w:val="nil"/>
              <w:left w:val="nil"/>
              <w:bottom w:val="single" w:sz="8" w:space="0" w:color="808080"/>
              <w:right w:val="nil"/>
            </w:tcBorders>
            <w:shd w:val="clear" w:color="auto" w:fill="auto"/>
            <w:tcMar>
              <w:right w:w="142" w:type="dxa"/>
            </w:tcMar>
            <w:hideMark/>
          </w:tcPr>
          <w:p w:rsidR="00315925" w:rsidRPr="000B315F" w:rsidRDefault="00315925" w:rsidP="004307B9">
            <w:pPr>
              <w:spacing w:after="60" w:line="240" w:lineRule="auto"/>
              <w:ind w:left="-108"/>
              <w:rPr>
                <w:sz w:val="18"/>
              </w:rPr>
            </w:pPr>
            <w:r w:rsidRPr="000B315F">
              <w:rPr>
                <w:sz w:val="18"/>
              </w:rPr>
              <w:t>1. The material splits for disposal to landfill in SA during 2008</w:t>
            </w:r>
            <w:r w:rsidR="00E1378F" w:rsidRPr="000B315F">
              <w:rPr>
                <w:sz w:val="18"/>
              </w:rPr>
              <w:t>–</w:t>
            </w:r>
            <w:r w:rsidRPr="000B315F">
              <w:rPr>
                <w:sz w:val="18"/>
              </w:rPr>
              <w:t xml:space="preserve">09 were calculated separately for each waste stream (MSW, C&amp;I and C&amp;D), using the waste stream split quantifications determined as previously outlined. The estimated material quantities for each waste stream were calculated using the available audit data (described in points 2 to 4 immediately below), which were then aggregated to calculate disposal to landfill, by material type, for the </w:t>
            </w:r>
            <w:r w:rsidR="004C75D4" w:rsidRPr="00C36C8F">
              <w:rPr>
                <w:rFonts w:cs="Arial"/>
                <w:sz w:val="18"/>
                <w:szCs w:val="18"/>
              </w:rPr>
              <w:t>jurisdiction</w:t>
            </w:r>
            <w:r w:rsidRPr="00C36C8F">
              <w:rPr>
                <w:rFonts w:cs="Arial"/>
                <w:sz w:val="18"/>
                <w:szCs w:val="18"/>
              </w:rPr>
              <w:t>.</w:t>
            </w:r>
            <w:r w:rsidRPr="000B315F">
              <w:rPr>
                <w:sz w:val="18"/>
              </w:rPr>
              <w:br/>
              <w:t>2. The material splits for the MSW waste stream were estimated based on the available large-scale MSW audit data. The available MSW audit data was weighted against the size of the audits that were undertaken, and then aggregated to generate default (average) material splits in percentage terms.</w:t>
            </w:r>
            <w:r w:rsidRPr="000B315F">
              <w:rPr>
                <w:sz w:val="18"/>
              </w:rPr>
              <w:br/>
              <w:t>3. The material splits for the C&amp;I waste stream were estimated based on the available large-scale C&amp;I audit data. The available C&amp;I audit data was weighted against the size of the audits that were undertaken, and then aggregated to generate default (average) material splits in percentage terms.</w:t>
            </w:r>
            <w:r w:rsidRPr="000B315F">
              <w:rPr>
                <w:sz w:val="18"/>
              </w:rPr>
              <w:br/>
              <w:t>4. The material splits for the C&amp;D waste stream were estimated based on the available large-scale C&amp;D audit data. The available C&amp;D audit data was weighted against the size of the audits that were undertaken, and then aggregated to generate default (average) material splits in percentage terms.</w:t>
            </w:r>
          </w:p>
        </w:tc>
      </w:tr>
      <w:tr w:rsidR="00315925" w:rsidRPr="00C36C8F" w:rsidTr="004307B9">
        <w:tblPrEx>
          <w:tblBorders>
            <w:bottom w:val="none" w:sz="0" w:space="0" w:color="auto"/>
            <w:insideH w:val="none" w:sz="0" w:space="0" w:color="auto"/>
          </w:tblBorders>
          <w:tblCellMar>
            <w:left w:w="108" w:type="dxa"/>
            <w:right w:w="108" w:type="dxa"/>
          </w:tblCellMar>
          <w:tblLook w:val="04A0"/>
        </w:tblPrEx>
        <w:trPr>
          <w:trHeight w:val="145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4F326F">
            <w:pPr>
              <w:spacing w:after="0" w:line="240" w:lineRule="auto"/>
              <w:ind w:left="-108"/>
              <w:rPr>
                <w:sz w:val="18"/>
              </w:rPr>
            </w:pPr>
            <w:r w:rsidRPr="000B315F">
              <w:rPr>
                <w:sz w:val="18"/>
              </w:rPr>
              <w:t>Recycling - material splits</w:t>
            </w:r>
          </w:p>
        </w:tc>
        <w:tc>
          <w:tcPr>
            <w:tcW w:w="3464" w:type="dxa"/>
            <w:tcBorders>
              <w:top w:val="nil"/>
              <w:left w:val="nil"/>
              <w:bottom w:val="single" w:sz="8" w:space="0" w:color="808080"/>
              <w:right w:val="nil"/>
            </w:tcBorders>
            <w:shd w:val="clear" w:color="auto" w:fill="auto"/>
            <w:tcMar>
              <w:right w:w="142" w:type="dxa"/>
            </w:tcMar>
            <w:hideMark/>
          </w:tcPr>
          <w:p w:rsidR="00315925" w:rsidRPr="000B315F" w:rsidRDefault="00315925" w:rsidP="004F326F">
            <w:pPr>
              <w:spacing w:after="240" w:line="240" w:lineRule="auto"/>
              <w:ind w:left="-46"/>
              <w:rPr>
                <w:sz w:val="18"/>
              </w:rPr>
            </w:pPr>
            <w:r w:rsidRPr="000B315F">
              <w:rPr>
                <w:sz w:val="18"/>
              </w:rPr>
              <w:t xml:space="preserve">1. Hyder Consulting, </w:t>
            </w:r>
            <w:r w:rsidRPr="000B315F">
              <w:rPr>
                <w:i/>
                <w:sz w:val="18"/>
              </w:rPr>
              <w:t>Recycling activity in South Australia 2008</w:t>
            </w:r>
            <w:r w:rsidR="00E1378F" w:rsidRPr="000B315F">
              <w:rPr>
                <w:i/>
                <w:sz w:val="18"/>
              </w:rPr>
              <w:t>–</w:t>
            </w:r>
            <w:r w:rsidRPr="000B315F">
              <w:rPr>
                <w:i/>
                <w:sz w:val="18"/>
              </w:rPr>
              <w:t>09</w:t>
            </w:r>
            <w:r w:rsidRPr="000B315F">
              <w:rPr>
                <w:sz w:val="18"/>
              </w:rPr>
              <w:t>, prepared for Zero Waste South Australia, 20 May 2010b.</w:t>
            </w:r>
            <w:r w:rsidRPr="000B315F">
              <w:rPr>
                <w:sz w:val="18"/>
              </w:rPr>
              <w:br/>
              <w:t xml:space="preserve">2. Recycled Organics Unit, </w:t>
            </w:r>
            <w:r w:rsidRPr="000B315F">
              <w:rPr>
                <w:i/>
                <w:sz w:val="18"/>
              </w:rPr>
              <w:t>Organics Recycling in Australia: Industry Statistics 2009</w:t>
            </w:r>
            <w:r w:rsidRPr="000B315F">
              <w:rPr>
                <w:sz w:val="18"/>
              </w:rPr>
              <w:t>, revised edition December 2009.</w:t>
            </w:r>
          </w:p>
        </w:tc>
        <w:tc>
          <w:tcPr>
            <w:tcW w:w="4819" w:type="dxa"/>
            <w:tcBorders>
              <w:top w:val="nil"/>
              <w:left w:val="nil"/>
              <w:bottom w:val="single" w:sz="8" w:space="0" w:color="808080"/>
              <w:right w:val="nil"/>
            </w:tcBorders>
            <w:shd w:val="clear" w:color="auto" w:fill="auto"/>
            <w:tcMar>
              <w:right w:w="142" w:type="dxa"/>
            </w:tcMar>
            <w:hideMark/>
          </w:tcPr>
          <w:p w:rsidR="00315925" w:rsidRPr="000B315F" w:rsidRDefault="00315925" w:rsidP="004307B9">
            <w:pPr>
              <w:spacing w:after="0" w:line="240" w:lineRule="auto"/>
              <w:ind w:left="-108"/>
              <w:rPr>
                <w:sz w:val="18"/>
              </w:rPr>
            </w:pPr>
            <w:r w:rsidRPr="000B315F">
              <w:rPr>
                <w:sz w:val="18"/>
              </w:rPr>
              <w:t>1. Recycling data by material type for South Australia during 2008</w:t>
            </w:r>
            <w:r w:rsidR="00E1378F" w:rsidRPr="000B315F">
              <w:rPr>
                <w:sz w:val="18"/>
              </w:rPr>
              <w:t>–</w:t>
            </w:r>
            <w:r w:rsidRPr="000B315F">
              <w:rPr>
                <w:sz w:val="18"/>
              </w:rPr>
              <w:t>09 was primarily based upon data sourced from Hyder (2010b).</w:t>
            </w:r>
            <w:r w:rsidRPr="000B315F">
              <w:rPr>
                <w:sz w:val="18"/>
              </w:rPr>
              <w:br/>
              <w:t>2. The exception to point 1 above relates to the quantification of organics recycling, which was sourced from ROU (2009). Primary production wastes relating to Recommendation 10 and 11 (Section 3.5) were excluded from the ROU (2009) data.</w:t>
            </w:r>
          </w:p>
        </w:tc>
      </w:tr>
      <w:tr w:rsidR="00315925" w:rsidRPr="00C36C8F" w:rsidTr="004307B9">
        <w:trPr>
          <w:trHeight w:val="270"/>
        </w:trPr>
        <w:tc>
          <w:tcPr>
            <w:tcW w:w="0" w:type="auto"/>
            <w:tcBorders>
              <w:top w:val="single" w:sz="8" w:space="0" w:color="808080"/>
            </w:tcBorders>
            <w:tcMar>
              <w:right w:w="142" w:type="dxa"/>
            </w:tcMar>
            <w:hideMark/>
          </w:tcPr>
          <w:p w:rsidR="00315925" w:rsidRPr="000B315F" w:rsidRDefault="00315925" w:rsidP="00315925">
            <w:pPr>
              <w:spacing w:after="0" w:line="240" w:lineRule="auto"/>
              <w:ind w:left="0"/>
              <w:rPr>
                <w:sz w:val="18"/>
              </w:rPr>
            </w:pPr>
            <w:r w:rsidRPr="000B315F">
              <w:rPr>
                <w:sz w:val="18"/>
              </w:rPr>
              <w:t>Energy recovery - material splits</w:t>
            </w:r>
          </w:p>
        </w:tc>
        <w:tc>
          <w:tcPr>
            <w:tcW w:w="3464" w:type="dxa"/>
            <w:tcBorders>
              <w:top w:val="single" w:sz="8" w:space="0" w:color="808080"/>
            </w:tcBorders>
            <w:tcMar>
              <w:right w:w="142" w:type="dxa"/>
            </w:tcMar>
            <w:hideMark/>
          </w:tcPr>
          <w:p w:rsidR="00315925" w:rsidRPr="000B315F" w:rsidRDefault="00315925" w:rsidP="00315925">
            <w:pPr>
              <w:spacing w:after="0" w:line="240" w:lineRule="auto"/>
              <w:ind w:left="0"/>
              <w:rPr>
                <w:sz w:val="18"/>
              </w:rPr>
            </w:pPr>
            <w:r w:rsidRPr="000B315F">
              <w:rPr>
                <w:sz w:val="18"/>
              </w:rPr>
              <w:t>See sources against "Energy recovery - total quantity" above.</w:t>
            </w:r>
          </w:p>
        </w:tc>
        <w:tc>
          <w:tcPr>
            <w:tcW w:w="4819" w:type="dxa"/>
            <w:tcBorders>
              <w:top w:val="single" w:sz="8" w:space="0" w:color="808080"/>
            </w:tcBorders>
            <w:tcMar>
              <w:right w:w="142" w:type="dxa"/>
            </w:tcMar>
            <w:hideMark/>
          </w:tcPr>
          <w:p w:rsidR="00315925" w:rsidRPr="000B315F" w:rsidRDefault="00315925" w:rsidP="00315925">
            <w:pPr>
              <w:spacing w:after="0" w:line="240" w:lineRule="auto"/>
              <w:ind w:left="0"/>
              <w:rPr>
                <w:sz w:val="18"/>
              </w:rPr>
            </w:pPr>
            <w:r w:rsidRPr="000B315F">
              <w:rPr>
                <w:sz w:val="18"/>
              </w:rPr>
              <w:t>See comments against "Energy recovery - total quantity" above.</w:t>
            </w:r>
          </w:p>
        </w:tc>
      </w:tr>
    </w:tbl>
    <w:p w:rsidR="00DE05C7" w:rsidRPr="00C36C8F" w:rsidRDefault="00B9555F" w:rsidP="006A1B32">
      <w:pPr>
        <w:pStyle w:val="ParaIndent"/>
        <w:keepNext/>
        <w:spacing w:before="120"/>
        <w:jc w:val="both"/>
      </w:pPr>
      <w:r w:rsidRPr="00C36C8F">
        <w:fldChar w:fldCharType="begin"/>
      </w:r>
      <w:r w:rsidR="00526AFB" w:rsidRPr="00C36C8F">
        <w:instrText xml:space="preserve"> REF _Ref287277329 \h </w:instrText>
      </w:r>
      <w:r w:rsidRPr="00C36C8F">
        <w:fldChar w:fldCharType="separate"/>
      </w:r>
      <w:r w:rsidR="00AE7E3B" w:rsidRPr="00C36C8F">
        <w:t xml:space="preserve">Figure </w:t>
      </w:r>
      <w:r w:rsidR="00AE7E3B">
        <w:rPr>
          <w:noProof/>
        </w:rPr>
        <w:t>4</w:t>
      </w:r>
      <w:r w:rsidR="00AE7E3B" w:rsidRPr="00C36C8F">
        <w:t>-</w:t>
      </w:r>
      <w:r w:rsidR="00AE7E3B">
        <w:rPr>
          <w:noProof/>
        </w:rPr>
        <w:t>17</w:t>
      </w:r>
      <w:r w:rsidRPr="00C36C8F">
        <w:fldChar w:fldCharType="end"/>
      </w:r>
      <w:r w:rsidR="00526AFB" w:rsidRPr="00C36C8F">
        <w:t xml:space="preserve"> </w:t>
      </w:r>
      <w:r w:rsidR="00DE05C7" w:rsidRPr="00C36C8F">
        <w:t>charts South Austral</w:t>
      </w:r>
      <w:r w:rsidR="00313465" w:rsidRPr="00C36C8F">
        <w:t>ia’s waste</w:t>
      </w:r>
      <w:r w:rsidR="00DE05C7" w:rsidRPr="00C36C8F">
        <w:t xml:space="preserve"> disposal, recycling </w:t>
      </w:r>
      <w:r w:rsidR="00313465" w:rsidRPr="00C36C8F">
        <w:t xml:space="preserve">and </w:t>
      </w:r>
      <w:r w:rsidR="00DE05C7" w:rsidRPr="00C36C8F">
        <w:t>energy recovery</w:t>
      </w:r>
      <w:r w:rsidR="00464B8A" w:rsidRPr="00C36C8F">
        <w:t xml:space="preserve"> for the years 2002</w:t>
      </w:r>
      <w:r w:rsidR="00FB747B" w:rsidRPr="00C36C8F">
        <w:t>–</w:t>
      </w:r>
      <w:r w:rsidR="00464B8A" w:rsidRPr="00C36C8F">
        <w:t xml:space="preserve">03, 2006–07 and 2008–09. Data for 2002–03 and 2006–07 has been taken directly from the previous </w:t>
      </w:r>
      <w:r w:rsidR="00464B8A" w:rsidRPr="00C36C8F">
        <w:rPr>
          <w:i/>
        </w:rPr>
        <w:t xml:space="preserve">Waste and Recycling in Australia </w:t>
      </w:r>
      <w:r w:rsidR="00464B8A" w:rsidRPr="00C36C8F">
        <w:t xml:space="preserve">reports and </w:t>
      </w:r>
      <w:r w:rsidR="007D2F30" w:rsidRPr="00C36C8F">
        <w:t>has not had the new data compilation method introduced in this report retrospectively applied.</w:t>
      </w:r>
      <w:r w:rsidR="00464B8A" w:rsidRPr="00C36C8F">
        <w:t xml:space="preserve"> </w:t>
      </w:r>
    </w:p>
    <w:tbl>
      <w:tblPr>
        <w:tblW w:w="0" w:type="auto"/>
        <w:tblInd w:w="1242" w:type="dxa"/>
        <w:tblLayout w:type="fixed"/>
        <w:tblCellMar>
          <w:left w:w="0" w:type="dxa"/>
          <w:right w:w="0" w:type="dxa"/>
        </w:tblCellMar>
        <w:tblLook w:val="0000"/>
      </w:tblPr>
      <w:tblGrid>
        <w:gridCol w:w="8505"/>
      </w:tblGrid>
      <w:tr w:rsidR="00562131" w:rsidRPr="00C36C8F" w:rsidTr="000B315F">
        <w:tc>
          <w:tcPr>
            <w:tcW w:w="8505" w:type="dxa"/>
          </w:tcPr>
          <w:p w:rsidR="00562131" w:rsidRPr="00C36C8F" w:rsidRDefault="00476BAA" w:rsidP="00562131">
            <w:pPr>
              <w:pStyle w:val="Heading40"/>
              <w:tabs>
                <w:tab w:val="clear" w:pos="1134"/>
                <w:tab w:val="left" w:pos="0"/>
              </w:tabs>
              <w:ind w:left="0"/>
            </w:pPr>
            <w:bookmarkStart w:id="175" w:name="_Ref284592272"/>
            <w:r>
              <w:rPr>
                <w:noProof/>
                <w:lang w:eastAsia="en-AU"/>
              </w:rPr>
              <w:drawing>
                <wp:inline distT="0" distB="0" distL="0" distR="0">
                  <wp:extent cx="5176309" cy="2813933"/>
                  <wp:effectExtent l="0" t="0" r="5715"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562131" w:rsidRPr="00C36C8F" w:rsidTr="000B315F">
        <w:tblPrEx>
          <w:tblCellMar>
            <w:left w:w="108" w:type="dxa"/>
            <w:right w:w="108" w:type="dxa"/>
          </w:tblCellMar>
        </w:tblPrEx>
        <w:trPr>
          <w:trHeight w:val="549"/>
        </w:trPr>
        <w:tc>
          <w:tcPr>
            <w:tcW w:w="8505" w:type="dxa"/>
          </w:tcPr>
          <w:p w:rsidR="00562131" w:rsidRPr="00C36C8F" w:rsidRDefault="00562131" w:rsidP="00562131">
            <w:pPr>
              <w:pStyle w:val="Caption"/>
            </w:pPr>
            <w:bookmarkStart w:id="176" w:name="_Ref287277329"/>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17</w:t>
            </w:r>
            <w:r w:rsidR="00B9555F" w:rsidRPr="00C36C8F">
              <w:rPr>
                <w:noProof/>
              </w:rPr>
              <w:fldChar w:fldCharType="end"/>
            </w:r>
            <w:bookmarkEnd w:id="176"/>
            <w:r w:rsidRPr="00C36C8F">
              <w:tab/>
            </w:r>
            <w:r w:rsidR="00121C5C" w:rsidRPr="00C36C8F">
              <w:t>SA t</w:t>
            </w:r>
            <w:r w:rsidRPr="00C36C8F">
              <w:t xml:space="preserve">otal waste generation, disposal, recycling </w:t>
            </w:r>
            <w:r w:rsidR="00F20976" w:rsidRPr="00C36C8F">
              <w:t xml:space="preserve">and </w:t>
            </w:r>
            <w:r w:rsidRPr="00C36C8F">
              <w:t>energy recovery, 2002–03, 2006–07 &amp; 2008–09</w:t>
            </w:r>
          </w:p>
        </w:tc>
      </w:tr>
      <w:tr w:rsidR="00562131" w:rsidRPr="00C36C8F" w:rsidTr="000B315F">
        <w:tblPrEx>
          <w:tblCellMar>
            <w:left w:w="108" w:type="dxa"/>
            <w:right w:w="108" w:type="dxa"/>
          </w:tblCellMar>
        </w:tblPrEx>
        <w:tc>
          <w:tcPr>
            <w:tcW w:w="8505" w:type="dxa"/>
          </w:tcPr>
          <w:p w:rsidR="00EE665A" w:rsidRPr="00C36C8F" w:rsidRDefault="00EE665A" w:rsidP="000B3D2A">
            <w:pPr>
              <w:pStyle w:val="TableText"/>
              <w:spacing w:line="240" w:lineRule="auto"/>
              <w:ind w:left="1134"/>
              <w:rPr>
                <w:sz w:val="16"/>
                <w:szCs w:val="16"/>
              </w:rPr>
            </w:pPr>
            <w:r w:rsidRPr="00C36C8F">
              <w:rPr>
                <w:sz w:val="16"/>
                <w:szCs w:val="16"/>
              </w:rPr>
              <w:t>2002</w:t>
            </w:r>
            <w:r w:rsidR="003E575F">
              <w:rPr>
                <w:sz w:val="16"/>
                <w:szCs w:val="16"/>
              </w:rPr>
              <w:t>–</w:t>
            </w:r>
            <w:r w:rsidRPr="00C36C8F">
              <w:rPr>
                <w:sz w:val="16"/>
                <w:szCs w:val="16"/>
              </w:rPr>
              <w:t>03 and 2006</w:t>
            </w:r>
            <w:r w:rsidR="003E575F">
              <w:rPr>
                <w:rFonts w:cs="Arial"/>
                <w:sz w:val="16"/>
                <w:szCs w:val="16"/>
              </w:rPr>
              <w:t>–</w:t>
            </w:r>
            <w:r w:rsidRPr="00C36C8F">
              <w:rPr>
                <w:sz w:val="16"/>
                <w:szCs w:val="16"/>
              </w:rPr>
              <w:t xml:space="preserve">07 data sources are </w:t>
            </w:r>
            <w:r w:rsidR="00DC4A9E" w:rsidRPr="00052333">
              <w:rPr>
                <w:i/>
                <w:sz w:val="16"/>
                <w:szCs w:val="16"/>
              </w:rPr>
              <w:t>Waste and Recycling in Australia 2009</w:t>
            </w:r>
            <w:r w:rsidRPr="00C36C8F">
              <w:rPr>
                <w:sz w:val="16"/>
                <w:szCs w:val="16"/>
              </w:rPr>
              <w:t>.</w:t>
            </w:r>
          </w:p>
          <w:p w:rsidR="00EE665A" w:rsidRPr="00C36C8F" w:rsidRDefault="00EE665A" w:rsidP="000B3D2A">
            <w:pPr>
              <w:pStyle w:val="TableText"/>
              <w:spacing w:line="240" w:lineRule="auto"/>
              <w:ind w:left="1134"/>
              <w:rPr>
                <w:sz w:val="16"/>
                <w:szCs w:val="16"/>
              </w:rPr>
            </w:pPr>
            <w:r w:rsidRPr="00C36C8F">
              <w:rPr>
                <w:sz w:val="16"/>
                <w:szCs w:val="16"/>
              </w:rPr>
              <w:t>2008</w:t>
            </w:r>
            <w:r w:rsidR="003E575F">
              <w:rPr>
                <w:rFonts w:cs="Arial"/>
                <w:sz w:val="16"/>
                <w:szCs w:val="16"/>
              </w:rPr>
              <w:t>–</w:t>
            </w:r>
            <w:r w:rsidRPr="00C36C8F">
              <w:rPr>
                <w:sz w:val="16"/>
                <w:szCs w:val="16"/>
              </w:rPr>
              <w:t>09 “Subtotal” excludes fly ash data.</w:t>
            </w:r>
          </w:p>
          <w:p w:rsidR="00562131" w:rsidRPr="00C36C8F" w:rsidRDefault="00EE665A" w:rsidP="003E575F">
            <w:pPr>
              <w:pStyle w:val="TableText"/>
              <w:spacing w:line="240" w:lineRule="auto"/>
              <w:ind w:left="1134"/>
              <w:rPr>
                <w:sz w:val="16"/>
                <w:szCs w:val="16"/>
              </w:rPr>
            </w:pPr>
            <w:r w:rsidRPr="00C36C8F">
              <w:rPr>
                <w:sz w:val="16"/>
                <w:szCs w:val="16"/>
              </w:rPr>
              <w:t>2008</w:t>
            </w:r>
            <w:r w:rsidR="003E575F">
              <w:rPr>
                <w:rFonts w:cs="Arial"/>
                <w:sz w:val="16"/>
                <w:szCs w:val="16"/>
              </w:rPr>
              <w:t>–</w:t>
            </w:r>
            <w:r w:rsidRPr="00C36C8F">
              <w:rPr>
                <w:sz w:val="16"/>
                <w:szCs w:val="16"/>
              </w:rPr>
              <w:t>09 “Total” include fly ash data.</w:t>
            </w:r>
          </w:p>
        </w:tc>
      </w:tr>
    </w:tbl>
    <w:p w:rsidR="00DE05C7" w:rsidRPr="00C36C8F" w:rsidRDefault="00DE05C7" w:rsidP="00DE05C7">
      <w:pPr>
        <w:pStyle w:val="Caption"/>
        <w:tabs>
          <w:tab w:val="left" w:pos="7275"/>
        </w:tabs>
      </w:pPr>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26</w:t>
      </w:r>
      <w:r w:rsidR="00B9555F" w:rsidRPr="00C36C8F">
        <w:rPr>
          <w:noProof/>
        </w:rPr>
        <w:fldChar w:fldCharType="end"/>
      </w:r>
      <w:bookmarkEnd w:id="175"/>
      <w:r w:rsidRPr="00C36C8F">
        <w:tab/>
      </w:r>
      <w:r w:rsidR="00EE665A" w:rsidRPr="00C36C8F">
        <w:t>SA w</w:t>
      </w:r>
      <w:r w:rsidRPr="00C36C8F">
        <w:t>aste generation and disposal data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EE665A" w:rsidRPr="00C36C8F" w:rsidTr="00121C5C">
        <w:tc>
          <w:tcPr>
            <w:tcW w:w="4111" w:type="dxa"/>
            <w:gridSpan w:val="2"/>
            <w:tcBorders>
              <w:right w:val="single" w:sz="4" w:space="0" w:color="808080"/>
            </w:tcBorders>
            <w:shd w:val="clear" w:color="auto" w:fill="auto"/>
            <w:vAlign w:val="center"/>
          </w:tcPr>
          <w:p w:rsidR="00EE665A" w:rsidRPr="00C36C8F" w:rsidRDefault="00EE665A" w:rsidP="002B6858">
            <w:pPr>
              <w:pStyle w:val="TableHeading"/>
              <w:keepLines/>
              <w:jc w:val="center"/>
              <w:rPr>
                <w:kern w:val="28"/>
              </w:rPr>
            </w:pPr>
          </w:p>
        </w:tc>
        <w:tc>
          <w:tcPr>
            <w:tcW w:w="1329"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SA waste generation</w:t>
            </w:r>
          </w:p>
        </w:tc>
        <w:tc>
          <w:tcPr>
            <w:tcW w:w="2658" w:type="dxa"/>
            <w:gridSpan w:val="2"/>
            <w:tcBorders>
              <w:top w:val="nil"/>
              <w:left w:val="single" w:sz="8" w:space="0" w:color="808080" w:themeColor="background1" w:themeShade="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SA waste disposal</w:t>
            </w:r>
          </w:p>
        </w:tc>
        <w:tc>
          <w:tcPr>
            <w:tcW w:w="1329" w:type="dxa"/>
            <w:tcBorders>
              <w:lef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National average disposal</w:t>
            </w:r>
          </w:p>
        </w:tc>
      </w:tr>
      <w:tr w:rsidR="00EE665A" w:rsidRPr="00C36C8F" w:rsidTr="00121C5C">
        <w:tc>
          <w:tcPr>
            <w:tcW w:w="2127" w:type="dxa"/>
            <w:tcBorders>
              <w:bottom w:val="single" w:sz="4" w:space="0" w:color="808080"/>
              <w:right w:val="nil"/>
            </w:tcBorders>
            <w:shd w:val="clear" w:color="auto" w:fill="auto"/>
          </w:tcPr>
          <w:p w:rsidR="00EE665A" w:rsidRPr="00C36C8F" w:rsidRDefault="002B6858" w:rsidP="002B6858">
            <w:pPr>
              <w:pStyle w:val="TableHeading"/>
              <w:keepLines/>
              <w:jc w:val="center"/>
              <w:rPr>
                <w:kern w:val="28"/>
              </w:rPr>
            </w:pPr>
            <w:r w:rsidRPr="00C36C8F">
              <w:rPr>
                <w:kern w:val="28"/>
              </w:rPr>
              <w:t>Material C</w:t>
            </w:r>
            <w:r w:rsidR="00EE665A" w:rsidRPr="00C36C8F">
              <w:rPr>
                <w:kern w:val="28"/>
              </w:rPr>
              <w:t>ategory</w:t>
            </w:r>
          </w:p>
        </w:tc>
        <w:tc>
          <w:tcPr>
            <w:tcW w:w="1984" w:type="dxa"/>
            <w:tcBorders>
              <w:left w:val="nil"/>
              <w:bottom w:val="single" w:sz="4" w:space="0" w:color="808080"/>
              <w:right w:val="single" w:sz="4" w:space="0" w:color="808080"/>
            </w:tcBorders>
            <w:shd w:val="clear" w:color="auto" w:fill="auto"/>
          </w:tcPr>
          <w:p w:rsidR="00EE665A" w:rsidRPr="00C36C8F" w:rsidRDefault="002B6858" w:rsidP="00121C5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tcBorders>
            <w:vAlign w:val="center"/>
          </w:tcPr>
          <w:p w:rsidR="00EE665A" w:rsidRPr="00C36C8F" w:rsidRDefault="00EE665A" w:rsidP="00121C5C">
            <w:pPr>
              <w:pStyle w:val="TableHeading"/>
              <w:keepLines/>
              <w:jc w:val="center"/>
              <w:rPr>
                <w:kern w:val="28"/>
              </w:rPr>
            </w:pPr>
            <w:r w:rsidRPr="00C36C8F">
              <w:rPr>
                <w:kern w:val="28"/>
              </w:rPr>
              <w:t>kg per capita</w:t>
            </w:r>
          </w:p>
        </w:tc>
      </w:tr>
      <w:tr w:rsidR="00476BAA" w:rsidRPr="00C36C8F" w:rsidTr="00121C5C">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1,563,100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343,100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211</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312</w:t>
            </w:r>
          </w:p>
        </w:tc>
      </w:tr>
      <w:tr w:rsidR="00476BAA" w:rsidRPr="00C36C8F" w:rsidTr="00121C5C">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344,700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33,000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20</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24</w:t>
            </w:r>
          </w:p>
        </w:tc>
      </w:tr>
      <w:tr w:rsidR="00476BAA" w:rsidRPr="00C36C8F" w:rsidTr="00121C5C">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821,700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369,600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228</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332</w:t>
            </w:r>
          </w:p>
        </w:tc>
      </w:tr>
      <w:tr w:rsidR="00476BAA" w:rsidRPr="00C36C8F" w:rsidTr="00121C5C">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319,200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115,200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71</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113</w:t>
            </w:r>
          </w:p>
        </w:tc>
      </w:tr>
      <w:tr w:rsidR="00476BAA" w:rsidRPr="00C36C8F" w:rsidTr="00121C5C">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476BAA" w:rsidRPr="00C36C8F" w:rsidRDefault="00476BAA"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74,700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55,300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34</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80</w:t>
            </w:r>
          </w:p>
        </w:tc>
      </w:tr>
      <w:tr w:rsidR="00476BAA" w:rsidRPr="00C36C8F" w:rsidTr="00121C5C">
        <w:tc>
          <w:tcPr>
            <w:tcW w:w="2127" w:type="dxa"/>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r w:rsidRPr="00C36C8F">
              <w:t>Glass</w:t>
            </w:r>
            <w:r w:rsidRPr="00C36C8F" w:rsidDel="002B6858">
              <w:t xml:space="preserve"> </w:t>
            </w: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88,500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27,000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17</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21</w:t>
            </w:r>
          </w:p>
        </w:tc>
      </w:tr>
      <w:tr w:rsidR="00476BAA" w:rsidRPr="00C36C8F" w:rsidTr="00D93F23">
        <w:tc>
          <w:tcPr>
            <w:tcW w:w="2127" w:type="dxa"/>
            <w:vMerge w:val="restart"/>
            <w:tcBorders>
              <w:top w:val="single" w:sz="4" w:space="0" w:color="808080"/>
              <w:right w:val="nil"/>
            </w:tcBorders>
            <w:shd w:val="clear" w:color="auto" w:fill="auto"/>
            <w:vAlign w:val="center"/>
          </w:tcPr>
          <w:p w:rsidR="00476BAA" w:rsidRPr="00C36C8F" w:rsidRDefault="00476BAA" w:rsidP="00121C5C">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121C5C">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21,500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18,500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22</w:t>
            </w:r>
          </w:p>
        </w:tc>
      </w:tr>
      <w:tr w:rsidR="00476BAA" w:rsidRPr="00C36C8F" w:rsidTr="00D93F23">
        <w:tc>
          <w:tcPr>
            <w:tcW w:w="2127" w:type="dxa"/>
            <w:vMerge/>
            <w:tcBorders>
              <w:bottom w:val="single" w:sz="4" w:space="0" w:color="808080"/>
              <w:right w:val="nil"/>
            </w:tcBorders>
            <w:shd w:val="clear" w:color="auto" w:fill="auto"/>
            <w:vAlign w:val="center"/>
          </w:tcPr>
          <w:p w:rsidR="00476BAA" w:rsidRPr="00C36C8F" w:rsidRDefault="00476BAA"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121C5C">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16,300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6,100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4</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12</w:t>
            </w:r>
          </w:p>
        </w:tc>
      </w:tr>
      <w:tr w:rsidR="00476BAA" w:rsidRPr="00C36C8F" w:rsidTr="00121C5C">
        <w:tc>
          <w:tcPr>
            <w:tcW w:w="2127" w:type="dxa"/>
            <w:vMerge w:val="restart"/>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121C5C">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0</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w:t>
            </w:r>
          </w:p>
        </w:tc>
      </w:tr>
      <w:tr w:rsidR="00476BAA" w:rsidRPr="00C36C8F" w:rsidTr="00121C5C">
        <w:tc>
          <w:tcPr>
            <w:tcW w:w="2127" w:type="dxa"/>
            <w:vMerge/>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121C5C">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53,900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53,900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33</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57</w:t>
            </w:r>
          </w:p>
        </w:tc>
      </w:tr>
      <w:tr w:rsidR="00476BAA" w:rsidRPr="00C36C8F" w:rsidTr="00121C5C">
        <w:tc>
          <w:tcPr>
            <w:tcW w:w="2127" w:type="dxa"/>
            <w:vMerge/>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121C5C">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w:t>
            </w:r>
          </w:p>
        </w:tc>
        <w:tc>
          <w:tcPr>
            <w:tcW w:w="1329" w:type="dxa"/>
            <w:tcBorders>
              <w:left w:val="single" w:sz="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34</w:t>
            </w:r>
          </w:p>
        </w:tc>
      </w:tr>
      <w:tr w:rsidR="00476BAA" w:rsidRPr="00C36C8F" w:rsidTr="00121C5C">
        <w:tc>
          <w:tcPr>
            <w:tcW w:w="2127" w:type="dxa"/>
            <w:vMerge/>
            <w:tcBorders>
              <w:top w:val="single" w:sz="4" w:space="0" w:color="808080"/>
              <w:bottom w:val="single" w:sz="4" w:space="0" w:color="808080"/>
              <w:right w:val="nil"/>
            </w:tcBorders>
            <w:shd w:val="clear" w:color="auto" w:fill="auto"/>
            <w:vAlign w:val="center"/>
          </w:tcPr>
          <w:p w:rsidR="00476BAA" w:rsidRPr="00C36C8F" w:rsidRDefault="00476BAA"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476BAA" w:rsidRPr="00C36C8F" w:rsidRDefault="00476BAA" w:rsidP="00121C5C">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27,000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27,000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17</w:t>
            </w:r>
          </w:p>
        </w:tc>
        <w:tc>
          <w:tcPr>
            <w:tcW w:w="1329" w:type="dxa"/>
            <w:tcBorders>
              <w:left w:val="single" w:sz="8" w:space="0" w:color="808080" w:themeColor="background1" w:themeShade="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25</w:t>
            </w:r>
          </w:p>
        </w:tc>
      </w:tr>
      <w:tr w:rsidR="00476BAA" w:rsidRPr="00C36C8F" w:rsidTr="00121C5C">
        <w:tc>
          <w:tcPr>
            <w:tcW w:w="2127" w:type="dxa"/>
            <w:tcBorders>
              <w:top w:val="single" w:sz="4" w:space="0" w:color="808080"/>
              <w:bottom w:val="single" w:sz="18" w:space="0" w:color="808080" w:themeColor="background1" w:themeShade="80"/>
              <w:right w:val="nil"/>
            </w:tcBorders>
            <w:shd w:val="clear" w:color="auto" w:fill="auto"/>
            <w:vAlign w:val="center"/>
          </w:tcPr>
          <w:p w:rsidR="00476BAA" w:rsidRPr="00C36C8F" w:rsidRDefault="00476BAA" w:rsidP="00121C5C">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476BAA" w:rsidRPr="00C36C8F" w:rsidRDefault="00476BAA" w:rsidP="00121C5C">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3,331,800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1,049,800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647</w:t>
            </w:r>
          </w:p>
        </w:tc>
        <w:tc>
          <w:tcPr>
            <w:tcW w:w="1329" w:type="dxa"/>
            <w:tcBorders>
              <w:top w:val="single" w:sz="4" w:space="0" w:color="808080"/>
              <w:left w:val="single" w:sz="8" w:space="0" w:color="808080" w:themeColor="background1" w:themeShade="80"/>
              <w:bottom w:val="single" w:sz="18" w:space="0" w:color="808080" w:themeColor="background1" w:themeShade="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1,035</w:t>
            </w:r>
          </w:p>
        </w:tc>
      </w:tr>
      <w:tr w:rsidR="00476BAA" w:rsidRPr="00C36C8F" w:rsidTr="00121C5C">
        <w:tc>
          <w:tcPr>
            <w:tcW w:w="2127" w:type="dxa"/>
            <w:tcBorders>
              <w:top w:val="single" w:sz="18" w:space="0" w:color="808080" w:themeColor="background1" w:themeShade="80"/>
              <w:bottom w:val="single" w:sz="4" w:space="0" w:color="808080"/>
              <w:right w:val="nil"/>
            </w:tcBorders>
            <w:shd w:val="clear" w:color="auto" w:fill="auto"/>
            <w:vAlign w:val="center"/>
          </w:tcPr>
          <w:p w:rsidR="00476BAA" w:rsidRPr="00C36C8F" w:rsidRDefault="00476BAA" w:rsidP="00121C5C">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476BAA" w:rsidRPr="00C36C8F" w:rsidRDefault="00476BAA" w:rsidP="00121C5C">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289,600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66,600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41</w:t>
            </w:r>
          </w:p>
        </w:tc>
        <w:tc>
          <w:tcPr>
            <w:tcW w:w="1329" w:type="dxa"/>
            <w:tcBorders>
              <w:top w:val="single" w:sz="18" w:space="0" w:color="808080" w:themeColor="background1" w:themeShade="80"/>
              <w:left w:val="single" w:sz="8" w:space="0" w:color="808080" w:themeColor="background1" w:themeShade="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532</w:t>
            </w:r>
          </w:p>
        </w:tc>
      </w:tr>
      <w:tr w:rsidR="00476BAA" w:rsidRPr="00C36C8F" w:rsidTr="00121C5C">
        <w:tc>
          <w:tcPr>
            <w:tcW w:w="2127" w:type="dxa"/>
            <w:tcBorders>
              <w:top w:val="single" w:sz="4" w:space="0" w:color="808080"/>
              <w:bottom w:val="single" w:sz="18" w:space="0" w:color="7F7F7F" w:themeColor="text1" w:themeTint="80"/>
              <w:right w:val="nil"/>
            </w:tcBorders>
            <w:shd w:val="clear" w:color="auto" w:fill="auto"/>
            <w:vAlign w:val="center"/>
          </w:tcPr>
          <w:p w:rsidR="00476BAA" w:rsidRPr="00C36C8F" w:rsidRDefault="00476BAA" w:rsidP="00121C5C">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476BAA" w:rsidRPr="00C36C8F" w:rsidRDefault="00476BAA" w:rsidP="00121C5C">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3,621,400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1,116,400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688</w:t>
            </w:r>
          </w:p>
        </w:tc>
        <w:tc>
          <w:tcPr>
            <w:tcW w:w="1329" w:type="dxa"/>
            <w:tcBorders>
              <w:top w:val="single" w:sz="4" w:space="0" w:color="808080"/>
              <w:left w:val="single" w:sz="8" w:space="0" w:color="808080" w:themeColor="background1" w:themeShade="80"/>
              <w:bottom w:val="single" w:sz="18" w:space="0" w:color="7F7F7F" w:themeColor="text1" w:themeTint="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1,567</w:t>
            </w:r>
          </w:p>
        </w:tc>
      </w:tr>
    </w:tbl>
    <w:p w:rsidR="00EE665A" w:rsidRPr="00C36C8F" w:rsidRDefault="00EE665A" w:rsidP="00EE665A">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802C9D" w:rsidRPr="00C36C8F" w:rsidRDefault="00802C9D" w:rsidP="00690F1F">
      <w:pPr>
        <w:pStyle w:val="ParaIndent"/>
        <w:spacing w:before="240"/>
      </w:pPr>
    </w:p>
    <w:p w:rsidR="00802C9D" w:rsidRPr="00C36C8F" w:rsidRDefault="00B9555F" w:rsidP="006A1B32">
      <w:pPr>
        <w:pStyle w:val="ParaIndent"/>
        <w:keepNext/>
        <w:keepLines/>
        <w:spacing w:before="120"/>
        <w:jc w:val="both"/>
      </w:pPr>
      <w:r w:rsidRPr="00C36C8F">
        <w:fldChar w:fldCharType="begin"/>
      </w:r>
      <w:r w:rsidR="00802C9D" w:rsidRPr="00C36C8F">
        <w:instrText xml:space="preserve"> REF _Ref284592341 \h </w:instrText>
      </w:r>
      <w:r w:rsidRPr="00C36C8F">
        <w:fldChar w:fldCharType="separate"/>
      </w:r>
      <w:r w:rsidR="00AE7E3B" w:rsidRPr="00C36C8F">
        <w:t xml:space="preserve">Table </w:t>
      </w:r>
      <w:r w:rsidR="00AE7E3B">
        <w:rPr>
          <w:noProof/>
        </w:rPr>
        <w:t>4</w:t>
      </w:r>
      <w:r w:rsidR="00AE7E3B" w:rsidRPr="00C36C8F">
        <w:t>-</w:t>
      </w:r>
      <w:r w:rsidR="00AE7E3B">
        <w:rPr>
          <w:noProof/>
        </w:rPr>
        <w:t>27</w:t>
      </w:r>
      <w:r w:rsidRPr="00C36C8F">
        <w:fldChar w:fldCharType="end"/>
      </w:r>
      <w:r w:rsidR="00802C9D" w:rsidRPr="00C36C8F">
        <w:t xml:space="preserve"> presents the total recycling by material for South Australia during 2008–09, with recovery in terms of total tonnes, per capita rate and recycling rate. The per capita recycling rate for SA is also compared to the national average per capita recycling rate.</w:t>
      </w:r>
    </w:p>
    <w:p w:rsidR="00DE05C7" w:rsidRPr="00C36C8F" w:rsidRDefault="00DE05C7" w:rsidP="00DE05C7">
      <w:pPr>
        <w:pStyle w:val="Caption"/>
        <w:tabs>
          <w:tab w:val="left" w:pos="7275"/>
        </w:tabs>
      </w:pPr>
      <w:bookmarkStart w:id="177" w:name="_Ref284592341"/>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27</w:t>
      </w:r>
      <w:r w:rsidR="00B9555F" w:rsidRPr="00C36C8F">
        <w:rPr>
          <w:noProof/>
        </w:rPr>
        <w:fldChar w:fldCharType="end"/>
      </w:r>
      <w:bookmarkEnd w:id="177"/>
      <w:r w:rsidRPr="00C36C8F">
        <w:tab/>
      </w:r>
      <w:r w:rsidR="00EE665A" w:rsidRPr="00C36C8F">
        <w:t>SA r</w:t>
      </w:r>
      <w:r w:rsidRPr="00C36C8F">
        <w:t>ecycling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EE665A" w:rsidRPr="00C36C8F" w:rsidTr="00121C5C">
        <w:tc>
          <w:tcPr>
            <w:tcW w:w="4111" w:type="dxa"/>
            <w:gridSpan w:val="2"/>
            <w:tcBorders>
              <w:right w:val="single" w:sz="4" w:space="0" w:color="808080"/>
            </w:tcBorders>
            <w:shd w:val="clear" w:color="auto" w:fill="auto"/>
            <w:vAlign w:val="center"/>
          </w:tcPr>
          <w:p w:rsidR="00EE665A" w:rsidRPr="00C36C8F" w:rsidRDefault="00EE665A" w:rsidP="00121C5C">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SA recycling</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National average</w:t>
            </w:r>
          </w:p>
        </w:tc>
        <w:tc>
          <w:tcPr>
            <w:tcW w:w="1329" w:type="dxa"/>
            <w:tcBorders>
              <w:lef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SA recycling rate</w:t>
            </w:r>
          </w:p>
        </w:tc>
      </w:tr>
      <w:tr w:rsidR="00EE665A" w:rsidRPr="00C36C8F" w:rsidTr="00285AEA">
        <w:tc>
          <w:tcPr>
            <w:tcW w:w="2127" w:type="dxa"/>
            <w:tcBorders>
              <w:bottom w:val="single" w:sz="4" w:space="0" w:color="808080"/>
              <w:right w:val="nil"/>
            </w:tcBorders>
            <w:shd w:val="clear" w:color="auto" w:fill="auto"/>
          </w:tcPr>
          <w:p w:rsidR="00EE665A" w:rsidRPr="00C36C8F" w:rsidRDefault="00EE665A" w:rsidP="002B6858">
            <w:pPr>
              <w:pStyle w:val="TableHeading"/>
              <w:keepLines/>
              <w:jc w:val="center"/>
              <w:rPr>
                <w:kern w:val="28"/>
              </w:rPr>
            </w:pPr>
            <w:r w:rsidRPr="00C36C8F">
              <w:rPr>
                <w:kern w:val="28"/>
              </w:rPr>
              <w:t>M</w:t>
            </w:r>
            <w:r w:rsidR="002B6858" w:rsidRPr="00C36C8F">
              <w:rPr>
                <w:kern w:val="28"/>
              </w:rPr>
              <w:t>aterial Category</w:t>
            </w:r>
          </w:p>
        </w:tc>
        <w:tc>
          <w:tcPr>
            <w:tcW w:w="1984" w:type="dxa"/>
            <w:tcBorders>
              <w:left w:val="nil"/>
              <w:bottom w:val="single" w:sz="4" w:space="0" w:color="808080"/>
              <w:right w:val="single" w:sz="4" w:space="0" w:color="808080"/>
            </w:tcBorders>
            <w:shd w:val="clear" w:color="auto" w:fill="auto"/>
          </w:tcPr>
          <w:p w:rsidR="00EE665A" w:rsidRPr="00C36C8F" w:rsidRDefault="002B6858" w:rsidP="00121C5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EE665A" w:rsidRPr="00C36C8F" w:rsidRDefault="00EE665A"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tcBorders>
            <w:vAlign w:val="center"/>
          </w:tcPr>
          <w:p w:rsidR="00EE665A" w:rsidRPr="00C36C8F" w:rsidRDefault="00EE665A" w:rsidP="00121C5C">
            <w:pPr>
              <w:pStyle w:val="TableHeading"/>
              <w:keepLines/>
              <w:jc w:val="center"/>
              <w:rPr>
                <w:kern w:val="28"/>
              </w:rPr>
            </w:pPr>
            <w:r w:rsidRPr="00C36C8F">
              <w:rPr>
                <w:kern w:val="28"/>
              </w:rPr>
              <w:t>%</w:t>
            </w:r>
          </w:p>
        </w:tc>
      </w:tr>
      <w:tr w:rsidR="00476BAA" w:rsidRPr="008170A4" w:rsidTr="00285AEA">
        <w:tc>
          <w:tcPr>
            <w:tcW w:w="2127" w:type="dxa"/>
          </w:tcPr>
          <w:p w:rsidR="00476BAA" w:rsidRPr="008170A4" w:rsidRDefault="00476BAA" w:rsidP="00121C5C">
            <w:pPr>
              <w:pStyle w:val="TableText"/>
              <w:keepNext/>
              <w:keepLines/>
              <w:rPr>
                <w:rFonts w:cs="Arial"/>
                <w:szCs w:val="18"/>
              </w:rPr>
            </w:pPr>
            <w:r w:rsidRPr="008170A4">
              <w:rPr>
                <w:rFonts w:cs="Arial"/>
                <w:szCs w:val="18"/>
              </w:rPr>
              <w:t>Masonry materials</w:t>
            </w: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1,220,000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752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462</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78%</w:t>
            </w:r>
          </w:p>
        </w:tc>
      </w:tr>
      <w:tr w:rsidR="00476BAA" w:rsidRPr="008170A4" w:rsidTr="00285AEA">
        <w:tc>
          <w:tcPr>
            <w:tcW w:w="2127" w:type="dxa"/>
          </w:tcPr>
          <w:p w:rsidR="00476BAA" w:rsidRPr="008170A4" w:rsidRDefault="00476BAA" w:rsidP="00121C5C">
            <w:pPr>
              <w:pStyle w:val="TableText"/>
              <w:keepNext/>
              <w:keepLines/>
              <w:rPr>
                <w:rFonts w:cs="Arial"/>
                <w:szCs w:val="18"/>
              </w:rPr>
            </w:pPr>
            <w:r w:rsidRPr="008170A4">
              <w:rPr>
                <w:rFonts w:cs="Arial"/>
                <w:szCs w:val="18"/>
              </w:rPr>
              <w:t>Metals</w:t>
            </w: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311,700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192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188</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90</w:t>
            </w:r>
            <w:r w:rsidRPr="000B315F">
              <w:rPr>
                <w:color w:val="000000"/>
              </w:rPr>
              <w:t>%</w:t>
            </w:r>
          </w:p>
        </w:tc>
      </w:tr>
      <w:tr w:rsidR="00476BAA" w:rsidRPr="008170A4" w:rsidTr="00285AEA">
        <w:tc>
          <w:tcPr>
            <w:tcW w:w="2127" w:type="dxa"/>
          </w:tcPr>
          <w:p w:rsidR="00476BAA" w:rsidRPr="008170A4" w:rsidRDefault="00476BAA" w:rsidP="00121C5C">
            <w:pPr>
              <w:pStyle w:val="TableText"/>
              <w:keepNext/>
              <w:keepLines/>
              <w:rPr>
                <w:rFonts w:cs="Arial"/>
                <w:szCs w:val="18"/>
              </w:rPr>
            </w:pPr>
            <w:r w:rsidRPr="008170A4">
              <w:rPr>
                <w:rFonts w:cs="Arial"/>
                <w:szCs w:val="18"/>
              </w:rPr>
              <w:t>Organics</w:t>
            </w: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355,800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219</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172</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49%</w:t>
            </w:r>
          </w:p>
        </w:tc>
      </w:tr>
      <w:tr w:rsidR="00476BAA" w:rsidRPr="008170A4" w:rsidTr="00285AEA">
        <w:tc>
          <w:tcPr>
            <w:tcW w:w="2127" w:type="dxa"/>
          </w:tcPr>
          <w:p w:rsidR="00476BAA" w:rsidRPr="008170A4" w:rsidRDefault="00476BAA" w:rsidP="00121C5C">
            <w:pPr>
              <w:pStyle w:val="TableText"/>
              <w:keepNext/>
              <w:keepLines/>
              <w:rPr>
                <w:rFonts w:cs="Arial"/>
                <w:szCs w:val="18"/>
              </w:rPr>
            </w:pPr>
            <w:r w:rsidRPr="008170A4">
              <w:rPr>
                <w:rFonts w:cs="Arial"/>
                <w:szCs w:val="18"/>
              </w:rPr>
              <w:t>Paper &amp; cardboard</w:t>
            </w: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204,100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126</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178</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64</w:t>
            </w:r>
            <w:r w:rsidRPr="000B315F">
              <w:rPr>
                <w:color w:val="000000"/>
              </w:rPr>
              <w:t>%</w:t>
            </w:r>
          </w:p>
        </w:tc>
      </w:tr>
      <w:tr w:rsidR="00476BAA" w:rsidRPr="008170A4" w:rsidTr="00285AEA">
        <w:tc>
          <w:tcPr>
            <w:tcW w:w="2127" w:type="dxa"/>
          </w:tcPr>
          <w:p w:rsidR="00476BAA" w:rsidRPr="008170A4" w:rsidRDefault="00476BAA" w:rsidP="00121C5C">
            <w:pPr>
              <w:pStyle w:val="TableText"/>
              <w:keepNext/>
              <w:keepLines/>
              <w:rPr>
                <w:rFonts w:cs="Arial"/>
                <w:szCs w:val="18"/>
              </w:rPr>
            </w:pPr>
            <w:r w:rsidRPr="008170A4">
              <w:rPr>
                <w:rFonts w:cs="Arial"/>
                <w:szCs w:val="18"/>
              </w:rPr>
              <w:t>Plastics</w:t>
            </w: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13,800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24</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20</w:t>
            </w:r>
            <w:r w:rsidRPr="000B315F">
              <w:rPr>
                <w:color w:val="000000"/>
              </w:rPr>
              <w:t>%</w:t>
            </w:r>
          </w:p>
        </w:tc>
      </w:tr>
      <w:tr w:rsidR="00476BAA" w:rsidRPr="008170A4" w:rsidTr="00285AEA">
        <w:tc>
          <w:tcPr>
            <w:tcW w:w="2127" w:type="dxa"/>
            <w:vMerge w:val="restart"/>
          </w:tcPr>
          <w:p w:rsidR="00476BAA" w:rsidRPr="008170A4" w:rsidRDefault="00476BAA" w:rsidP="00121C5C">
            <w:pPr>
              <w:pStyle w:val="TableText"/>
              <w:keepNext/>
              <w:keepLines/>
              <w:rPr>
                <w:rFonts w:cs="Arial"/>
                <w:szCs w:val="18"/>
              </w:rPr>
            </w:pPr>
            <w:r w:rsidRPr="008170A4">
              <w:rPr>
                <w:rFonts w:cs="Arial"/>
                <w:szCs w:val="18"/>
              </w:rPr>
              <w:t>Other</w:t>
            </w: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r w:rsidRPr="008170A4">
              <w:rPr>
                <w:rFonts w:cs="Arial"/>
                <w:szCs w:val="18"/>
              </w:rPr>
              <w:t>Glass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61,600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38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44</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70</w:t>
            </w:r>
            <w:r w:rsidRPr="000B315F">
              <w:rPr>
                <w:color w:val="000000"/>
              </w:rPr>
              <w:t>%</w:t>
            </w:r>
          </w:p>
        </w:tc>
      </w:tr>
      <w:tr w:rsidR="00476BAA" w:rsidRPr="008170A4" w:rsidTr="00285AEA">
        <w:tc>
          <w:tcPr>
            <w:tcW w:w="2127" w:type="dxa"/>
            <w:vMerge/>
          </w:tcPr>
          <w:p w:rsidR="00476BAA" w:rsidRPr="008170A4" w:rsidRDefault="00476BAA" w:rsidP="00121C5C">
            <w:pPr>
              <w:pStyle w:val="TableText"/>
              <w:keepNext/>
              <w:keepLines/>
              <w:rPr>
                <w:rFonts w:cs="Arial"/>
                <w:szCs w:val="18"/>
              </w:rPr>
            </w:pP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r w:rsidRPr="008170A4">
              <w:rPr>
                <w:rFonts w:cs="Arial"/>
                <w:szCs w:val="18"/>
              </w:rPr>
              <w:t>Leather &amp; textiles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3,100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14</w:t>
            </w:r>
            <w:r w:rsidRPr="000B315F">
              <w:rPr>
                <w:color w:val="000000"/>
              </w:rPr>
              <w:t>%</w:t>
            </w:r>
          </w:p>
        </w:tc>
      </w:tr>
      <w:tr w:rsidR="00476BAA" w:rsidRPr="008170A4" w:rsidTr="00285AEA">
        <w:tc>
          <w:tcPr>
            <w:tcW w:w="2127" w:type="dxa"/>
            <w:vMerge/>
          </w:tcPr>
          <w:p w:rsidR="00476BAA" w:rsidRPr="008170A4" w:rsidRDefault="00476BAA" w:rsidP="00121C5C">
            <w:pPr>
              <w:pStyle w:val="TableText"/>
              <w:keepNext/>
              <w:keepLines/>
              <w:rPr>
                <w:rFonts w:cs="Arial"/>
                <w:szCs w:val="18"/>
              </w:rPr>
            </w:pP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r w:rsidRPr="008170A4">
              <w:rPr>
                <w:rFonts w:cs="Arial"/>
                <w:szCs w:val="18"/>
              </w:rPr>
              <w:t>Tyres &amp; other rubber</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10,100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6</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62</w:t>
            </w:r>
            <w:r w:rsidRPr="000B315F">
              <w:rPr>
                <w:color w:val="000000"/>
              </w:rPr>
              <w:t>%</w:t>
            </w:r>
          </w:p>
        </w:tc>
      </w:tr>
      <w:tr w:rsidR="00476BAA" w:rsidRPr="008170A4" w:rsidTr="00285AEA">
        <w:tc>
          <w:tcPr>
            <w:tcW w:w="2127" w:type="dxa"/>
            <w:vMerge w:val="restart"/>
          </w:tcPr>
          <w:p w:rsidR="00476BAA" w:rsidRPr="008170A4" w:rsidRDefault="00476BAA" w:rsidP="00121C5C">
            <w:pPr>
              <w:pStyle w:val="TableText"/>
              <w:keepNext/>
              <w:keepLines/>
              <w:rPr>
                <w:rFonts w:cs="Arial"/>
                <w:szCs w:val="18"/>
              </w:rPr>
            </w:pPr>
            <w:r w:rsidRPr="008170A4">
              <w:rPr>
                <w:rFonts w:cs="Arial"/>
                <w:szCs w:val="18"/>
              </w:rPr>
              <w:t>Hazardous</w:t>
            </w: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r w:rsidRPr="008170A4">
              <w:rPr>
                <w:rFonts w:cs="Arial"/>
                <w:szCs w:val="18"/>
              </w:rPr>
              <w:t>Quarantine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r>
      <w:tr w:rsidR="00476BAA" w:rsidRPr="008170A4" w:rsidTr="00285AEA">
        <w:tc>
          <w:tcPr>
            <w:tcW w:w="2127" w:type="dxa"/>
            <w:vMerge/>
          </w:tcPr>
          <w:p w:rsidR="00476BAA" w:rsidRPr="008170A4" w:rsidRDefault="00476BAA" w:rsidP="00121C5C">
            <w:pPr>
              <w:pStyle w:val="TableText"/>
              <w:keepNext/>
              <w:keepLines/>
              <w:rPr>
                <w:rFonts w:cs="Arial"/>
                <w:szCs w:val="18"/>
              </w:rPr>
            </w:pP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r w:rsidRPr="008170A4">
              <w:rPr>
                <w:rFonts w:cs="Arial"/>
                <w:szCs w:val="18"/>
              </w:rPr>
              <w:t>Contaminated soil</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8</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r>
      <w:tr w:rsidR="00476BAA" w:rsidRPr="008170A4" w:rsidTr="00285AEA">
        <w:tc>
          <w:tcPr>
            <w:tcW w:w="2127" w:type="dxa"/>
            <w:vMerge/>
          </w:tcPr>
          <w:p w:rsidR="00476BAA" w:rsidRPr="008170A4" w:rsidRDefault="00476BAA" w:rsidP="00121C5C">
            <w:pPr>
              <w:pStyle w:val="TableText"/>
              <w:keepNext/>
              <w:keepLines/>
              <w:rPr>
                <w:rFonts w:cs="Arial"/>
                <w:szCs w:val="18"/>
              </w:rPr>
            </w:pP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r w:rsidRPr="008170A4">
              <w:rPr>
                <w:rFonts w:cs="Arial"/>
                <w:szCs w:val="18"/>
              </w:rPr>
              <w:t>Industrial waste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10</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r>
      <w:tr w:rsidR="00476BAA" w:rsidRPr="008170A4" w:rsidTr="00285AEA">
        <w:tc>
          <w:tcPr>
            <w:tcW w:w="2127" w:type="dxa"/>
            <w:vMerge/>
          </w:tcPr>
          <w:p w:rsidR="00476BAA" w:rsidRPr="008170A4" w:rsidRDefault="00476BAA" w:rsidP="00121C5C">
            <w:pPr>
              <w:pStyle w:val="TableText"/>
              <w:keepNext/>
              <w:keepLines/>
              <w:rPr>
                <w:rFonts w:cs="Arial"/>
                <w:szCs w:val="18"/>
              </w:rPr>
            </w:pP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r w:rsidRPr="008170A4">
              <w:rPr>
                <w:rFonts w:cs="Arial"/>
                <w:szCs w:val="18"/>
              </w:rPr>
              <w:t>Asbestos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r>
      <w:tr w:rsidR="00476BAA" w:rsidRPr="008170A4" w:rsidTr="00285AEA">
        <w:tc>
          <w:tcPr>
            <w:tcW w:w="2127" w:type="dxa"/>
          </w:tcPr>
          <w:p w:rsidR="00476BAA" w:rsidRPr="008170A4" w:rsidRDefault="00476BAA" w:rsidP="00121C5C">
            <w:pPr>
              <w:pStyle w:val="TableText"/>
              <w:keepNext/>
              <w:keepLines/>
              <w:rPr>
                <w:rFonts w:cs="Arial"/>
                <w:szCs w:val="18"/>
              </w:rPr>
            </w:pPr>
            <w:r w:rsidRPr="008170A4">
              <w:rPr>
                <w:rFonts w:cs="Arial"/>
                <w:b/>
                <w:szCs w:val="18"/>
              </w:rPr>
              <w:t>SUBTOTAL</w:t>
            </w: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2,180,000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1,343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1,</w:t>
            </w:r>
            <w:r w:rsidRPr="00476BAA">
              <w:rPr>
                <w:rFonts w:cs="Arial"/>
                <w:b/>
                <w:bCs/>
                <w:color w:val="000000"/>
                <w:szCs w:val="18"/>
              </w:rPr>
              <w:t>091</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67</w:t>
            </w:r>
            <w:r w:rsidRPr="000B315F">
              <w:rPr>
                <w:b/>
                <w:color w:val="000000"/>
              </w:rPr>
              <w:t>%</w:t>
            </w:r>
          </w:p>
        </w:tc>
      </w:tr>
      <w:tr w:rsidR="00476BAA" w:rsidRPr="008170A4" w:rsidTr="00285AEA">
        <w:tc>
          <w:tcPr>
            <w:tcW w:w="2127" w:type="dxa"/>
          </w:tcPr>
          <w:p w:rsidR="00476BAA" w:rsidRPr="008170A4" w:rsidRDefault="00476BAA" w:rsidP="00121C5C">
            <w:pPr>
              <w:pStyle w:val="TableText"/>
              <w:keepNext/>
              <w:keepLines/>
              <w:rPr>
                <w:rFonts w:cs="Arial"/>
                <w:szCs w:val="18"/>
              </w:rPr>
            </w:pPr>
            <w:r w:rsidRPr="008170A4">
              <w:rPr>
                <w:rFonts w:cs="Arial"/>
                <w:szCs w:val="18"/>
              </w:rPr>
              <w:t>Fly ash</w:t>
            </w:r>
          </w:p>
        </w:tc>
        <w:tc>
          <w:tcPr>
            <w:tcW w:w="1984" w:type="dxa"/>
            <w:tcBorders>
              <w:top w:val="single" w:sz="4" w:space="0" w:color="808080"/>
              <w:bottom w:val="single" w:sz="4" w:space="0" w:color="808080"/>
              <w:right w:val="single" w:sz="4" w:space="0" w:color="808080"/>
            </w:tcBorders>
          </w:tcPr>
          <w:p w:rsidR="00476BAA" w:rsidRPr="008170A4"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223,000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137</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110</w:t>
            </w:r>
          </w:p>
        </w:tc>
        <w:tc>
          <w:tcPr>
            <w:tcW w:w="1329" w:type="dxa"/>
            <w:tcBorders>
              <w:top w:val="single" w:sz="4" w:space="0" w:color="808080"/>
              <w:left w:val="single" w:sz="4" w:space="0" w:color="808080"/>
              <w:bottom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77%</w:t>
            </w:r>
          </w:p>
        </w:tc>
      </w:tr>
      <w:tr w:rsidR="00476BAA" w:rsidRPr="008170A4" w:rsidTr="00285AEA">
        <w:tc>
          <w:tcPr>
            <w:tcW w:w="2127" w:type="dxa"/>
          </w:tcPr>
          <w:p w:rsidR="00476BAA" w:rsidRPr="008170A4" w:rsidRDefault="00476BAA" w:rsidP="00121C5C">
            <w:pPr>
              <w:pStyle w:val="TableText"/>
              <w:keepNext/>
              <w:keepLines/>
              <w:rPr>
                <w:rFonts w:cs="Arial"/>
                <w:szCs w:val="18"/>
              </w:rPr>
            </w:pPr>
            <w:r w:rsidRPr="008170A4">
              <w:rPr>
                <w:rFonts w:cs="Arial"/>
                <w:b/>
                <w:szCs w:val="18"/>
              </w:rPr>
              <w:t>TOTAL</w:t>
            </w:r>
          </w:p>
        </w:tc>
        <w:tc>
          <w:tcPr>
            <w:tcW w:w="1984" w:type="dxa"/>
            <w:tcBorders>
              <w:top w:val="single" w:sz="4" w:space="0" w:color="808080"/>
              <w:bottom w:val="single" w:sz="18" w:space="0" w:color="808080"/>
              <w:right w:val="single" w:sz="4" w:space="0" w:color="808080"/>
            </w:tcBorders>
          </w:tcPr>
          <w:p w:rsidR="00476BAA" w:rsidRPr="008170A4"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2,403,000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1,481</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1,</w:t>
            </w:r>
            <w:r w:rsidRPr="00476BAA">
              <w:rPr>
                <w:rFonts w:cs="Arial"/>
                <w:b/>
                <w:bCs/>
                <w:color w:val="000000"/>
                <w:szCs w:val="18"/>
              </w:rPr>
              <w:t>201</w:t>
            </w:r>
          </w:p>
        </w:tc>
        <w:tc>
          <w:tcPr>
            <w:tcW w:w="1329" w:type="dxa"/>
            <w:tcBorders>
              <w:top w:val="single" w:sz="4" w:space="0" w:color="808080"/>
              <w:left w:val="single" w:sz="4" w:space="0" w:color="808080"/>
              <w:bottom w:val="single" w:sz="18"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68%</w:t>
            </w:r>
          </w:p>
        </w:tc>
      </w:tr>
    </w:tbl>
    <w:p w:rsidR="00EE665A" w:rsidRPr="00C36C8F" w:rsidRDefault="00EE665A" w:rsidP="00EE665A">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EB0688" w:rsidRPr="00C36C8F" w:rsidRDefault="00EB0688" w:rsidP="003D7CFE">
      <w:pPr>
        <w:pStyle w:val="ParaIndent"/>
        <w:spacing w:before="120"/>
      </w:pPr>
    </w:p>
    <w:p w:rsidR="00EE665A" w:rsidRPr="00C36C8F" w:rsidRDefault="00EE665A" w:rsidP="003D7CFE">
      <w:pPr>
        <w:pStyle w:val="ParaIndent"/>
        <w:spacing w:before="120"/>
      </w:pPr>
    </w:p>
    <w:p w:rsidR="00EB0688" w:rsidRPr="00C36C8F" w:rsidRDefault="00B9555F" w:rsidP="006A1B32">
      <w:pPr>
        <w:pStyle w:val="ParaIndent"/>
        <w:keepNext/>
        <w:keepLines/>
        <w:spacing w:before="120"/>
        <w:jc w:val="both"/>
      </w:pPr>
      <w:r w:rsidRPr="00C36C8F">
        <w:fldChar w:fldCharType="begin"/>
      </w:r>
      <w:r w:rsidR="00EB0688" w:rsidRPr="00C36C8F">
        <w:instrText xml:space="preserve"> REF _Ref284592385 \h </w:instrText>
      </w:r>
      <w:r w:rsidRPr="00C36C8F">
        <w:fldChar w:fldCharType="separate"/>
      </w:r>
      <w:r w:rsidR="00AE7E3B" w:rsidRPr="00C36C8F">
        <w:t xml:space="preserve">Table </w:t>
      </w:r>
      <w:r w:rsidR="00AE7E3B">
        <w:rPr>
          <w:noProof/>
        </w:rPr>
        <w:t>4</w:t>
      </w:r>
      <w:r w:rsidR="00AE7E3B" w:rsidRPr="00C36C8F">
        <w:t>-</w:t>
      </w:r>
      <w:r w:rsidR="00AE7E3B">
        <w:rPr>
          <w:noProof/>
        </w:rPr>
        <w:t>28</w:t>
      </w:r>
      <w:r w:rsidRPr="00C36C8F">
        <w:fldChar w:fldCharType="end"/>
      </w:r>
      <w:r w:rsidR="00EB0688" w:rsidRPr="00C36C8F">
        <w:t xml:space="preserve"> details energy recovery by material type for SA. Recovery for the jurisdiction is presented in terms of total tonnes, and the per capita rate. The national average per capita recovery rate is also provided.</w:t>
      </w:r>
    </w:p>
    <w:p w:rsidR="00DE05C7" w:rsidRPr="00C36C8F" w:rsidRDefault="00DE05C7" w:rsidP="00DE05C7">
      <w:pPr>
        <w:pStyle w:val="Caption"/>
        <w:tabs>
          <w:tab w:val="left" w:pos="7275"/>
        </w:tabs>
      </w:pPr>
      <w:bookmarkStart w:id="178" w:name="_Ref284592385"/>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28</w:t>
      </w:r>
      <w:r w:rsidR="00B9555F" w:rsidRPr="00C36C8F">
        <w:rPr>
          <w:noProof/>
        </w:rPr>
        <w:fldChar w:fldCharType="end"/>
      </w:r>
      <w:bookmarkEnd w:id="178"/>
      <w:r w:rsidRPr="00C36C8F">
        <w:tab/>
      </w:r>
      <w:r w:rsidR="00121C5C" w:rsidRPr="00C36C8F">
        <w:t>SA e</w:t>
      </w:r>
      <w:r w:rsidRPr="00C36C8F">
        <w:t>nergy recovery by material, 2008–09</w:t>
      </w:r>
    </w:p>
    <w:tbl>
      <w:tblPr>
        <w:tblW w:w="8098" w:type="dxa"/>
        <w:jc w:val="right"/>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tblGrid>
      <w:tr w:rsidR="00121C5C" w:rsidRPr="00C36C8F" w:rsidTr="00121C5C">
        <w:trPr>
          <w:jc w:val="right"/>
        </w:trPr>
        <w:tc>
          <w:tcPr>
            <w:tcW w:w="4111" w:type="dxa"/>
            <w:gridSpan w:val="2"/>
            <w:tcBorders>
              <w:right w:val="single" w:sz="4" w:space="0" w:color="808080"/>
            </w:tcBorders>
            <w:shd w:val="clear" w:color="auto" w:fill="auto"/>
            <w:vAlign w:val="center"/>
          </w:tcPr>
          <w:p w:rsidR="00121C5C" w:rsidRPr="00C36C8F" w:rsidRDefault="00121C5C" w:rsidP="00121C5C">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SA energy recovery</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National average</w:t>
            </w:r>
          </w:p>
        </w:tc>
      </w:tr>
      <w:tr w:rsidR="00121C5C" w:rsidRPr="00C36C8F" w:rsidTr="00121C5C">
        <w:trPr>
          <w:jc w:val="right"/>
        </w:trPr>
        <w:tc>
          <w:tcPr>
            <w:tcW w:w="2127" w:type="dxa"/>
            <w:tcBorders>
              <w:bottom w:val="single" w:sz="4" w:space="0" w:color="808080"/>
              <w:right w:val="nil"/>
            </w:tcBorders>
            <w:shd w:val="clear" w:color="auto" w:fill="auto"/>
          </w:tcPr>
          <w:p w:rsidR="00121C5C" w:rsidRPr="00C36C8F" w:rsidRDefault="00121C5C" w:rsidP="00A04036">
            <w:pPr>
              <w:pStyle w:val="TableHeading"/>
              <w:keepLines/>
              <w:jc w:val="center"/>
              <w:rPr>
                <w:kern w:val="28"/>
              </w:rPr>
            </w:pPr>
            <w:r w:rsidRPr="00C36C8F">
              <w:rPr>
                <w:kern w:val="28"/>
              </w:rPr>
              <w:t>M</w:t>
            </w:r>
            <w:r w:rsidR="00A04036" w:rsidRPr="00C36C8F">
              <w:rPr>
                <w:kern w:val="28"/>
              </w:rPr>
              <w:t>aterial Ca</w:t>
            </w:r>
            <w:r w:rsidRPr="00C36C8F">
              <w:rPr>
                <w:kern w:val="28"/>
              </w:rPr>
              <w:t>tegory</w:t>
            </w:r>
          </w:p>
        </w:tc>
        <w:tc>
          <w:tcPr>
            <w:tcW w:w="1984" w:type="dxa"/>
            <w:tcBorders>
              <w:left w:val="nil"/>
              <w:bottom w:val="single" w:sz="4" w:space="0" w:color="808080"/>
              <w:right w:val="single" w:sz="4" w:space="0" w:color="808080"/>
            </w:tcBorders>
            <w:shd w:val="clear" w:color="auto" w:fill="auto"/>
          </w:tcPr>
          <w:p w:rsidR="00121C5C" w:rsidRPr="00C36C8F" w:rsidRDefault="00A04036" w:rsidP="00121C5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r>
      <w:tr w:rsidR="00121C5C" w:rsidRPr="00C36C8F" w:rsidTr="00121C5C">
        <w:trPr>
          <w:jc w:val="right"/>
        </w:trPr>
        <w:tc>
          <w:tcPr>
            <w:tcW w:w="2127" w:type="dxa"/>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121C5C" w:rsidRPr="00C36C8F" w:rsidRDefault="00121C5C"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121C5C" w:rsidRPr="00C36C8F" w:rsidRDefault="00121C5C"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121C5C" w:rsidRPr="00C36C8F" w:rsidRDefault="00121C5C"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96,400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59</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15</w:t>
            </w:r>
          </w:p>
        </w:tc>
      </w:tr>
      <w:tr w:rsidR="00121C5C" w:rsidRPr="00C36C8F" w:rsidTr="00121C5C">
        <w:trPr>
          <w:jc w:val="right"/>
        </w:trPr>
        <w:tc>
          <w:tcPr>
            <w:tcW w:w="2127" w:type="dxa"/>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121C5C" w:rsidRPr="00C36C8F" w:rsidRDefault="00121C5C"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121C5C" w:rsidRPr="00C36C8F" w:rsidRDefault="00121C5C"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5,600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3</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vMerge w:val="restart"/>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121C5C" w:rsidRPr="00C36C8F" w:rsidRDefault="00121C5C" w:rsidP="00121C5C">
            <w:pPr>
              <w:pStyle w:val="TableText"/>
              <w:keepNext/>
              <w:keepLines/>
            </w:pPr>
            <w:r w:rsidRPr="00C36C8F">
              <w:t>Glass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vMerge/>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121C5C" w:rsidRPr="00C36C8F" w:rsidRDefault="00121C5C" w:rsidP="00121C5C">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vMerge/>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121C5C" w:rsidRPr="00C36C8F" w:rsidRDefault="00121C5C" w:rsidP="00121C5C">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vMerge w:val="restart"/>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121C5C" w:rsidRPr="00C36C8F" w:rsidRDefault="00121C5C" w:rsidP="00121C5C">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vMerge/>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121C5C" w:rsidRPr="00C36C8F" w:rsidRDefault="00121C5C" w:rsidP="00121C5C">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vMerge/>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121C5C" w:rsidRPr="00C36C8F" w:rsidRDefault="00121C5C" w:rsidP="00121C5C">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1</w:t>
            </w:r>
          </w:p>
        </w:tc>
      </w:tr>
      <w:tr w:rsidR="00121C5C" w:rsidRPr="00C36C8F" w:rsidTr="00121C5C">
        <w:trPr>
          <w:jc w:val="right"/>
        </w:trPr>
        <w:tc>
          <w:tcPr>
            <w:tcW w:w="2127" w:type="dxa"/>
            <w:vMerge/>
            <w:tcBorders>
              <w:top w:val="single" w:sz="4" w:space="0" w:color="808080"/>
              <w:bottom w:val="single" w:sz="4" w:space="0" w:color="808080"/>
              <w:right w:val="nil"/>
            </w:tcBorders>
            <w:shd w:val="clear" w:color="auto" w:fill="auto"/>
            <w:vAlign w:val="center"/>
          </w:tcPr>
          <w:p w:rsidR="00121C5C" w:rsidRPr="00C36C8F" w:rsidRDefault="00121C5C"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121C5C" w:rsidRPr="00C36C8F" w:rsidRDefault="00121C5C" w:rsidP="00121C5C">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tcBorders>
              <w:top w:val="single" w:sz="4" w:space="0" w:color="808080"/>
              <w:bottom w:val="single" w:sz="18" w:space="0" w:color="808080" w:themeColor="background1" w:themeShade="80"/>
              <w:right w:val="nil"/>
            </w:tcBorders>
            <w:shd w:val="clear" w:color="auto" w:fill="auto"/>
            <w:vAlign w:val="center"/>
          </w:tcPr>
          <w:p w:rsidR="00121C5C" w:rsidRPr="00C36C8F" w:rsidRDefault="00121C5C" w:rsidP="00121C5C">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121C5C" w:rsidRPr="00C36C8F" w:rsidRDefault="00121C5C" w:rsidP="00121C5C">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b/>
                <w:szCs w:val="18"/>
              </w:rPr>
            </w:pPr>
            <w:r w:rsidRPr="00C36C8F">
              <w:rPr>
                <w:b/>
              </w:rPr>
              <w:t>102,000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b/>
                <w:szCs w:val="18"/>
              </w:rPr>
            </w:pPr>
            <w:r w:rsidRPr="00C36C8F">
              <w:rPr>
                <w:b/>
              </w:rPr>
              <w:t>63</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b/>
                <w:szCs w:val="18"/>
              </w:rPr>
            </w:pPr>
            <w:r w:rsidRPr="00C36C8F">
              <w:rPr>
                <w:b/>
              </w:rPr>
              <w:t>16</w:t>
            </w:r>
          </w:p>
        </w:tc>
      </w:tr>
      <w:tr w:rsidR="00121C5C" w:rsidRPr="00C36C8F" w:rsidTr="00121C5C">
        <w:trPr>
          <w:jc w:val="right"/>
        </w:trPr>
        <w:tc>
          <w:tcPr>
            <w:tcW w:w="2127" w:type="dxa"/>
            <w:tcBorders>
              <w:top w:val="single" w:sz="18" w:space="0" w:color="808080" w:themeColor="background1" w:themeShade="80"/>
              <w:bottom w:val="single" w:sz="4" w:space="0" w:color="808080"/>
              <w:right w:val="nil"/>
            </w:tcBorders>
            <w:shd w:val="clear" w:color="auto" w:fill="auto"/>
            <w:vAlign w:val="center"/>
          </w:tcPr>
          <w:p w:rsidR="00121C5C" w:rsidRPr="00C36C8F" w:rsidRDefault="00121C5C" w:rsidP="00121C5C">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121C5C" w:rsidRPr="00C36C8F" w:rsidRDefault="00121C5C" w:rsidP="00121C5C">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szCs w:val="18"/>
              </w:rPr>
            </w:pPr>
            <w:r w:rsidRPr="00C36C8F">
              <w:t>0</w:t>
            </w:r>
          </w:p>
        </w:tc>
      </w:tr>
      <w:tr w:rsidR="00121C5C" w:rsidRPr="00C36C8F" w:rsidTr="00121C5C">
        <w:trPr>
          <w:jc w:val="right"/>
        </w:trPr>
        <w:tc>
          <w:tcPr>
            <w:tcW w:w="2127" w:type="dxa"/>
            <w:tcBorders>
              <w:top w:val="single" w:sz="4" w:space="0" w:color="808080"/>
              <w:bottom w:val="single" w:sz="18" w:space="0" w:color="7F7F7F" w:themeColor="text1" w:themeTint="80"/>
              <w:right w:val="nil"/>
            </w:tcBorders>
            <w:shd w:val="clear" w:color="auto" w:fill="auto"/>
            <w:vAlign w:val="center"/>
          </w:tcPr>
          <w:p w:rsidR="00121C5C" w:rsidRPr="00C36C8F" w:rsidRDefault="00121C5C" w:rsidP="00121C5C">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121C5C" w:rsidRPr="00C36C8F" w:rsidRDefault="00121C5C" w:rsidP="00121C5C">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b/>
                <w:szCs w:val="18"/>
              </w:rPr>
            </w:pPr>
            <w:r w:rsidRPr="00C36C8F">
              <w:rPr>
                <w:b/>
              </w:rPr>
              <w:t>102,000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b/>
                <w:szCs w:val="18"/>
              </w:rPr>
            </w:pPr>
            <w:r w:rsidRPr="00C36C8F">
              <w:rPr>
                <w:b/>
              </w:rPr>
              <w:t>63</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121C5C" w:rsidRPr="00C36C8F" w:rsidRDefault="00121C5C" w:rsidP="00121C5C">
            <w:pPr>
              <w:pStyle w:val="TableText"/>
              <w:keepNext/>
              <w:keepLines/>
              <w:jc w:val="right"/>
              <w:rPr>
                <w:rFonts w:cs="Arial"/>
                <w:b/>
                <w:szCs w:val="18"/>
              </w:rPr>
            </w:pPr>
            <w:r w:rsidRPr="00C36C8F">
              <w:rPr>
                <w:b/>
              </w:rPr>
              <w:t>16</w:t>
            </w:r>
          </w:p>
        </w:tc>
      </w:tr>
    </w:tbl>
    <w:p w:rsidR="00121C5C" w:rsidRPr="00C36C8F" w:rsidRDefault="00121C5C" w:rsidP="00121C5C">
      <w:pPr>
        <w:pStyle w:val="ParaIndent"/>
        <w:spacing w:before="120"/>
        <w:ind w:left="156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FB747B" w:rsidRPr="00C36C8F" w:rsidRDefault="00FB747B" w:rsidP="00121C5C"/>
    <w:p w:rsidR="0009088A" w:rsidRPr="00C36C8F" w:rsidRDefault="00B9555F" w:rsidP="006A1B32">
      <w:pPr>
        <w:pStyle w:val="ParaIndent"/>
        <w:keepNext/>
        <w:spacing w:before="120"/>
        <w:jc w:val="both"/>
      </w:pPr>
      <w:r w:rsidRPr="00C36C8F">
        <w:fldChar w:fldCharType="begin"/>
      </w:r>
      <w:r w:rsidR="00121C5C" w:rsidRPr="00C36C8F">
        <w:instrText xml:space="preserve"> REF _Ref300767353 \h </w:instrText>
      </w:r>
      <w:r w:rsidRPr="00C36C8F">
        <w:fldChar w:fldCharType="separate"/>
      </w:r>
      <w:r w:rsidR="00AE7E3B" w:rsidRPr="00C36C8F">
        <w:t xml:space="preserve">Figure </w:t>
      </w:r>
      <w:r w:rsidR="00AE7E3B">
        <w:rPr>
          <w:noProof/>
        </w:rPr>
        <w:t>4</w:t>
      </w:r>
      <w:r w:rsidR="00AE7E3B" w:rsidRPr="00C36C8F">
        <w:t>-</w:t>
      </w:r>
      <w:r w:rsidR="00AE7E3B">
        <w:rPr>
          <w:noProof/>
        </w:rPr>
        <w:t>18</w:t>
      </w:r>
      <w:r w:rsidRPr="00C36C8F">
        <w:fldChar w:fldCharType="end"/>
      </w:r>
      <w:r w:rsidR="00526AFB" w:rsidRPr="00C36C8F">
        <w:t xml:space="preserve"> </w:t>
      </w:r>
      <w:r w:rsidR="0009088A" w:rsidRPr="00C36C8F">
        <w:t>charts waste disposal, recycling and energy recovery, by source sector for SA.</w:t>
      </w:r>
    </w:p>
    <w:tbl>
      <w:tblPr>
        <w:tblW w:w="0" w:type="auto"/>
        <w:tblInd w:w="1134" w:type="dxa"/>
        <w:tblLayout w:type="fixed"/>
        <w:tblCellMar>
          <w:left w:w="0" w:type="dxa"/>
          <w:right w:w="0" w:type="dxa"/>
        </w:tblCellMar>
        <w:tblLook w:val="0000"/>
      </w:tblPr>
      <w:tblGrid>
        <w:gridCol w:w="8505"/>
      </w:tblGrid>
      <w:tr w:rsidR="006F6D79" w:rsidRPr="00C36C8F" w:rsidTr="006F6D79">
        <w:trPr>
          <w:cantSplit/>
          <w:trHeight w:val="3486"/>
        </w:trPr>
        <w:tc>
          <w:tcPr>
            <w:tcW w:w="8505" w:type="dxa"/>
          </w:tcPr>
          <w:p w:rsidR="006F6D79" w:rsidRPr="00C36C8F" w:rsidRDefault="00476BAA" w:rsidP="006F6D79">
            <w:pPr>
              <w:pStyle w:val="ParaIndent"/>
              <w:spacing w:before="120"/>
              <w:ind w:left="0"/>
            </w:pPr>
            <w:bookmarkStart w:id="179" w:name="_Toc284316466"/>
            <w:r>
              <w:rPr>
                <w:noProof/>
                <w:lang w:eastAsia="en-AU"/>
              </w:rPr>
              <w:drawing>
                <wp:inline distT="0" distB="0" distL="0" distR="0">
                  <wp:extent cx="1699682" cy="2807231"/>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lang w:eastAsia="en-AU"/>
              </w:rPr>
              <w:drawing>
                <wp:inline distT="0" distB="0" distL="0" distR="0">
                  <wp:extent cx="1739900" cy="2836334"/>
                  <wp:effectExtent l="0" t="0" r="0" b="25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lang w:eastAsia="en-AU"/>
              </w:rPr>
              <w:drawing>
                <wp:inline distT="0" distB="0" distL="0" distR="0">
                  <wp:extent cx="1813983" cy="2836334"/>
                  <wp:effectExtent l="0" t="0" r="0" b="25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6F6D79" w:rsidRPr="00C36C8F" w:rsidTr="006F6D79">
        <w:trPr>
          <w:cantSplit/>
        </w:trPr>
        <w:tc>
          <w:tcPr>
            <w:tcW w:w="8505" w:type="dxa"/>
          </w:tcPr>
          <w:p w:rsidR="006F6D79" w:rsidRPr="00C36C8F" w:rsidRDefault="006F6D79" w:rsidP="006F6D79">
            <w:pPr>
              <w:pStyle w:val="Caption"/>
              <w:tabs>
                <w:tab w:val="left" w:pos="7275"/>
              </w:tabs>
            </w:pPr>
            <w:bookmarkStart w:id="180" w:name="_Ref300767353"/>
            <w:r w:rsidRPr="00C36C8F">
              <w:t xml:space="preserve">Figure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Figure \* Arabic </w:instrText>
            </w:r>
            <w:r w:rsidR="00B9555F" w:rsidRPr="00C36C8F">
              <w:fldChar w:fldCharType="separate"/>
            </w:r>
            <w:r w:rsidR="00AE7E3B">
              <w:rPr>
                <w:noProof/>
              </w:rPr>
              <w:t>18</w:t>
            </w:r>
            <w:r w:rsidR="00B9555F" w:rsidRPr="00C36C8F">
              <w:rPr>
                <w:noProof/>
              </w:rPr>
              <w:fldChar w:fldCharType="end"/>
            </w:r>
            <w:bookmarkEnd w:id="180"/>
            <w:r w:rsidRPr="00C36C8F">
              <w:tab/>
            </w:r>
            <w:r w:rsidR="00121C5C" w:rsidRPr="00C36C8F">
              <w:t>SA</w:t>
            </w:r>
            <w:r w:rsidRPr="00C36C8F">
              <w:t xml:space="preserve"> waste disposal, recycling and energy recovery, by source sector 2008–09</w:t>
            </w:r>
            <w:r w:rsidR="00C16F94">
              <w:t xml:space="preserve"> subtotals</w:t>
            </w:r>
            <w:r w:rsidR="00AB1315" w:rsidRPr="00C36C8F">
              <w:t>. Units in ‘000 tonnes.</w:t>
            </w:r>
          </w:p>
        </w:tc>
      </w:tr>
    </w:tbl>
    <w:p w:rsidR="0009088A" w:rsidRPr="00C36C8F" w:rsidRDefault="0009088A" w:rsidP="0009088A">
      <w:pPr>
        <w:ind w:left="1134"/>
      </w:pPr>
    </w:p>
    <w:p w:rsidR="0009088A" w:rsidRPr="00C36C8F" w:rsidRDefault="0009088A" w:rsidP="0009088A">
      <w:pPr>
        <w:ind w:left="1134"/>
      </w:pPr>
      <w:r w:rsidRPr="00C36C8F">
        <w:br w:type="page"/>
      </w:r>
    </w:p>
    <w:p w:rsidR="00DE05C7" w:rsidRPr="00C36C8F" w:rsidRDefault="00DE05C7" w:rsidP="00DE05C7">
      <w:pPr>
        <w:pStyle w:val="Heading2"/>
      </w:pPr>
      <w:bookmarkStart w:id="181" w:name="_Toc325020109"/>
      <w:bookmarkStart w:id="182" w:name="_Toc305049757"/>
      <w:r w:rsidRPr="00C36C8F">
        <w:t>West</w:t>
      </w:r>
      <w:r w:rsidR="005F016F" w:rsidRPr="00C36C8F">
        <w:t>ern</w:t>
      </w:r>
      <w:r w:rsidR="002B6B01" w:rsidRPr="00C36C8F">
        <w:t xml:space="preserve"> Australia</w:t>
      </w:r>
      <w:r w:rsidRPr="00C36C8F">
        <w:t xml:space="preserve"> waste disposal and recovery</w:t>
      </w:r>
      <w:bookmarkEnd w:id="179"/>
      <w:bookmarkEnd w:id="181"/>
      <w:bookmarkEnd w:id="182"/>
    </w:p>
    <w:p w:rsidR="00BE69D2" w:rsidRPr="00C36C8F" w:rsidRDefault="00297EA4" w:rsidP="006A1B32">
      <w:pPr>
        <w:ind w:left="1134"/>
        <w:jc w:val="both"/>
      </w:pPr>
      <w:r w:rsidRPr="00C36C8F">
        <w:t>West</w:t>
      </w:r>
      <w:r w:rsidR="005F016F" w:rsidRPr="00C36C8F">
        <w:t>ern</w:t>
      </w:r>
      <w:r w:rsidRPr="00C36C8F">
        <w:t xml:space="preserve"> Australian disposal, recycling and energy recovery data is for the 2008</w:t>
      </w:r>
      <w:r w:rsidRPr="00C36C8F">
        <w:noBreakHyphen/>
        <w:t>09 financial year. Disposal data for Western Australia is only collected</w:t>
      </w:r>
      <w:r w:rsidR="00121C5C" w:rsidRPr="00C36C8F">
        <w:t xml:space="preserve"> for metropolitan landfills. S</w:t>
      </w:r>
      <w:r w:rsidRPr="00C36C8F">
        <w:t>tate</w:t>
      </w:r>
      <w:r w:rsidR="00121C5C" w:rsidRPr="00C36C8F">
        <w:t>-</w:t>
      </w:r>
      <w:r w:rsidRPr="00C36C8F">
        <w:t>wide landfill data was derived for the purposes of this report by applying a metropolitan</w:t>
      </w:r>
      <w:r w:rsidR="00690F1F" w:rsidRPr="00C36C8F">
        <w:t xml:space="preserve"> to </w:t>
      </w:r>
      <w:r w:rsidRPr="00C36C8F">
        <w:t xml:space="preserve">non-metropolitan population ratio to the metropolitan landfill data. The waste disposal composition was estimated by applying compositions derived from disposal-based waste audit to landfill data published in the Hyder Consulting </w:t>
      </w:r>
      <w:r w:rsidRPr="00C36C8F">
        <w:rPr>
          <w:i/>
        </w:rPr>
        <w:t>Recycling Activity in Western Australia</w:t>
      </w:r>
      <w:r w:rsidRPr="00C36C8F">
        <w:t xml:space="preserve"> report.</w:t>
      </w:r>
    </w:p>
    <w:p w:rsidR="00DE05C7" w:rsidRPr="00C36C8F" w:rsidRDefault="00B9555F" w:rsidP="006A1B32">
      <w:pPr>
        <w:ind w:left="1134"/>
        <w:jc w:val="both"/>
      </w:pPr>
      <w:fldSimple w:instr=" REF _Ref284592511 \h  \* MERGEFORMAT ">
        <w:r w:rsidR="00AE7E3B" w:rsidRPr="00C36C8F">
          <w:t xml:space="preserve">Table </w:t>
        </w:r>
        <w:r w:rsidR="00AE7E3B">
          <w:rPr>
            <w:noProof/>
          </w:rPr>
          <w:t>4</w:t>
        </w:r>
        <w:r w:rsidR="00AE7E3B" w:rsidRPr="00C36C8F">
          <w:rPr>
            <w:noProof/>
          </w:rPr>
          <w:t>-</w:t>
        </w:r>
        <w:r w:rsidR="00AE7E3B">
          <w:rPr>
            <w:noProof/>
          </w:rPr>
          <w:t>29</w:t>
        </w:r>
      </w:fldSimple>
      <w:r w:rsidR="00DE05C7" w:rsidRPr="00C36C8F">
        <w:t xml:space="preserve"> provides an overview of the sources of the Western Australian waste disposal and recovery data, upon which the jurisdictional review and national figures for the 2008-09 reporting period are based.</w:t>
      </w:r>
      <w:r w:rsidR="00690F1F" w:rsidRPr="00C36C8F">
        <w:t xml:space="preserve"> </w:t>
      </w:r>
    </w:p>
    <w:p w:rsidR="00DE05C7" w:rsidRPr="00C36C8F" w:rsidRDefault="00DE05C7" w:rsidP="00DE05C7">
      <w:pPr>
        <w:pStyle w:val="Caption"/>
        <w:tabs>
          <w:tab w:val="left" w:pos="7275"/>
        </w:tabs>
      </w:pPr>
      <w:bookmarkStart w:id="183" w:name="_Ref284592511"/>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29</w:t>
      </w:r>
      <w:r w:rsidR="00B9555F" w:rsidRPr="00C36C8F">
        <w:rPr>
          <w:noProof/>
        </w:rPr>
        <w:fldChar w:fldCharType="end"/>
      </w:r>
      <w:bookmarkEnd w:id="183"/>
      <w:r w:rsidRPr="00C36C8F">
        <w:tab/>
        <w:t>Sources of West</w:t>
      </w:r>
      <w:r w:rsidR="005F016F" w:rsidRPr="00C36C8F">
        <w:t>ern</w:t>
      </w:r>
      <w:r w:rsidRPr="00C36C8F">
        <w:t xml:space="preserve"> Australian waste disposal and recovery data</w:t>
      </w:r>
    </w:p>
    <w:tbl>
      <w:tblPr>
        <w:tblW w:w="0" w:type="auto"/>
        <w:tblBorders>
          <w:bottom w:val="single" w:sz="18" w:space="0" w:color="808080"/>
          <w:insideH w:val="single" w:sz="4" w:space="0" w:color="808080"/>
        </w:tblBorders>
        <w:tblCellMar>
          <w:left w:w="0" w:type="dxa"/>
          <w:right w:w="0" w:type="dxa"/>
        </w:tblCellMar>
        <w:tblLook w:val="01E0"/>
      </w:tblPr>
      <w:tblGrid>
        <w:gridCol w:w="1479"/>
        <w:gridCol w:w="3199"/>
        <w:gridCol w:w="5103"/>
      </w:tblGrid>
      <w:tr w:rsidR="00315925" w:rsidRPr="00C36C8F" w:rsidTr="00A20688">
        <w:trPr>
          <w:cantSplit/>
          <w:tblHeader/>
        </w:trPr>
        <w:tc>
          <w:tcPr>
            <w:tcW w:w="0" w:type="auto"/>
            <w:shd w:val="clear" w:color="auto" w:fill="auto"/>
            <w:tcMar>
              <w:right w:w="142" w:type="dxa"/>
            </w:tcMar>
          </w:tcPr>
          <w:p w:rsidR="00315925" w:rsidRPr="00C36C8F" w:rsidRDefault="00315925" w:rsidP="00315925">
            <w:pPr>
              <w:pStyle w:val="TableHeading"/>
              <w:rPr>
                <w:kern w:val="28"/>
              </w:rPr>
            </w:pPr>
            <w:r w:rsidRPr="00C36C8F">
              <w:rPr>
                <w:kern w:val="28"/>
              </w:rPr>
              <w:t>Data field</w:t>
            </w:r>
          </w:p>
        </w:tc>
        <w:tc>
          <w:tcPr>
            <w:tcW w:w="3199" w:type="dxa"/>
            <w:shd w:val="clear" w:color="auto" w:fill="auto"/>
            <w:tcMar>
              <w:right w:w="142" w:type="dxa"/>
            </w:tcMar>
          </w:tcPr>
          <w:p w:rsidR="00315925" w:rsidRPr="00C36C8F" w:rsidRDefault="00315925" w:rsidP="00315925">
            <w:pPr>
              <w:pStyle w:val="TableHeading"/>
              <w:rPr>
                <w:kern w:val="28"/>
              </w:rPr>
            </w:pPr>
            <w:r w:rsidRPr="00C36C8F">
              <w:rPr>
                <w:kern w:val="28"/>
              </w:rPr>
              <w:t>Data Sources</w:t>
            </w:r>
          </w:p>
        </w:tc>
        <w:tc>
          <w:tcPr>
            <w:tcW w:w="5103" w:type="dxa"/>
            <w:tcMar>
              <w:right w:w="142" w:type="dxa"/>
            </w:tcMar>
          </w:tcPr>
          <w:p w:rsidR="00315925" w:rsidRPr="00C36C8F" w:rsidRDefault="00315925" w:rsidP="00315925">
            <w:pPr>
              <w:pStyle w:val="TableHeading"/>
              <w:rPr>
                <w:kern w:val="28"/>
              </w:rPr>
            </w:pPr>
            <w:r w:rsidRPr="00C36C8F">
              <w:rPr>
                <w:kern w:val="28"/>
              </w:rPr>
              <w:t>Data collation assumptions &amp; calculation methods</w:t>
            </w:r>
          </w:p>
        </w:tc>
      </w:tr>
      <w:tr w:rsidR="00315925" w:rsidRPr="00C36C8F" w:rsidTr="00A20688">
        <w:tblPrEx>
          <w:tblBorders>
            <w:bottom w:val="none" w:sz="0" w:space="0" w:color="auto"/>
            <w:insideH w:val="none" w:sz="0" w:space="0" w:color="auto"/>
          </w:tblBorders>
          <w:tblCellMar>
            <w:left w:w="108" w:type="dxa"/>
            <w:right w:w="108" w:type="dxa"/>
          </w:tblCellMar>
          <w:tblLook w:val="04A0"/>
        </w:tblPrEx>
        <w:trPr>
          <w:cantSplit/>
          <w:trHeight w:val="73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Population data</w:t>
            </w:r>
          </w:p>
        </w:tc>
        <w:tc>
          <w:tcPr>
            <w:tcW w:w="3199"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 xml:space="preserve">Australian Bureau of Statistics, ABS Release 3101.04 – </w:t>
            </w:r>
            <w:r w:rsidRPr="000B315F">
              <w:rPr>
                <w:i/>
                <w:sz w:val="18"/>
              </w:rPr>
              <w:t>Estimated Resident Population, States and Territories (Number)</w:t>
            </w:r>
            <w:r w:rsidRPr="000B315F">
              <w:rPr>
                <w:sz w:val="18"/>
              </w:rPr>
              <w:t>, June 2009, Canberra, Australia.</w:t>
            </w:r>
          </w:p>
        </w:tc>
        <w:tc>
          <w:tcPr>
            <w:tcW w:w="5103"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None.</w:t>
            </w:r>
          </w:p>
        </w:tc>
      </w:tr>
      <w:tr w:rsidR="00315925" w:rsidRPr="00C36C8F" w:rsidTr="00A20688">
        <w:tblPrEx>
          <w:tblBorders>
            <w:bottom w:val="none" w:sz="0" w:space="0" w:color="auto"/>
            <w:insideH w:val="none" w:sz="0" w:space="0" w:color="auto"/>
          </w:tblBorders>
          <w:tblCellMar>
            <w:left w:w="108" w:type="dxa"/>
            <w:right w:w="108" w:type="dxa"/>
          </w:tblCellMar>
          <w:tblLook w:val="04A0"/>
        </w:tblPrEx>
        <w:trPr>
          <w:cantSplit/>
          <w:trHeight w:val="385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Disposal to landfill - total quantity</w:t>
            </w:r>
          </w:p>
        </w:tc>
        <w:tc>
          <w:tcPr>
            <w:tcW w:w="3199"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240" w:line="240" w:lineRule="auto"/>
              <w:ind w:left="0"/>
              <w:rPr>
                <w:sz w:val="18"/>
              </w:rPr>
            </w:pPr>
            <w:r w:rsidRPr="000B315F">
              <w:rPr>
                <w:sz w:val="18"/>
              </w:rPr>
              <w:t xml:space="preserve">1. Hyder Consulting, </w:t>
            </w:r>
            <w:r w:rsidRPr="000B315F">
              <w:rPr>
                <w:i/>
                <w:sz w:val="18"/>
              </w:rPr>
              <w:t>Recycling activity in Western Australia</w:t>
            </w:r>
            <w:r w:rsidRPr="000B315F">
              <w:rPr>
                <w:sz w:val="18"/>
              </w:rPr>
              <w:t xml:space="preserve"> 2007-08 &amp; 2008-09, prepared for the Department of Environment and Conservation (WA) on behalf of the Waste Authority, 19 July 2010c.</w:t>
            </w:r>
            <w:r w:rsidRPr="000B315F">
              <w:rPr>
                <w:sz w:val="18"/>
              </w:rPr>
              <w:br/>
              <w:t xml:space="preserve">2. Australian Bureau of Statistics, 3218.0 - </w:t>
            </w:r>
            <w:r w:rsidRPr="000B315F">
              <w:rPr>
                <w:i/>
                <w:sz w:val="18"/>
              </w:rPr>
              <w:t>Regional Population Growth Australia 2008</w:t>
            </w:r>
            <w:r w:rsidR="00C62230" w:rsidRPr="000B315F">
              <w:rPr>
                <w:i/>
                <w:sz w:val="18"/>
              </w:rPr>
              <w:t>–</w:t>
            </w:r>
            <w:r w:rsidRPr="000B315F">
              <w:rPr>
                <w:i/>
                <w:sz w:val="18"/>
              </w:rPr>
              <w:t>09</w:t>
            </w:r>
            <w:r w:rsidRPr="000B315F">
              <w:rPr>
                <w:sz w:val="18"/>
              </w:rPr>
              <w:t>, 2009b.</w:t>
            </w:r>
            <w:r w:rsidRPr="000B315F">
              <w:rPr>
                <w:sz w:val="18"/>
              </w:rPr>
              <w:br/>
              <w:t>3. Energy recovery estimates - various sources [Clean Energy Council (2010); Golder (2009); Green Energy Markets for Energy Developments (2008)].</w:t>
            </w:r>
            <w:r w:rsidRPr="000B315F">
              <w:rPr>
                <w:sz w:val="18"/>
              </w:rPr>
              <w:br/>
              <w:t>4. Ash Development Association of Australia, Annual membership survey results: January - December 2009. Prepared by HBM Group Pty Ltd.</w:t>
            </w:r>
          </w:p>
        </w:tc>
        <w:tc>
          <w:tcPr>
            <w:tcW w:w="5103" w:type="dxa"/>
            <w:tcBorders>
              <w:top w:val="nil"/>
              <w:left w:val="nil"/>
              <w:bottom w:val="single" w:sz="8" w:space="0" w:color="808080"/>
              <w:right w:val="nil"/>
            </w:tcBorders>
            <w:shd w:val="clear" w:color="auto" w:fill="auto"/>
            <w:tcMar>
              <w:right w:w="142" w:type="dxa"/>
            </w:tcMar>
            <w:hideMark/>
          </w:tcPr>
          <w:p w:rsidR="00315925" w:rsidRPr="000B315F" w:rsidRDefault="00315925" w:rsidP="00C62230">
            <w:pPr>
              <w:spacing w:after="0" w:line="240" w:lineRule="auto"/>
              <w:ind w:left="0"/>
              <w:rPr>
                <w:sz w:val="18"/>
              </w:rPr>
            </w:pPr>
            <w:r w:rsidRPr="000B315F">
              <w:rPr>
                <w:sz w:val="18"/>
              </w:rPr>
              <w:t>1. Total disposal to landfill data for Western Australia during 2008</w:t>
            </w:r>
            <w:r w:rsidR="00EE6C51" w:rsidRPr="000B315F">
              <w:rPr>
                <w:sz w:val="18"/>
              </w:rPr>
              <w:t>–</w:t>
            </w:r>
            <w:r w:rsidRPr="000B315F">
              <w:rPr>
                <w:sz w:val="18"/>
              </w:rPr>
              <w:t>09 was based upon known metropolitan landfill (Hyder 2010b), which was extrapolated to include non-metropolitan areas on a population basis using ABS data (ABS 2009b). This data did not account for the disposal of fly ash, or the recovery of all organic materials recovered through energy recovery, see points 2 and 3 for the description of the determination of the disposed quantities of these materials.</w:t>
            </w:r>
            <w:r w:rsidRPr="000B315F">
              <w:rPr>
                <w:sz w:val="18"/>
              </w:rPr>
              <w:br/>
              <w:t>2. Data for the disposal to landfill of fly ash is based upon the national aggregated value, which is not disaggregated to the state level. WA's fly ash disposal is based upon the jurisdictions proportion of national installed capacity of coal fired power stations.</w:t>
            </w:r>
            <w:r w:rsidRPr="000B315F">
              <w:rPr>
                <w:sz w:val="18"/>
              </w:rPr>
              <w:br/>
              <w:t>3. An estimate of the relatively small quantity of organic materials recovered through energy recovery was also subtracted from WA disposal to landfill in 2008</w:t>
            </w:r>
            <w:r w:rsidR="00EE6C51" w:rsidRPr="000B315F">
              <w:rPr>
                <w:sz w:val="18"/>
              </w:rPr>
              <w:t>–</w:t>
            </w:r>
            <w:r w:rsidRPr="000B315F">
              <w:rPr>
                <w:sz w:val="18"/>
              </w:rPr>
              <w:t>09. See Section 3.1 (Recommendation 6) for a detailed outline of the method applied to determine the total quantity of waste recovered through energy recovery processes.</w:t>
            </w:r>
          </w:p>
        </w:tc>
      </w:tr>
      <w:tr w:rsidR="00315925" w:rsidRPr="00C36C8F" w:rsidTr="00A20688">
        <w:tblPrEx>
          <w:tblBorders>
            <w:bottom w:val="none" w:sz="0" w:space="0" w:color="auto"/>
            <w:insideH w:val="none" w:sz="0" w:space="0" w:color="auto"/>
          </w:tblBorders>
          <w:tblCellMar>
            <w:left w:w="108" w:type="dxa"/>
            <w:right w:w="108" w:type="dxa"/>
          </w:tblCellMar>
          <w:tblLook w:val="04A0"/>
        </w:tblPrEx>
        <w:trPr>
          <w:cantSplit/>
          <w:trHeight w:val="145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Recycling - total quantity</w:t>
            </w:r>
          </w:p>
        </w:tc>
        <w:tc>
          <w:tcPr>
            <w:tcW w:w="3199"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1. Hyder Consulting,</w:t>
            </w:r>
            <w:r w:rsidRPr="000B315F">
              <w:rPr>
                <w:i/>
                <w:sz w:val="18"/>
              </w:rPr>
              <w:t xml:space="preserve"> Recycling activity in Western Australia</w:t>
            </w:r>
            <w:r w:rsidRPr="000B315F">
              <w:rPr>
                <w:sz w:val="18"/>
              </w:rPr>
              <w:t xml:space="preserve"> 2007</w:t>
            </w:r>
            <w:r w:rsidR="00C62230" w:rsidRPr="000B315F">
              <w:rPr>
                <w:sz w:val="18"/>
              </w:rPr>
              <w:t>–</w:t>
            </w:r>
            <w:r w:rsidRPr="000B315F">
              <w:rPr>
                <w:sz w:val="18"/>
              </w:rPr>
              <w:t>08 &amp; 2008</w:t>
            </w:r>
            <w:r w:rsidR="00C62230" w:rsidRPr="000B315F">
              <w:rPr>
                <w:sz w:val="18"/>
              </w:rPr>
              <w:t>–</w:t>
            </w:r>
            <w:r w:rsidRPr="000B315F">
              <w:rPr>
                <w:sz w:val="18"/>
              </w:rPr>
              <w:t>09, prepared for the Department of Environment and Conservation (WA) on behalf of the Waste Authority, 19 July 2010c.</w:t>
            </w:r>
            <w:r w:rsidRPr="000B315F">
              <w:rPr>
                <w:sz w:val="18"/>
              </w:rPr>
              <w:br/>
              <w:t xml:space="preserve">2. Recycled Organics Unit, </w:t>
            </w:r>
            <w:r w:rsidRPr="000B315F">
              <w:rPr>
                <w:i/>
                <w:sz w:val="18"/>
              </w:rPr>
              <w:t>Organics Recycling in Australia: Industry Statistics 2009</w:t>
            </w:r>
            <w:r w:rsidRPr="000B315F">
              <w:rPr>
                <w:sz w:val="18"/>
              </w:rPr>
              <w:t>, revised edition December 2009.</w:t>
            </w:r>
          </w:p>
        </w:tc>
        <w:tc>
          <w:tcPr>
            <w:tcW w:w="5103"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1. Total recycling data for WA during 2008</w:t>
            </w:r>
            <w:r w:rsidR="00EE6C51" w:rsidRPr="000B315F">
              <w:rPr>
                <w:sz w:val="18"/>
              </w:rPr>
              <w:t>–</w:t>
            </w:r>
            <w:r w:rsidRPr="000B315F">
              <w:rPr>
                <w:sz w:val="18"/>
              </w:rPr>
              <w:t>09 was primarily based upon data sourced from Hyder (2010c).</w:t>
            </w:r>
            <w:r w:rsidRPr="000B315F">
              <w:rPr>
                <w:sz w:val="18"/>
              </w:rPr>
              <w:br/>
              <w:t>2. The exception to point 1 above relates to the quantification of organics recycling, which was sourced from ROU (2009). Primary production wastes relating to Recommendation 10 and 11 (Section 3.5) were excluded from the ROU (2009) data.</w:t>
            </w:r>
          </w:p>
        </w:tc>
      </w:tr>
      <w:tr w:rsidR="00315925" w:rsidRPr="00C36C8F" w:rsidTr="00A20688">
        <w:tblPrEx>
          <w:tblBorders>
            <w:bottom w:val="none" w:sz="0" w:space="0" w:color="auto"/>
            <w:insideH w:val="none" w:sz="0" w:space="0" w:color="auto"/>
          </w:tblBorders>
          <w:tblCellMar>
            <w:left w:w="108" w:type="dxa"/>
            <w:right w:w="108" w:type="dxa"/>
          </w:tblCellMar>
          <w:tblLook w:val="04A0"/>
        </w:tblPrEx>
        <w:trPr>
          <w:cantSplit/>
          <w:trHeight w:val="145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Energy recovery - total quantity</w:t>
            </w:r>
          </w:p>
        </w:tc>
        <w:tc>
          <w:tcPr>
            <w:tcW w:w="3199"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1. Landfill energy recovery estimates - various sources [Clean Energy Council (2010); Golder (2009); Green Energy Markets for Energy Developments (2008)].</w:t>
            </w:r>
            <w:r w:rsidRPr="000B315F">
              <w:rPr>
                <w:sz w:val="18"/>
              </w:rPr>
              <w:br/>
              <w:t xml:space="preserve">2. Hyder Consulting, </w:t>
            </w:r>
            <w:r w:rsidRPr="000B315F">
              <w:rPr>
                <w:i/>
                <w:sz w:val="18"/>
              </w:rPr>
              <w:t>Recycling activity in Western Australia</w:t>
            </w:r>
            <w:r w:rsidRPr="000B315F">
              <w:rPr>
                <w:sz w:val="18"/>
              </w:rPr>
              <w:t xml:space="preserve"> 2007</w:t>
            </w:r>
            <w:r w:rsidR="00EE6C51" w:rsidRPr="000B315F">
              <w:rPr>
                <w:sz w:val="18"/>
              </w:rPr>
              <w:t>–</w:t>
            </w:r>
            <w:r w:rsidRPr="000B315F">
              <w:rPr>
                <w:sz w:val="18"/>
              </w:rPr>
              <w:t>08 &amp; 2008</w:t>
            </w:r>
            <w:r w:rsidR="00EE6C51" w:rsidRPr="000B315F">
              <w:rPr>
                <w:sz w:val="18"/>
              </w:rPr>
              <w:t>–</w:t>
            </w:r>
            <w:r w:rsidRPr="000B315F">
              <w:rPr>
                <w:sz w:val="18"/>
              </w:rPr>
              <w:t>09, prepared for the Department of Environment and Conservation (WA) on behalf of the Waste Authority, 19 July 2010c.</w:t>
            </w:r>
          </w:p>
        </w:tc>
        <w:tc>
          <w:tcPr>
            <w:tcW w:w="5103" w:type="dxa"/>
            <w:tcBorders>
              <w:top w:val="nil"/>
              <w:left w:val="nil"/>
              <w:bottom w:val="single" w:sz="8" w:space="0" w:color="808080"/>
              <w:right w:val="nil"/>
            </w:tcBorders>
            <w:shd w:val="clear" w:color="auto" w:fill="auto"/>
            <w:tcMar>
              <w:right w:w="142" w:type="dxa"/>
            </w:tcMar>
            <w:hideMark/>
          </w:tcPr>
          <w:p w:rsidR="00315925" w:rsidRPr="000B315F" w:rsidRDefault="00315925" w:rsidP="00C62230">
            <w:pPr>
              <w:spacing w:after="0" w:line="240" w:lineRule="auto"/>
              <w:ind w:left="0"/>
              <w:rPr>
                <w:sz w:val="18"/>
              </w:rPr>
            </w:pPr>
            <w:r w:rsidRPr="000B315F">
              <w:rPr>
                <w:sz w:val="18"/>
              </w:rPr>
              <w:t>1. The total quantity of waste recovered through energy recovery processes was calculated using the method outlined in detail in Section 3.1 (Recommendation 6). All energy recovery in WA during 2008</w:t>
            </w:r>
            <w:r w:rsidR="00EE6C51" w:rsidRPr="000B315F">
              <w:rPr>
                <w:sz w:val="18"/>
              </w:rPr>
              <w:t>–</w:t>
            </w:r>
            <w:r w:rsidRPr="000B315F">
              <w:rPr>
                <w:sz w:val="18"/>
              </w:rPr>
              <w:t>09 was all through methane capture at landfills and sewage treatment plants</w:t>
            </w:r>
            <w:r w:rsidR="00C62230" w:rsidRPr="000B315F">
              <w:rPr>
                <w:sz w:val="18"/>
              </w:rPr>
              <w:t>. T</w:t>
            </w:r>
            <w:r w:rsidRPr="000B315F">
              <w:rPr>
                <w:sz w:val="18"/>
              </w:rPr>
              <w:t>here was no energy recovery from solid waste combustion identified.</w:t>
            </w:r>
          </w:p>
        </w:tc>
      </w:tr>
      <w:tr w:rsidR="00315925" w:rsidRPr="00C36C8F" w:rsidTr="00A20688">
        <w:trPr>
          <w:cantSplit/>
          <w:trHeight w:val="1455"/>
        </w:trPr>
        <w:tc>
          <w:tcPr>
            <w:tcW w:w="0" w:type="auto"/>
            <w:tcBorders>
              <w:top w:val="single" w:sz="8" w:space="0" w:color="808080"/>
            </w:tcBorders>
            <w:tcMar>
              <w:right w:w="142" w:type="dxa"/>
            </w:tcMar>
            <w:hideMark/>
          </w:tcPr>
          <w:p w:rsidR="00315925" w:rsidRPr="000B315F" w:rsidRDefault="00315925" w:rsidP="00315925">
            <w:pPr>
              <w:spacing w:after="0" w:line="240" w:lineRule="auto"/>
              <w:ind w:left="0"/>
              <w:rPr>
                <w:sz w:val="18"/>
              </w:rPr>
            </w:pPr>
            <w:r w:rsidRPr="000B315F">
              <w:rPr>
                <w:sz w:val="18"/>
              </w:rPr>
              <w:t>Disposal to landfill - waste stream splits</w:t>
            </w:r>
          </w:p>
        </w:tc>
        <w:tc>
          <w:tcPr>
            <w:tcW w:w="3199" w:type="dxa"/>
            <w:tcBorders>
              <w:top w:val="single" w:sz="8" w:space="0" w:color="808080"/>
            </w:tcBorders>
            <w:tcMar>
              <w:right w:w="142" w:type="dxa"/>
            </w:tcMar>
            <w:hideMark/>
          </w:tcPr>
          <w:p w:rsidR="00315925" w:rsidRPr="000B315F" w:rsidRDefault="00315925" w:rsidP="00BD54E7">
            <w:pPr>
              <w:spacing w:after="0" w:line="240" w:lineRule="auto"/>
              <w:ind w:left="81"/>
              <w:rPr>
                <w:sz w:val="18"/>
              </w:rPr>
            </w:pPr>
            <w:r w:rsidRPr="000B315F">
              <w:rPr>
                <w:sz w:val="18"/>
              </w:rPr>
              <w:t xml:space="preserve">1. Hyder Consulting, </w:t>
            </w:r>
            <w:r w:rsidRPr="000B315F">
              <w:rPr>
                <w:i/>
                <w:sz w:val="18"/>
              </w:rPr>
              <w:t>Recycling activity in Western Australia</w:t>
            </w:r>
            <w:r w:rsidRPr="000B315F">
              <w:rPr>
                <w:sz w:val="18"/>
              </w:rPr>
              <w:t xml:space="preserve"> 2007</w:t>
            </w:r>
            <w:r w:rsidR="00C62230" w:rsidRPr="000B315F">
              <w:rPr>
                <w:sz w:val="18"/>
              </w:rPr>
              <w:t>–</w:t>
            </w:r>
            <w:r w:rsidRPr="000B315F">
              <w:rPr>
                <w:sz w:val="18"/>
              </w:rPr>
              <w:t>08 &amp; 2008</w:t>
            </w:r>
            <w:r w:rsidR="00C62230" w:rsidRPr="000B315F">
              <w:rPr>
                <w:sz w:val="18"/>
              </w:rPr>
              <w:t>–</w:t>
            </w:r>
            <w:r w:rsidRPr="000B315F">
              <w:rPr>
                <w:sz w:val="18"/>
              </w:rPr>
              <w:t>09, prepared for the Department of Environment and Conservation (WA) on behalf of the Waste Authority, 19 July 2010c.</w:t>
            </w:r>
            <w:r w:rsidRPr="000B315F">
              <w:rPr>
                <w:sz w:val="18"/>
              </w:rPr>
              <w:br/>
              <w:t>2. Ash Development Association of Australia, Annual membership survey results: January - December 2009. Prepared by HBM Group Pty Ltd.</w:t>
            </w:r>
          </w:p>
        </w:tc>
        <w:tc>
          <w:tcPr>
            <w:tcW w:w="5103" w:type="dxa"/>
            <w:tcBorders>
              <w:top w:val="single" w:sz="8" w:space="0" w:color="808080"/>
            </w:tcBorders>
            <w:tcMar>
              <w:right w:w="142" w:type="dxa"/>
            </w:tcMar>
            <w:hideMark/>
          </w:tcPr>
          <w:p w:rsidR="00315925" w:rsidRPr="000B315F" w:rsidRDefault="00315925" w:rsidP="00BD54E7">
            <w:pPr>
              <w:spacing w:after="0" w:line="240" w:lineRule="auto"/>
              <w:ind w:left="141"/>
              <w:rPr>
                <w:sz w:val="18"/>
              </w:rPr>
            </w:pPr>
            <w:r w:rsidRPr="000B315F">
              <w:rPr>
                <w:sz w:val="18"/>
              </w:rPr>
              <w:t>1. Disposal to landfill by waste stream data for WA during 2008</w:t>
            </w:r>
            <w:r w:rsidR="00C62230" w:rsidRPr="000B315F">
              <w:rPr>
                <w:sz w:val="18"/>
              </w:rPr>
              <w:t>–</w:t>
            </w:r>
            <w:r w:rsidRPr="000B315F">
              <w:rPr>
                <w:sz w:val="18"/>
              </w:rPr>
              <w:t>09 was primarily based upon data sourced from Hyder (2010c). This data did not account for the disposal of fly ash, which was allocated to the C&amp;I sector.</w:t>
            </w:r>
          </w:p>
        </w:tc>
      </w:tr>
      <w:tr w:rsidR="00315925" w:rsidRPr="00C36C8F" w:rsidTr="00A20688">
        <w:tblPrEx>
          <w:tblBorders>
            <w:bottom w:val="none" w:sz="0" w:space="0" w:color="auto"/>
            <w:insideH w:val="none" w:sz="0" w:space="0" w:color="auto"/>
          </w:tblBorders>
          <w:tblCellMar>
            <w:left w:w="108" w:type="dxa"/>
            <w:right w:w="108" w:type="dxa"/>
          </w:tblCellMar>
          <w:tblLook w:val="04A0"/>
        </w:tblPrEx>
        <w:trPr>
          <w:cantSplit/>
          <w:trHeight w:val="145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BD54E7">
            <w:pPr>
              <w:spacing w:after="0" w:line="240" w:lineRule="auto"/>
              <w:ind w:left="-108"/>
              <w:rPr>
                <w:sz w:val="18"/>
              </w:rPr>
            </w:pPr>
            <w:r w:rsidRPr="000B315F">
              <w:rPr>
                <w:sz w:val="18"/>
              </w:rPr>
              <w:t>Recycling - waste stream splits</w:t>
            </w:r>
          </w:p>
        </w:tc>
        <w:tc>
          <w:tcPr>
            <w:tcW w:w="3199" w:type="dxa"/>
            <w:tcBorders>
              <w:top w:val="nil"/>
              <w:left w:val="nil"/>
              <w:bottom w:val="single" w:sz="8" w:space="0" w:color="808080"/>
              <w:right w:val="nil"/>
            </w:tcBorders>
            <w:shd w:val="clear" w:color="auto" w:fill="auto"/>
            <w:tcMar>
              <w:right w:w="142" w:type="dxa"/>
            </w:tcMar>
            <w:hideMark/>
          </w:tcPr>
          <w:p w:rsidR="00315925" w:rsidRPr="000B315F" w:rsidRDefault="00315925" w:rsidP="00BD54E7">
            <w:pPr>
              <w:spacing w:after="0" w:line="240" w:lineRule="auto"/>
              <w:ind w:left="-27"/>
              <w:rPr>
                <w:sz w:val="18"/>
              </w:rPr>
            </w:pPr>
            <w:r w:rsidRPr="000B315F">
              <w:rPr>
                <w:sz w:val="18"/>
              </w:rPr>
              <w:t xml:space="preserve">1. Hyder Consulting, </w:t>
            </w:r>
            <w:r w:rsidRPr="000B315F">
              <w:rPr>
                <w:i/>
                <w:sz w:val="18"/>
              </w:rPr>
              <w:t>Recycling activity in Western Australia</w:t>
            </w:r>
            <w:r w:rsidRPr="000B315F">
              <w:rPr>
                <w:sz w:val="18"/>
              </w:rPr>
              <w:t xml:space="preserve"> 2007</w:t>
            </w:r>
            <w:r w:rsidR="00C62230" w:rsidRPr="000B315F">
              <w:rPr>
                <w:sz w:val="18"/>
              </w:rPr>
              <w:t>–</w:t>
            </w:r>
            <w:r w:rsidRPr="000B315F">
              <w:rPr>
                <w:sz w:val="18"/>
              </w:rPr>
              <w:t>08 &amp; 2008</w:t>
            </w:r>
            <w:r w:rsidR="00C62230" w:rsidRPr="000B315F">
              <w:rPr>
                <w:sz w:val="18"/>
              </w:rPr>
              <w:t>–</w:t>
            </w:r>
            <w:r w:rsidRPr="000B315F">
              <w:rPr>
                <w:sz w:val="18"/>
              </w:rPr>
              <w:t>09, prepared for the Department of Environment and Conservation (WA) on behalf of the Waste Authority, 19 July 2010c.</w:t>
            </w:r>
            <w:r w:rsidRPr="000B315F">
              <w:rPr>
                <w:sz w:val="18"/>
              </w:rPr>
              <w:br/>
              <w:t xml:space="preserve">2. Recycled Organics Unit, </w:t>
            </w:r>
            <w:r w:rsidRPr="000B315F">
              <w:rPr>
                <w:i/>
                <w:sz w:val="18"/>
              </w:rPr>
              <w:t>Organics Recycling in Australia: Industry Statistics 2009</w:t>
            </w:r>
            <w:r w:rsidRPr="000B315F">
              <w:rPr>
                <w:sz w:val="18"/>
              </w:rPr>
              <w:t>, revised edition December 2009.</w:t>
            </w:r>
          </w:p>
        </w:tc>
        <w:tc>
          <w:tcPr>
            <w:tcW w:w="5103" w:type="dxa"/>
            <w:tcBorders>
              <w:top w:val="nil"/>
              <w:left w:val="nil"/>
              <w:bottom w:val="single" w:sz="8" w:space="0" w:color="808080"/>
              <w:right w:val="nil"/>
            </w:tcBorders>
            <w:shd w:val="clear" w:color="auto" w:fill="auto"/>
            <w:tcMar>
              <w:right w:w="142" w:type="dxa"/>
            </w:tcMar>
            <w:hideMark/>
          </w:tcPr>
          <w:p w:rsidR="00315925" w:rsidRPr="000B315F" w:rsidRDefault="00315925" w:rsidP="00C62230">
            <w:pPr>
              <w:spacing w:after="0" w:line="240" w:lineRule="auto"/>
              <w:ind w:left="0"/>
              <w:rPr>
                <w:sz w:val="18"/>
              </w:rPr>
            </w:pPr>
            <w:r w:rsidRPr="000B315F">
              <w:rPr>
                <w:sz w:val="18"/>
              </w:rPr>
              <w:t>1. Recycling by waste stream data for WA during 2008</w:t>
            </w:r>
            <w:r w:rsidR="00C62230" w:rsidRPr="000B315F">
              <w:rPr>
                <w:sz w:val="18"/>
              </w:rPr>
              <w:t>–</w:t>
            </w:r>
            <w:r w:rsidRPr="000B315F">
              <w:rPr>
                <w:sz w:val="18"/>
              </w:rPr>
              <w:t>09 was primarily based upon data sourced from Hyder (2010c).</w:t>
            </w:r>
            <w:r w:rsidRPr="000B315F">
              <w:rPr>
                <w:sz w:val="18"/>
              </w:rPr>
              <w:br/>
              <w:t>2. The exception to point 1 above relates to the quantification of organics recycling, which was sourced from ROU (2009). Primary production wastes relating to Recommendation 10 and 11 (Section 3.5) were excluded from the ROU (2009) data.</w:t>
            </w:r>
          </w:p>
        </w:tc>
      </w:tr>
      <w:tr w:rsidR="00315925" w:rsidRPr="00C36C8F" w:rsidTr="00A20688">
        <w:tblPrEx>
          <w:tblBorders>
            <w:bottom w:val="none" w:sz="0" w:space="0" w:color="auto"/>
            <w:insideH w:val="none" w:sz="0" w:space="0" w:color="auto"/>
          </w:tblBorders>
          <w:tblCellMar>
            <w:left w:w="108" w:type="dxa"/>
            <w:right w:w="108" w:type="dxa"/>
          </w:tblCellMar>
          <w:tblLook w:val="04A0"/>
        </w:tblPrEx>
        <w:trPr>
          <w:cantSplit/>
          <w:trHeight w:val="145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BD54E7">
            <w:pPr>
              <w:spacing w:after="0" w:line="240" w:lineRule="auto"/>
              <w:ind w:left="-108"/>
              <w:rPr>
                <w:sz w:val="18"/>
              </w:rPr>
            </w:pPr>
            <w:r w:rsidRPr="000B315F">
              <w:rPr>
                <w:sz w:val="18"/>
              </w:rPr>
              <w:t>Energy recovery - waste stream splits</w:t>
            </w:r>
          </w:p>
        </w:tc>
        <w:tc>
          <w:tcPr>
            <w:tcW w:w="3199" w:type="dxa"/>
            <w:tcBorders>
              <w:top w:val="nil"/>
              <w:left w:val="nil"/>
              <w:bottom w:val="single" w:sz="8" w:space="0" w:color="808080"/>
              <w:right w:val="nil"/>
            </w:tcBorders>
            <w:shd w:val="clear" w:color="auto" w:fill="auto"/>
            <w:tcMar>
              <w:right w:w="142" w:type="dxa"/>
            </w:tcMar>
            <w:hideMark/>
          </w:tcPr>
          <w:p w:rsidR="00315925" w:rsidRPr="000B315F" w:rsidRDefault="00315925" w:rsidP="00BD54E7">
            <w:pPr>
              <w:spacing w:after="0" w:line="240" w:lineRule="auto"/>
              <w:ind w:left="-27"/>
              <w:rPr>
                <w:sz w:val="18"/>
              </w:rPr>
            </w:pPr>
            <w:r w:rsidRPr="000B315F">
              <w:rPr>
                <w:sz w:val="18"/>
              </w:rPr>
              <w:t>1. Landfill energy recovery estimates - various sources [Clean Energy Council (2010); Golder (2009); Green Energy Markets for Energy Developments (2008)].</w:t>
            </w:r>
            <w:r w:rsidRPr="000B315F">
              <w:rPr>
                <w:sz w:val="18"/>
              </w:rPr>
              <w:br/>
              <w:t xml:space="preserve">2. Hyder Consulting, </w:t>
            </w:r>
            <w:r w:rsidRPr="000B315F">
              <w:rPr>
                <w:i/>
                <w:sz w:val="18"/>
              </w:rPr>
              <w:t>Recycling activity in Western Australia</w:t>
            </w:r>
            <w:r w:rsidRPr="000B315F">
              <w:rPr>
                <w:sz w:val="18"/>
              </w:rPr>
              <w:t xml:space="preserve"> 2007</w:t>
            </w:r>
            <w:r w:rsidR="00F4276A" w:rsidRPr="000B315F">
              <w:rPr>
                <w:sz w:val="18"/>
              </w:rPr>
              <w:t>–</w:t>
            </w:r>
            <w:r w:rsidRPr="000B315F">
              <w:rPr>
                <w:sz w:val="18"/>
              </w:rPr>
              <w:t>08 &amp; 2008</w:t>
            </w:r>
            <w:r w:rsidR="00F4276A" w:rsidRPr="000B315F">
              <w:rPr>
                <w:sz w:val="18"/>
              </w:rPr>
              <w:t>–</w:t>
            </w:r>
            <w:r w:rsidRPr="000B315F">
              <w:rPr>
                <w:sz w:val="18"/>
              </w:rPr>
              <w:t>09, prepared for the Department of Environment and Conservation (WA) on behalf of the Waste Authority, 19 July 2010c.</w:t>
            </w:r>
          </w:p>
        </w:tc>
        <w:tc>
          <w:tcPr>
            <w:tcW w:w="5103"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1. Energy recovery by waste stream was calculated using the data sources identified here and the method outlined in detail in Section 3.1 (Recommendation 6).</w:t>
            </w:r>
          </w:p>
        </w:tc>
      </w:tr>
      <w:tr w:rsidR="00315925" w:rsidRPr="00C36C8F" w:rsidTr="00A20688">
        <w:tblPrEx>
          <w:tblBorders>
            <w:bottom w:val="none" w:sz="0" w:space="0" w:color="auto"/>
            <w:insideH w:val="none" w:sz="0" w:space="0" w:color="auto"/>
          </w:tblBorders>
          <w:tblCellMar>
            <w:left w:w="108" w:type="dxa"/>
            <w:right w:w="108" w:type="dxa"/>
          </w:tblCellMar>
          <w:tblLook w:val="04A0"/>
        </w:tblPrEx>
        <w:trPr>
          <w:cantSplit/>
          <w:trHeight w:val="577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BD54E7">
            <w:pPr>
              <w:spacing w:after="0" w:line="240" w:lineRule="auto"/>
              <w:ind w:left="-108"/>
              <w:rPr>
                <w:sz w:val="18"/>
              </w:rPr>
            </w:pPr>
            <w:r w:rsidRPr="000B315F">
              <w:rPr>
                <w:sz w:val="18"/>
              </w:rPr>
              <w:t>Disposal to landfill - material splits</w:t>
            </w:r>
          </w:p>
        </w:tc>
        <w:tc>
          <w:tcPr>
            <w:tcW w:w="3199" w:type="dxa"/>
            <w:tcBorders>
              <w:top w:val="nil"/>
              <w:left w:val="nil"/>
              <w:bottom w:val="single" w:sz="8" w:space="0" w:color="808080"/>
              <w:right w:val="nil"/>
            </w:tcBorders>
            <w:shd w:val="clear" w:color="auto" w:fill="auto"/>
            <w:tcMar>
              <w:right w:w="142" w:type="dxa"/>
            </w:tcMar>
            <w:hideMark/>
          </w:tcPr>
          <w:p w:rsidR="00315925" w:rsidRPr="000B315F" w:rsidRDefault="00315925" w:rsidP="00BD54E7">
            <w:pPr>
              <w:spacing w:after="0" w:line="240" w:lineRule="auto"/>
              <w:ind w:left="-27"/>
              <w:rPr>
                <w:sz w:val="18"/>
              </w:rPr>
            </w:pPr>
            <w:r w:rsidRPr="000B315F">
              <w:rPr>
                <w:sz w:val="18"/>
              </w:rPr>
              <w:t xml:space="preserve">1. Hyder Consulting, </w:t>
            </w:r>
            <w:r w:rsidRPr="000B315F">
              <w:rPr>
                <w:i/>
                <w:sz w:val="18"/>
              </w:rPr>
              <w:t xml:space="preserve">Recycling activity in Western Australia </w:t>
            </w:r>
            <w:r w:rsidRPr="000B315F">
              <w:rPr>
                <w:sz w:val="18"/>
              </w:rPr>
              <w:t>2007</w:t>
            </w:r>
            <w:r w:rsidR="00F4276A" w:rsidRPr="000B315F">
              <w:rPr>
                <w:sz w:val="18"/>
              </w:rPr>
              <w:t>–</w:t>
            </w:r>
            <w:r w:rsidRPr="000B315F">
              <w:rPr>
                <w:sz w:val="18"/>
              </w:rPr>
              <w:t>08 &amp; 2008</w:t>
            </w:r>
            <w:r w:rsidR="00F4276A" w:rsidRPr="000B315F">
              <w:rPr>
                <w:sz w:val="18"/>
              </w:rPr>
              <w:t>–</w:t>
            </w:r>
            <w:r w:rsidRPr="000B315F">
              <w:rPr>
                <w:sz w:val="18"/>
              </w:rPr>
              <w:t>09, prepared for the Department of Environment and Conservation (WA) on behalf of the Waste Authority, 19 July 2010c.</w:t>
            </w:r>
            <w:r w:rsidRPr="000B315F">
              <w:rPr>
                <w:sz w:val="18"/>
              </w:rPr>
              <w:br/>
              <w:t>2. Ash Development Association of Australia, Annual membership survey results: January - December 2009. Prepared by HBM Group Pty Ltd.</w:t>
            </w:r>
            <w:r w:rsidRPr="000B315F">
              <w:rPr>
                <w:sz w:val="18"/>
              </w:rPr>
              <w:br/>
              <w:t>3. Various MSW waste audits [APC (2007); DECC (2004); Hyder (2008); Murdoch (1999); WACS and Golder (2005); ZWSA (2007)].</w:t>
            </w:r>
            <w:r w:rsidRPr="000B315F">
              <w:rPr>
                <w:sz w:val="18"/>
              </w:rPr>
              <w:br/>
              <w:t>4. Various C&amp;I waste audits [DEC NSW (2003); Golder and WACS (2007); WACS and Golder (2005); ZWSA (2007)].</w:t>
            </w:r>
            <w:r w:rsidRPr="000B315F">
              <w:rPr>
                <w:sz w:val="18"/>
              </w:rPr>
              <w:br/>
              <w:t>5. Various C&amp;D waste audits [DECC (2007); Golder and WACS (2007); WACS and Golder (2005); ZWSA (2007)].</w:t>
            </w:r>
          </w:p>
        </w:tc>
        <w:tc>
          <w:tcPr>
            <w:tcW w:w="5103"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1. The material splits for disposal to landfill in WA during 2008</w:t>
            </w:r>
            <w:r w:rsidR="00F4276A" w:rsidRPr="000B315F">
              <w:rPr>
                <w:sz w:val="18"/>
              </w:rPr>
              <w:t>–</w:t>
            </w:r>
            <w:r w:rsidRPr="000B315F">
              <w:rPr>
                <w:sz w:val="18"/>
              </w:rPr>
              <w:t xml:space="preserve">09 were calculated separately for each waste stream (MSW, C&amp;I and C&amp;D), using the waste stream split quantifications determined as previously outlined. The estimated material quantities for each waste stream were calculated using the available audit data (described in points 2 to 4 immediately below), which were then aggregated to calculate disposal to landfill, by material type, for the </w:t>
            </w:r>
            <w:r w:rsidR="00FE4BF0" w:rsidRPr="00C36C8F">
              <w:rPr>
                <w:rFonts w:cs="Arial"/>
                <w:sz w:val="18"/>
                <w:szCs w:val="18"/>
              </w:rPr>
              <w:t>jurisdiction</w:t>
            </w:r>
            <w:r w:rsidRPr="00C36C8F">
              <w:rPr>
                <w:rFonts w:cs="Arial"/>
                <w:sz w:val="18"/>
                <w:szCs w:val="18"/>
              </w:rPr>
              <w:t>.</w:t>
            </w:r>
            <w:r w:rsidRPr="000B315F">
              <w:rPr>
                <w:sz w:val="18"/>
              </w:rPr>
              <w:t xml:space="preserve"> The exception to this approach was fly ash disposal data, which was sourced from ADAA (2009).</w:t>
            </w:r>
            <w:r w:rsidRPr="000B315F">
              <w:rPr>
                <w:sz w:val="18"/>
              </w:rPr>
              <w:br/>
              <w:t>2. The material splits for the MSW waste stream were estimated based on the available large-scale MSW audit data. The available MSW audit data was weighted against the size of the audits that were undertaken, and then aggregated to generate default (average) material splits in percentage terms.</w:t>
            </w:r>
            <w:r w:rsidRPr="000B315F">
              <w:rPr>
                <w:sz w:val="18"/>
              </w:rPr>
              <w:br/>
              <w:t>3. The material splits for the C&amp;I waste stream were estimated based on the available large-scale C&amp;I audit data. The available C&amp;I audit data was weighted against the size of the audits that were undertaken, and then aggregated to generate default (average) material splits in percentage terms.</w:t>
            </w:r>
            <w:r w:rsidRPr="000B315F">
              <w:rPr>
                <w:sz w:val="18"/>
              </w:rPr>
              <w:br/>
              <w:t>4. The material splits for the C&amp;D waste stream were estimated based on the available large-scale C&amp;D audit data. The available C&amp;D audit data was weighted against the size of the audits that were undertaken, and then aggregated to generate default (average) material splits in percentage terms.</w:t>
            </w:r>
          </w:p>
        </w:tc>
      </w:tr>
      <w:tr w:rsidR="00315925" w:rsidRPr="00C36C8F" w:rsidTr="00A20688">
        <w:tblPrEx>
          <w:tblBorders>
            <w:bottom w:val="none" w:sz="0" w:space="0" w:color="auto"/>
            <w:insideH w:val="none" w:sz="0" w:space="0" w:color="auto"/>
          </w:tblBorders>
          <w:tblCellMar>
            <w:left w:w="108" w:type="dxa"/>
            <w:right w:w="108" w:type="dxa"/>
          </w:tblCellMar>
          <w:tblLook w:val="04A0"/>
        </w:tblPrEx>
        <w:trPr>
          <w:cantSplit/>
          <w:trHeight w:val="1455"/>
        </w:trPr>
        <w:tc>
          <w:tcPr>
            <w:tcW w:w="0" w:type="auto"/>
            <w:tcBorders>
              <w:top w:val="nil"/>
              <w:left w:val="nil"/>
              <w:bottom w:val="single" w:sz="8" w:space="0" w:color="808080"/>
              <w:right w:val="nil"/>
            </w:tcBorders>
            <w:shd w:val="clear" w:color="auto" w:fill="auto"/>
            <w:tcMar>
              <w:right w:w="142" w:type="dxa"/>
            </w:tcMar>
            <w:hideMark/>
          </w:tcPr>
          <w:p w:rsidR="00315925" w:rsidRPr="000B315F" w:rsidRDefault="00315925" w:rsidP="00D73762">
            <w:pPr>
              <w:spacing w:after="0" w:line="240" w:lineRule="auto"/>
              <w:ind w:left="-108"/>
              <w:rPr>
                <w:sz w:val="18"/>
              </w:rPr>
            </w:pPr>
            <w:r w:rsidRPr="000B315F">
              <w:rPr>
                <w:sz w:val="18"/>
              </w:rPr>
              <w:t>Recycling - material splits</w:t>
            </w:r>
          </w:p>
        </w:tc>
        <w:tc>
          <w:tcPr>
            <w:tcW w:w="3199"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 xml:space="preserve">1. Hyder Consulting, </w:t>
            </w:r>
            <w:r w:rsidRPr="000B315F">
              <w:rPr>
                <w:i/>
                <w:sz w:val="18"/>
              </w:rPr>
              <w:t>Recycling activity in Western Australia</w:t>
            </w:r>
            <w:r w:rsidRPr="000B315F">
              <w:rPr>
                <w:sz w:val="18"/>
              </w:rPr>
              <w:t xml:space="preserve"> 2007</w:t>
            </w:r>
            <w:r w:rsidR="00F4276A" w:rsidRPr="000B315F">
              <w:rPr>
                <w:sz w:val="18"/>
              </w:rPr>
              <w:t>–</w:t>
            </w:r>
            <w:r w:rsidRPr="000B315F">
              <w:rPr>
                <w:sz w:val="18"/>
              </w:rPr>
              <w:t>08 &amp; 2008</w:t>
            </w:r>
            <w:r w:rsidR="00F4276A" w:rsidRPr="000B315F">
              <w:rPr>
                <w:sz w:val="18"/>
              </w:rPr>
              <w:t>–</w:t>
            </w:r>
            <w:r w:rsidRPr="000B315F">
              <w:rPr>
                <w:sz w:val="18"/>
              </w:rPr>
              <w:t>09, prepared for the Department of Environment and Conservation (WA) on behalf of the Waste Authority, 19 July 2010c.</w:t>
            </w:r>
            <w:r w:rsidRPr="000B315F">
              <w:rPr>
                <w:sz w:val="18"/>
              </w:rPr>
              <w:br/>
              <w:t xml:space="preserve">2. Recycled Organics Unit, </w:t>
            </w:r>
            <w:r w:rsidRPr="000B315F">
              <w:rPr>
                <w:i/>
                <w:sz w:val="18"/>
              </w:rPr>
              <w:t>Organics Recycling in Australia: Industry Statistics 2009</w:t>
            </w:r>
            <w:r w:rsidRPr="000B315F">
              <w:rPr>
                <w:sz w:val="18"/>
              </w:rPr>
              <w:t>, revised edition December 2009.</w:t>
            </w:r>
          </w:p>
        </w:tc>
        <w:tc>
          <w:tcPr>
            <w:tcW w:w="5103" w:type="dxa"/>
            <w:tcBorders>
              <w:top w:val="nil"/>
              <w:left w:val="nil"/>
              <w:bottom w:val="single" w:sz="8" w:space="0" w:color="808080"/>
              <w:right w:val="nil"/>
            </w:tcBorders>
            <w:shd w:val="clear" w:color="auto" w:fill="auto"/>
            <w:tcMar>
              <w:right w:w="142" w:type="dxa"/>
            </w:tcMar>
            <w:hideMark/>
          </w:tcPr>
          <w:p w:rsidR="00315925" w:rsidRPr="000B315F" w:rsidRDefault="00315925" w:rsidP="00315925">
            <w:pPr>
              <w:spacing w:after="0" w:line="240" w:lineRule="auto"/>
              <w:ind w:left="0"/>
              <w:rPr>
                <w:sz w:val="18"/>
              </w:rPr>
            </w:pPr>
            <w:r w:rsidRPr="000B315F">
              <w:rPr>
                <w:sz w:val="18"/>
              </w:rPr>
              <w:t>1. Recycling data by material type for WA during 2008</w:t>
            </w:r>
            <w:r w:rsidR="00F4276A" w:rsidRPr="000B315F">
              <w:rPr>
                <w:sz w:val="18"/>
              </w:rPr>
              <w:t>–</w:t>
            </w:r>
            <w:r w:rsidRPr="000B315F">
              <w:rPr>
                <w:sz w:val="18"/>
              </w:rPr>
              <w:t>09 was primarily based upon data sourced from Hyder (2010c).</w:t>
            </w:r>
            <w:r w:rsidRPr="000B315F">
              <w:rPr>
                <w:sz w:val="18"/>
              </w:rPr>
              <w:br/>
              <w:t>2. The exception to point 1 above relates to the quantification of organics recycling, which was sourced from ROU (2009). Primary production wastes relating to Recommendation 10 and 11 (Section 3.5) were excluded from the ROU (2009) data.</w:t>
            </w:r>
          </w:p>
        </w:tc>
      </w:tr>
      <w:tr w:rsidR="00315925" w:rsidRPr="00C36C8F" w:rsidTr="00A20688">
        <w:trPr>
          <w:cantSplit/>
          <w:trHeight w:val="270"/>
        </w:trPr>
        <w:tc>
          <w:tcPr>
            <w:tcW w:w="0" w:type="auto"/>
            <w:tcBorders>
              <w:top w:val="single" w:sz="8" w:space="0" w:color="808080"/>
            </w:tcBorders>
            <w:tcMar>
              <w:right w:w="142" w:type="dxa"/>
            </w:tcMar>
            <w:hideMark/>
          </w:tcPr>
          <w:p w:rsidR="00315925" w:rsidRPr="000B315F" w:rsidRDefault="00315925" w:rsidP="00315925">
            <w:pPr>
              <w:spacing w:after="0" w:line="240" w:lineRule="auto"/>
              <w:ind w:left="0"/>
              <w:rPr>
                <w:sz w:val="18"/>
              </w:rPr>
            </w:pPr>
            <w:r w:rsidRPr="000B315F">
              <w:rPr>
                <w:sz w:val="18"/>
              </w:rPr>
              <w:t>Energy recovery - material splits</w:t>
            </w:r>
          </w:p>
        </w:tc>
        <w:tc>
          <w:tcPr>
            <w:tcW w:w="3199" w:type="dxa"/>
            <w:tcBorders>
              <w:top w:val="single" w:sz="8" w:space="0" w:color="808080"/>
            </w:tcBorders>
            <w:tcMar>
              <w:right w:w="142" w:type="dxa"/>
            </w:tcMar>
            <w:hideMark/>
          </w:tcPr>
          <w:p w:rsidR="00315925" w:rsidRPr="000B315F" w:rsidRDefault="00315925" w:rsidP="00D73762">
            <w:pPr>
              <w:spacing w:after="0" w:line="240" w:lineRule="auto"/>
              <w:ind w:left="81"/>
              <w:rPr>
                <w:sz w:val="18"/>
              </w:rPr>
            </w:pPr>
            <w:r w:rsidRPr="000B315F">
              <w:rPr>
                <w:sz w:val="18"/>
              </w:rPr>
              <w:t>See sources against "Energy recovery - total quantity" above.</w:t>
            </w:r>
          </w:p>
        </w:tc>
        <w:tc>
          <w:tcPr>
            <w:tcW w:w="5103" w:type="dxa"/>
            <w:tcBorders>
              <w:top w:val="single" w:sz="8" w:space="0" w:color="808080"/>
            </w:tcBorders>
            <w:tcMar>
              <w:right w:w="142" w:type="dxa"/>
            </w:tcMar>
            <w:hideMark/>
          </w:tcPr>
          <w:p w:rsidR="00315925" w:rsidRPr="000B315F" w:rsidRDefault="00315925" w:rsidP="00D73762">
            <w:pPr>
              <w:spacing w:after="0" w:line="240" w:lineRule="auto"/>
              <w:ind w:left="141"/>
              <w:rPr>
                <w:sz w:val="18"/>
              </w:rPr>
            </w:pPr>
            <w:r w:rsidRPr="000B315F">
              <w:rPr>
                <w:sz w:val="18"/>
              </w:rPr>
              <w:t>See comments against "Energy recovery - total quantity" above.</w:t>
            </w:r>
          </w:p>
        </w:tc>
      </w:tr>
    </w:tbl>
    <w:p w:rsidR="008E0001" w:rsidRPr="008E0001" w:rsidRDefault="008E0001" w:rsidP="008E0001"/>
    <w:p w:rsidR="00DE05C7" w:rsidRPr="00C36C8F" w:rsidRDefault="00B9555F" w:rsidP="006A1B32">
      <w:pPr>
        <w:pStyle w:val="ParaIndent"/>
        <w:keepNext/>
        <w:spacing w:before="120"/>
        <w:jc w:val="both"/>
      </w:pPr>
      <w:r w:rsidRPr="00C36C8F">
        <w:fldChar w:fldCharType="begin"/>
      </w:r>
      <w:r w:rsidR="00526AFB" w:rsidRPr="00C36C8F">
        <w:instrText xml:space="preserve"> REF _Ref287277390 \h </w:instrText>
      </w:r>
      <w:r w:rsidRPr="00C36C8F">
        <w:fldChar w:fldCharType="separate"/>
      </w:r>
      <w:r w:rsidR="00AE7E3B" w:rsidRPr="00C36C8F">
        <w:t xml:space="preserve">Figure </w:t>
      </w:r>
      <w:r w:rsidR="00AE7E3B">
        <w:rPr>
          <w:noProof/>
        </w:rPr>
        <w:t>4</w:t>
      </w:r>
      <w:r w:rsidR="00AE7E3B" w:rsidRPr="00C36C8F">
        <w:t>-</w:t>
      </w:r>
      <w:r w:rsidR="00AE7E3B">
        <w:rPr>
          <w:noProof/>
        </w:rPr>
        <w:t>19</w:t>
      </w:r>
      <w:r w:rsidRPr="00C36C8F">
        <w:fldChar w:fldCharType="end"/>
      </w:r>
      <w:r w:rsidR="00526AFB" w:rsidRPr="00C36C8F">
        <w:t xml:space="preserve"> </w:t>
      </w:r>
      <w:r w:rsidR="00DE05C7" w:rsidRPr="00C36C8F">
        <w:t>charts Western Austral</w:t>
      </w:r>
      <w:r w:rsidR="00313465" w:rsidRPr="00C36C8F">
        <w:t>ia’s waste</w:t>
      </w:r>
      <w:r w:rsidR="00464B8A" w:rsidRPr="00C36C8F">
        <w:t xml:space="preserve"> disposal</w:t>
      </w:r>
      <w:r w:rsidR="00313465" w:rsidRPr="00C36C8F">
        <w:t>, recycling and energy recovery</w:t>
      </w:r>
      <w:r w:rsidR="00DE05C7" w:rsidRPr="00C36C8F">
        <w:t xml:space="preserve"> </w:t>
      </w:r>
      <w:r w:rsidR="00464B8A" w:rsidRPr="00C36C8F">
        <w:t xml:space="preserve">for the years 2002-03, 2006–07 and 2008–09. Data for 2002–03 and 2006–07 has been taken directly from the previous </w:t>
      </w:r>
      <w:r w:rsidR="00464B8A" w:rsidRPr="00C36C8F">
        <w:rPr>
          <w:i/>
        </w:rPr>
        <w:t xml:space="preserve">Waste and Recycling in Australia </w:t>
      </w:r>
      <w:r w:rsidR="00464B8A" w:rsidRPr="00C36C8F">
        <w:t xml:space="preserve">reports and </w:t>
      </w:r>
      <w:r w:rsidR="007D2F30" w:rsidRPr="00C36C8F">
        <w:t>has not had the new data compilation method introduced in this report retrospectively applied.</w:t>
      </w:r>
      <w:r w:rsidR="00464B8A" w:rsidRPr="00C36C8F">
        <w:t xml:space="preserve"> </w:t>
      </w:r>
    </w:p>
    <w:tbl>
      <w:tblPr>
        <w:tblW w:w="0" w:type="auto"/>
        <w:tblInd w:w="1242" w:type="dxa"/>
        <w:tblLayout w:type="fixed"/>
        <w:tblCellMar>
          <w:left w:w="0" w:type="dxa"/>
          <w:right w:w="0" w:type="dxa"/>
        </w:tblCellMar>
        <w:tblLook w:val="0000"/>
      </w:tblPr>
      <w:tblGrid>
        <w:gridCol w:w="8505"/>
      </w:tblGrid>
      <w:tr w:rsidR="00562131" w:rsidRPr="00C36C8F" w:rsidTr="000B315F">
        <w:tc>
          <w:tcPr>
            <w:tcW w:w="8505" w:type="dxa"/>
          </w:tcPr>
          <w:p w:rsidR="00562131" w:rsidRPr="00C36C8F" w:rsidRDefault="00A11246" w:rsidP="00562131">
            <w:pPr>
              <w:pStyle w:val="Heading40"/>
              <w:tabs>
                <w:tab w:val="clear" w:pos="1134"/>
                <w:tab w:val="left" w:pos="0"/>
              </w:tabs>
              <w:ind w:left="0"/>
            </w:pPr>
            <w:r>
              <w:rPr>
                <w:noProof/>
                <w:lang w:eastAsia="en-AU"/>
              </w:rPr>
              <w:drawing>
                <wp:inline distT="0" distB="0" distL="0" distR="0">
                  <wp:extent cx="5167842" cy="2871083"/>
                  <wp:effectExtent l="0" t="0" r="0" b="5715"/>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562131" w:rsidRPr="00C36C8F" w:rsidTr="000B315F">
        <w:tblPrEx>
          <w:tblCellMar>
            <w:left w:w="108" w:type="dxa"/>
            <w:right w:w="108" w:type="dxa"/>
          </w:tblCellMar>
        </w:tblPrEx>
        <w:trPr>
          <w:trHeight w:val="549"/>
        </w:trPr>
        <w:tc>
          <w:tcPr>
            <w:tcW w:w="8505" w:type="dxa"/>
          </w:tcPr>
          <w:p w:rsidR="00562131" w:rsidRPr="00C36C8F" w:rsidRDefault="00562131" w:rsidP="00562131">
            <w:pPr>
              <w:pStyle w:val="Caption"/>
            </w:pPr>
            <w:bookmarkStart w:id="184" w:name="_Ref287277390"/>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19</w:t>
            </w:r>
            <w:r w:rsidR="00B9555F" w:rsidRPr="00C36C8F">
              <w:rPr>
                <w:noProof/>
              </w:rPr>
              <w:fldChar w:fldCharType="end"/>
            </w:r>
            <w:bookmarkEnd w:id="184"/>
            <w:r w:rsidRPr="00C36C8F">
              <w:tab/>
            </w:r>
            <w:r w:rsidR="00121C5C" w:rsidRPr="00C36C8F">
              <w:t>WA t</w:t>
            </w:r>
            <w:r w:rsidRPr="00C36C8F">
              <w:t>otal waste generation, disposal, recycling</w:t>
            </w:r>
            <w:r w:rsidR="00F20976" w:rsidRPr="00C36C8F">
              <w:t xml:space="preserve"> and</w:t>
            </w:r>
            <w:r w:rsidRPr="00C36C8F">
              <w:t xml:space="preserve"> energy recovery, 2002–03, 2006–07 &amp; 2008–09</w:t>
            </w:r>
          </w:p>
        </w:tc>
      </w:tr>
      <w:tr w:rsidR="00562131" w:rsidRPr="00C36C8F" w:rsidTr="000B315F">
        <w:tblPrEx>
          <w:tblCellMar>
            <w:left w:w="108" w:type="dxa"/>
            <w:right w:w="108" w:type="dxa"/>
          </w:tblCellMar>
        </w:tblPrEx>
        <w:tc>
          <w:tcPr>
            <w:tcW w:w="8505" w:type="dxa"/>
          </w:tcPr>
          <w:p w:rsidR="00121C5C" w:rsidRPr="00C36C8F" w:rsidRDefault="00121C5C" w:rsidP="005B65D5">
            <w:pPr>
              <w:pStyle w:val="TableText"/>
              <w:spacing w:line="240" w:lineRule="auto"/>
              <w:rPr>
                <w:sz w:val="16"/>
                <w:szCs w:val="16"/>
              </w:rPr>
            </w:pPr>
            <w:r w:rsidRPr="00C36C8F">
              <w:rPr>
                <w:sz w:val="16"/>
                <w:szCs w:val="16"/>
              </w:rPr>
              <w:t>2002</w:t>
            </w:r>
            <w:r w:rsidR="007204A7">
              <w:rPr>
                <w:sz w:val="16"/>
                <w:szCs w:val="16"/>
              </w:rPr>
              <w:t>–</w:t>
            </w:r>
            <w:r w:rsidRPr="00C36C8F">
              <w:rPr>
                <w:sz w:val="16"/>
                <w:szCs w:val="16"/>
              </w:rPr>
              <w:t>03 and 2006</w:t>
            </w:r>
            <w:r w:rsidR="007204A7">
              <w:rPr>
                <w:rFonts w:cs="Arial"/>
                <w:sz w:val="16"/>
                <w:szCs w:val="16"/>
              </w:rPr>
              <w:t>–</w:t>
            </w:r>
            <w:r w:rsidRPr="00C36C8F">
              <w:rPr>
                <w:sz w:val="16"/>
                <w:szCs w:val="16"/>
              </w:rPr>
              <w:t xml:space="preserve">07 data sources are </w:t>
            </w:r>
            <w:r w:rsidR="00DC4A9E" w:rsidRPr="00052333">
              <w:rPr>
                <w:i/>
                <w:sz w:val="16"/>
                <w:szCs w:val="16"/>
              </w:rPr>
              <w:t>Waste and Recycling in Australia 2009</w:t>
            </w:r>
            <w:r w:rsidRPr="00C36C8F">
              <w:rPr>
                <w:sz w:val="16"/>
                <w:szCs w:val="16"/>
              </w:rPr>
              <w:t>.</w:t>
            </w:r>
          </w:p>
          <w:p w:rsidR="00121C5C" w:rsidRPr="00C36C8F" w:rsidRDefault="00121C5C" w:rsidP="005B65D5">
            <w:pPr>
              <w:pStyle w:val="TableText"/>
              <w:spacing w:line="240" w:lineRule="auto"/>
              <w:rPr>
                <w:sz w:val="16"/>
                <w:szCs w:val="16"/>
              </w:rPr>
            </w:pPr>
            <w:r w:rsidRPr="00C36C8F">
              <w:rPr>
                <w:sz w:val="16"/>
                <w:szCs w:val="16"/>
              </w:rPr>
              <w:t>2008</w:t>
            </w:r>
            <w:r w:rsidR="007204A7">
              <w:rPr>
                <w:rFonts w:cs="Arial"/>
                <w:sz w:val="16"/>
                <w:szCs w:val="16"/>
              </w:rPr>
              <w:t>–</w:t>
            </w:r>
            <w:r w:rsidRPr="00C36C8F">
              <w:rPr>
                <w:sz w:val="16"/>
                <w:szCs w:val="16"/>
              </w:rPr>
              <w:t>09 “Subtotal” excludes fly ash data.</w:t>
            </w:r>
          </w:p>
          <w:p w:rsidR="00562131" w:rsidRPr="00C36C8F" w:rsidRDefault="00121C5C" w:rsidP="007204A7">
            <w:pPr>
              <w:pStyle w:val="TableText"/>
              <w:spacing w:line="240" w:lineRule="auto"/>
              <w:rPr>
                <w:sz w:val="16"/>
                <w:szCs w:val="16"/>
              </w:rPr>
            </w:pPr>
            <w:r w:rsidRPr="00C36C8F">
              <w:rPr>
                <w:sz w:val="16"/>
                <w:szCs w:val="16"/>
              </w:rPr>
              <w:t>2008</w:t>
            </w:r>
            <w:r w:rsidR="007204A7">
              <w:rPr>
                <w:rFonts w:cs="Arial"/>
                <w:sz w:val="16"/>
                <w:szCs w:val="16"/>
              </w:rPr>
              <w:t>–</w:t>
            </w:r>
            <w:r w:rsidRPr="00C36C8F">
              <w:rPr>
                <w:sz w:val="16"/>
                <w:szCs w:val="16"/>
              </w:rPr>
              <w:t>09 “Total” include fly ash data.</w:t>
            </w:r>
          </w:p>
        </w:tc>
      </w:tr>
    </w:tbl>
    <w:p w:rsidR="00DE05C7" w:rsidRPr="00C36C8F" w:rsidRDefault="00B9555F" w:rsidP="006A1B32">
      <w:pPr>
        <w:keepNext/>
        <w:spacing w:before="240"/>
        <w:ind w:left="1134"/>
        <w:jc w:val="both"/>
      </w:pPr>
      <w:r w:rsidRPr="00C36C8F">
        <w:fldChar w:fldCharType="begin"/>
      </w:r>
      <w:r w:rsidR="00DE05C7" w:rsidRPr="00C36C8F">
        <w:instrText xml:space="preserve"> REF _Ref284592589 \h </w:instrText>
      </w:r>
      <w:r w:rsidRPr="00C36C8F">
        <w:fldChar w:fldCharType="separate"/>
      </w:r>
      <w:r w:rsidR="00AE7E3B" w:rsidRPr="00A11246">
        <w:t xml:space="preserve">Table </w:t>
      </w:r>
      <w:r w:rsidR="00AE7E3B">
        <w:rPr>
          <w:noProof/>
        </w:rPr>
        <w:t>4</w:t>
      </w:r>
      <w:r w:rsidR="00AE7E3B" w:rsidRPr="00A11246">
        <w:t>-</w:t>
      </w:r>
      <w:r w:rsidR="00AE7E3B">
        <w:rPr>
          <w:noProof/>
        </w:rPr>
        <w:t>30</w:t>
      </w:r>
      <w:r w:rsidRPr="00C36C8F">
        <w:fldChar w:fldCharType="end"/>
      </w:r>
      <w:r w:rsidR="00DE05C7" w:rsidRPr="00C36C8F">
        <w:t xml:space="preserve"> details Western Australia’s waste generation and dis</w:t>
      </w:r>
      <w:r w:rsidR="00121C5C" w:rsidRPr="00C36C8F">
        <w:t>posal data by material for 2008</w:t>
      </w:r>
      <w:r w:rsidR="00121C5C" w:rsidRPr="00C36C8F">
        <w:noBreakHyphen/>
      </w:r>
      <w:r w:rsidR="00DE05C7" w:rsidRPr="00C36C8F">
        <w:t xml:space="preserve">09, and compares the </w:t>
      </w:r>
      <w:r w:rsidR="00121C5C" w:rsidRPr="00C36C8F">
        <w:t xml:space="preserve">associated per capita disposal </w:t>
      </w:r>
      <w:r w:rsidR="00DE05C7" w:rsidRPr="00C36C8F">
        <w:t>for Western Australia with the national average for all jurisdictions.</w:t>
      </w:r>
    </w:p>
    <w:p w:rsidR="00DE05C7" w:rsidRPr="00C36C8F" w:rsidRDefault="00DE05C7" w:rsidP="00DE05C7">
      <w:pPr>
        <w:pStyle w:val="Caption"/>
        <w:tabs>
          <w:tab w:val="left" w:pos="7275"/>
        </w:tabs>
      </w:pPr>
      <w:bookmarkStart w:id="185" w:name="_Ref284592589"/>
      <w:r w:rsidRPr="00A11246">
        <w:t xml:space="preserve">Table </w:t>
      </w:r>
      <w:r w:rsidR="00B9555F" w:rsidRPr="00A11246">
        <w:fldChar w:fldCharType="begin"/>
      </w:r>
      <w:r w:rsidR="0008255D" w:rsidRPr="00A11246">
        <w:instrText xml:space="preserve"> STYLEREF "_Heading1" \n </w:instrText>
      </w:r>
      <w:r w:rsidR="00B9555F" w:rsidRPr="00A11246">
        <w:fldChar w:fldCharType="separate"/>
      </w:r>
      <w:r w:rsidR="00AE7E3B">
        <w:rPr>
          <w:noProof/>
        </w:rPr>
        <w:t>4</w:t>
      </w:r>
      <w:r w:rsidR="00B9555F" w:rsidRPr="00A11246">
        <w:rPr>
          <w:noProof/>
        </w:rPr>
        <w:fldChar w:fldCharType="end"/>
      </w:r>
      <w:r w:rsidRPr="00A11246">
        <w:t>-</w:t>
      </w:r>
      <w:r w:rsidR="00B9555F" w:rsidRPr="00A11246">
        <w:fldChar w:fldCharType="begin"/>
      </w:r>
      <w:r w:rsidR="0008255D" w:rsidRPr="00A11246">
        <w:instrText xml:space="preserve"> SEQ Table \* Arabic </w:instrText>
      </w:r>
      <w:r w:rsidR="00B9555F" w:rsidRPr="00A11246">
        <w:fldChar w:fldCharType="separate"/>
      </w:r>
      <w:r w:rsidR="00AE7E3B">
        <w:rPr>
          <w:noProof/>
        </w:rPr>
        <w:t>30</w:t>
      </w:r>
      <w:r w:rsidR="00B9555F" w:rsidRPr="00A11246">
        <w:rPr>
          <w:noProof/>
        </w:rPr>
        <w:fldChar w:fldCharType="end"/>
      </w:r>
      <w:bookmarkEnd w:id="185"/>
      <w:r w:rsidRPr="00A11246">
        <w:tab/>
        <w:t>W</w:t>
      </w:r>
      <w:r w:rsidR="00903DD9" w:rsidRPr="00A11246">
        <w:t>A w</w:t>
      </w:r>
      <w:r w:rsidRPr="00A11246">
        <w:t>aste generation and dis</w:t>
      </w:r>
      <w:r w:rsidR="00121C5C" w:rsidRPr="00A11246">
        <w:t>posal data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121C5C" w:rsidRPr="00C36C8F" w:rsidTr="00121C5C">
        <w:tc>
          <w:tcPr>
            <w:tcW w:w="4111" w:type="dxa"/>
            <w:gridSpan w:val="2"/>
            <w:tcBorders>
              <w:right w:val="single" w:sz="4" w:space="0" w:color="808080"/>
            </w:tcBorders>
            <w:shd w:val="clear" w:color="auto" w:fill="auto"/>
            <w:vAlign w:val="center"/>
          </w:tcPr>
          <w:p w:rsidR="00121C5C" w:rsidRPr="00C36C8F" w:rsidRDefault="00121C5C" w:rsidP="00121C5C">
            <w:pPr>
              <w:pStyle w:val="TableHeading"/>
              <w:keepLines/>
              <w:jc w:val="center"/>
              <w:rPr>
                <w:kern w:val="28"/>
              </w:rPr>
            </w:pPr>
          </w:p>
        </w:tc>
        <w:tc>
          <w:tcPr>
            <w:tcW w:w="1329"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903DD9" w:rsidP="00121C5C">
            <w:pPr>
              <w:pStyle w:val="TableHeading"/>
              <w:keepLines/>
              <w:jc w:val="center"/>
              <w:rPr>
                <w:kern w:val="28"/>
              </w:rPr>
            </w:pPr>
            <w:r w:rsidRPr="00C36C8F">
              <w:rPr>
                <w:kern w:val="28"/>
              </w:rPr>
              <w:t>WA</w:t>
            </w:r>
            <w:r w:rsidR="00121C5C" w:rsidRPr="00C36C8F">
              <w:rPr>
                <w:kern w:val="28"/>
              </w:rPr>
              <w:t xml:space="preserve"> waste generation</w:t>
            </w:r>
          </w:p>
        </w:tc>
        <w:tc>
          <w:tcPr>
            <w:tcW w:w="2658" w:type="dxa"/>
            <w:gridSpan w:val="2"/>
            <w:tcBorders>
              <w:top w:val="nil"/>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903DD9" w:rsidP="00121C5C">
            <w:pPr>
              <w:pStyle w:val="TableHeading"/>
              <w:keepLines/>
              <w:jc w:val="center"/>
              <w:rPr>
                <w:kern w:val="28"/>
              </w:rPr>
            </w:pPr>
            <w:r w:rsidRPr="00C36C8F">
              <w:rPr>
                <w:kern w:val="28"/>
              </w:rPr>
              <w:t>W</w:t>
            </w:r>
            <w:r w:rsidR="00121C5C" w:rsidRPr="00C36C8F">
              <w:rPr>
                <w:kern w:val="28"/>
              </w:rPr>
              <w:t>A waste disposal</w:t>
            </w:r>
          </w:p>
        </w:tc>
        <w:tc>
          <w:tcPr>
            <w:tcW w:w="1329" w:type="dxa"/>
            <w:tcBorders>
              <w:lef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National average disposal</w:t>
            </w:r>
          </w:p>
        </w:tc>
      </w:tr>
      <w:tr w:rsidR="00121C5C" w:rsidRPr="00C36C8F" w:rsidTr="00A20688">
        <w:tc>
          <w:tcPr>
            <w:tcW w:w="2127" w:type="dxa"/>
            <w:tcBorders>
              <w:bottom w:val="single" w:sz="4" w:space="0" w:color="808080"/>
              <w:right w:val="nil"/>
            </w:tcBorders>
            <w:shd w:val="clear" w:color="auto" w:fill="auto"/>
          </w:tcPr>
          <w:p w:rsidR="00121C5C" w:rsidRPr="00C36C8F" w:rsidRDefault="00121C5C" w:rsidP="00E405F5">
            <w:pPr>
              <w:pStyle w:val="TableHeading"/>
              <w:keepLines/>
              <w:jc w:val="center"/>
              <w:rPr>
                <w:kern w:val="28"/>
              </w:rPr>
            </w:pPr>
            <w:r w:rsidRPr="00C36C8F">
              <w:rPr>
                <w:kern w:val="28"/>
              </w:rPr>
              <w:t>Ma</w:t>
            </w:r>
            <w:r w:rsidR="00E405F5"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121C5C" w:rsidRPr="00C36C8F" w:rsidRDefault="00E405F5" w:rsidP="00121C5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tcBorders>
            <w:vAlign w:val="center"/>
          </w:tcPr>
          <w:p w:rsidR="00121C5C" w:rsidRPr="00C36C8F" w:rsidRDefault="00121C5C" w:rsidP="00121C5C">
            <w:pPr>
              <w:pStyle w:val="TableHeading"/>
              <w:keepLines/>
              <w:jc w:val="center"/>
              <w:rPr>
                <w:kern w:val="28"/>
              </w:rPr>
            </w:pPr>
            <w:r w:rsidRPr="00C36C8F">
              <w:rPr>
                <w:kern w:val="28"/>
              </w:rPr>
              <w:t>kg per capita</w:t>
            </w:r>
          </w:p>
        </w:tc>
      </w:tr>
      <w:tr w:rsidR="00476BAA" w:rsidRPr="008E0001" w:rsidTr="00A20688">
        <w:tc>
          <w:tcPr>
            <w:tcW w:w="2127" w:type="dxa"/>
          </w:tcPr>
          <w:p w:rsidR="00476BAA" w:rsidRPr="008E0001" w:rsidRDefault="00476BAA" w:rsidP="00121C5C">
            <w:pPr>
              <w:pStyle w:val="TableText"/>
              <w:keepNext/>
              <w:keepLines/>
              <w:rPr>
                <w:rFonts w:cs="Arial"/>
                <w:szCs w:val="18"/>
              </w:rPr>
            </w:pPr>
            <w:r w:rsidRPr="008E0001">
              <w:rPr>
                <w:rFonts w:cs="Arial"/>
                <w:szCs w:val="18"/>
              </w:rPr>
              <w:t>Masonry materials</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2,</w:t>
            </w:r>
            <w:r w:rsidRPr="00A11246">
              <w:rPr>
                <w:rFonts w:cs="Arial"/>
                <w:color w:val="000000"/>
                <w:szCs w:val="18"/>
              </w:rPr>
              <w:t>818,200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2,094,700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936</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312</w:t>
            </w:r>
          </w:p>
        </w:tc>
      </w:tr>
      <w:tr w:rsidR="00476BAA" w:rsidRPr="008E0001" w:rsidTr="00A20688">
        <w:tc>
          <w:tcPr>
            <w:tcW w:w="2127" w:type="dxa"/>
          </w:tcPr>
          <w:p w:rsidR="00476BAA" w:rsidRPr="008E0001" w:rsidRDefault="00476BAA" w:rsidP="00121C5C">
            <w:pPr>
              <w:pStyle w:val="TableText"/>
              <w:keepNext/>
              <w:keepLines/>
              <w:rPr>
                <w:rFonts w:cs="Arial"/>
                <w:szCs w:val="18"/>
              </w:rPr>
            </w:pPr>
            <w:r w:rsidRPr="008E0001">
              <w:rPr>
                <w:rFonts w:cs="Arial"/>
                <w:szCs w:val="18"/>
              </w:rPr>
              <w:t>Metals</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478,700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103,500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46</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24</w:t>
            </w:r>
          </w:p>
        </w:tc>
      </w:tr>
      <w:tr w:rsidR="00476BAA" w:rsidRPr="008E0001" w:rsidTr="00A20688">
        <w:tc>
          <w:tcPr>
            <w:tcW w:w="2127" w:type="dxa"/>
          </w:tcPr>
          <w:p w:rsidR="00476BAA" w:rsidRPr="008E0001" w:rsidRDefault="00476BAA" w:rsidP="00121C5C">
            <w:pPr>
              <w:pStyle w:val="TableText"/>
              <w:keepNext/>
              <w:keepLines/>
              <w:rPr>
                <w:rFonts w:cs="Arial"/>
                <w:szCs w:val="18"/>
              </w:rPr>
            </w:pPr>
            <w:r w:rsidRPr="008E0001">
              <w:rPr>
                <w:rFonts w:cs="Arial"/>
                <w:szCs w:val="18"/>
              </w:rPr>
              <w:t>Organics</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1,</w:t>
            </w:r>
            <w:r w:rsidRPr="00A11246">
              <w:rPr>
                <w:rFonts w:cs="Arial"/>
                <w:color w:val="000000"/>
                <w:szCs w:val="18"/>
              </w:rPr>
              <w:t>538,300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1,</w:t>
            </w:r>
            <w:r w:rsidRPr="00A11246">
              <w:rPr>
                <w:rFonts w:cs="Arial"/>
                <w:color w:val="000000"/>
                <w:szCs w:val="18"/>
              </w:rPr>
              <w:t>078,000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482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332</w:t>
            </w:r>
          </w:p>
        </w:tc>
      </w:tr>
      <w:tr w:rsidR="00476BAA" w:rsidRPr="008E0001" w:rsidTr="00A20688">
        <w:tc>
          <w:tcPr>
            <w:tcW w:w="2127" w:type="dxa"/>
          </w:tcPr>
          <w:p w:rsidR="00476BAA" w:rsidRPr="008E0001" w:rsidRDefault="00476BAA" w:rsidP="00121C5C">
            <w:pPr>
              <w:pStyle w:val="TableText"/>
              <w:keepNext/>
              <w:keepLines/>
              <w:rPr>
                <w:rFonts w:cs="Arial"/>
                <w:szCs w:val="18"/>
              </w:rPr>
            </w:pPr>
            <w:r w:rsidRPr="008E0001">
              <w:rPr>
                <w:rFonts w:cs="Arial"/>
                <w:szCs w:val="18"/>
              </w:rPr>
              <w:t>Paper &amp; cardboard</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673,000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442,000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198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113</w:t>
            </w:r>
          </w:p>
        </w:tc>
      </w:tr>
      <w:tr w:rsidR="00476BAA" w:rsidRPr="008E0001" w:rsidTr="00A20688">
        <w:tc>
          <w:tcPr>
            <w:tcW w:w="2127" w:type="dxa"/>
          </w:tcPr>
          <w:p w:rsidR="00476BAA" w:rsidRPr="008E0001" w:rsidRDefault="00476BAA" w:rsidP="00121C5C">
            <w:pPr>
              <w:pStyle w:val="TableText"/>
              <w:keepNext/>
              <w:keepLines/>
              <w:rPr>
                <w:rFonts w:cs="Arial"/>
                <w:szCs w:val="18"/>
              </w:rPr>
            </w:pPr>
            <w:r w:rsidRPr="008E0001">
              <w:rPr>
                <w:rFonts w:cs="Arial"/>
                <w:szCs w:val="18"/>
              </w:rPr>
              <w:t>Plastics</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245,300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225,900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101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80</w:t>
            </w:r>
          </w:p>
        </w:tc>
      </w:tr>
      <w:tr w:rsidR="00476BAA" w:rsidRPr="008E0001" w:rsidTr="00A20688">
        <w:tc>
          <w:tcPr>
            <w:tcW w:w="2127" w:type="dxa"/>
          </w:tcPr>
          <w:p w:rsidR="00476BAA" w:rsidRPr="008E0001" w:rsidRDefault="00476BAA" w:rsidP="00121C5C">
            <w:pPr>
              <w:pStyle w:val="TableText"/>
              <w:keepNext/>
              <w:keepLines/>
              <w:rPr>
                <w:rFonts w:cs="Arial"/>
                <w:szCs w:val="18"/>
              </w:rPr>
            </w:pPr>
            <w:r w:rsidRPr="008E0001">
              <w:rPr>
                <w:rFonts w:cs="Arial"/>
                <w:szCs w:val="18"/>
              </w:rPr>
              <w:t>Glass</w:t>
            </w:r>
            <w:r w:rsidRPr="008E0001" w:rsidDel="00E405F5">
              <w:rPr>
                <w:rFonts w:cs="Arial"/>
                <w:szCs w:val="18"/>
              </w:rPr>
              <w:t xml:space="preserve"> </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102,200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75,500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34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21</w:t>
            </w:r>
          </w:p>
        </w:tc>
      </w:tr>
      <w:tr w:rsidR="00476BAA" w:rsidRPr="008E0001" w:rsidTr="00A20688">
        <w:tc>
          <w:tcPr>
            <w:tcW w:w="2127" w:type="dxa"/>
            <w:vMerge w:val="restart"/>
          </w:tcPr>
          <w:p w:rsidR="00476BAA" w:rsidRPr="008E0001" w:rsidRDefault="00476BAA" w:rsidP="00121C5C">
            <w:pPr>
              <w:pStyle w:val="TableText"/>
              <w:keepNext/>
              <w:keepLines/>
              <w:rPr>
                <w:rFonts w:cs="Arial"/>
                <w:szCs w:val="18"/>
              </w:rPr>
            </w:pPr>
            <w:r w:rsidRPr="008E0001">
              <w:rPr>
                <w:rFonts w:cs="Arial"/>
                <w:szCs w:val="18"/>
              </w:rPr>
              <w:t>Other</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r w:rsidRPr="008E0001">
              <w:rPr>
                <w:rFonts w:cs="Arial"/>
                <w:szCs w:val="18"/>
              </w:rPr>
              <w:t>Leather &amp; textiles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85,000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33,600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15</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22</w:t>
            </w:r>
          </w:p>
        </w:tc>
      </w:tr>
      <w:tr w:rsidR="00476BAA" w:rsidRPr="008E0001" w:rsidTr="00A20688">
        <w:tc>
          <w:tcPr>
            <w:tcW w:w="2127" w:type="dxa"/>
            <w:vMerge/>
          </w:tcPr>
          <w:p w:rsidR="00476BAA" w:rsidRPr="008E0001" w:rsidRDefault="00476BAA" w:rsidP="00121C5C">
            <w:pPr>
              <w:pStyle w:val="TableText"/>
              <w:keepNext/>
              <w:keepLines/>
              <w:rPr>
                <w:rFonts w:cs="Arial"/>
                <w:szCs w:val="18"/>
              </w:rPr>
            </w:pPr>
          </w:p>
        </w:tc>
        <w:tc>
          <w:tcPr>
            <w:tcW w:w="1984" w:type="dxa"/>
            <w:tcBorders>
              <w:right w:val="single" w:sz="4" w:space="0" w:color="808080"/>
            </w:tcBorders>
          </w:tcPr>
          <w:p w:rsidR="00476BAA" w:rsidRPr="008E0001" w:rsidRDefault="00476BAA" w:rsidP="00121C5C">
            <w:pPr>
              <w:pStyle w:val="TableText"/>
              <w:keepNext/>
              <w:keepLines/>
              <w:rPr>
                <w:rFonts w:cs="Arial"/>
                <w:szCs w:val="18"/>
              </w:rPr>
            </w:pPr>
            <w:r w:rsidRPr="008E0001">
              <w:rPr>
                <w:rFonts w:cs="Arial"/>
                <w:szCs w:val="18"/>
              </w:rPr>
              <w:t>Tyres &amp; other rubber</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24,100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22,100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12</w:t>
            </w:r>
          </w:p>
        </w:tc>
      </w:tr>
      <w:tr w:rsidR="00476BAA" w:rsidRPr="008E0001" w:rsidTr="00A20688">
        <w:tc>
          <w:tcPr>
            <w:tcW w:w="2127" w:type="dxa"/>
            <w:vMerge w:val="restart"/>
          </w:tcPr>
          <w:p w:rsidR="00476BAA" w:rsidRPr="008E0001" w:rsidRDefault="00476BAA" w:rsidP="00121C5C">
            <w:pPr>
              <w:pStyle w:val="TableText"/>
              <w:keepNext/>
              <w:keepLines/>
              <w:rPr>
                <w:rFonts w:cs="Arial"/>
                <w:szCs w:val="18"/>
              </w:rPr>
            </w:pPr>
            <w:r w:rsidRPr="008E0001">
              <w:rPr>
                <w:rFonts w:cs="Arial"/>
                <w:szCs w:val="18"/>
              </w:rPr>
              <w:t>Hazardous</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r w:rsidRPr="008E0001">
              <w:rPr>
                <w:rFonts w:cs="Arial"/>
                <w:szCs w:val="18"/>
              </w:rPr>
              <w:t>Quarantine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1</w:t>
            </w:r>
          </w:p>
        </w:tc>
      </w:tr>
      <w:tr w:rsidR="00476BAA" w:rsidRPr="008E0001" w:rsidTr="00A20688">
        <w:tc>
          <w:tcPr>
            <w:tcW w:w="2127" w:type="dxa"/>
            <w:vMerge/>
          </w:tcPr>
          <w:p w:rsidR="00476BAA" w:rsidRPr="008E0001" w:rsidRDefault="00476BAA" w:rsidP="00121C5C">
            <w:pPr>
              <w:pStyle w:val="TableText"/>
              <w:keepNext/>
              <w:keepLines/>
              <w:rPr>
                <w:rFonts w:cs="Arial"/>
                <w:szCs w:val="18"/>
              </w:rPr>
            </w:pPr>
          </w:p>
        </w:tc>
        <w:tc>
          <w:tcPr>
            <w:tcW w:w="1984" w:type="dxa"/>
            <w:tcBorders>
              <w:right w:val="single" w:sz="4" w:space="0" w:color="808080"/>
            </w:tcBorders>
          </w:tcPr>
          <w:p w:rsidR="00476BAA" w:rsidRPr="008E0001" w:rsidRDefault="00476BAA" w:rsidP="00121C5C">
            <w:pPr>
              <w:pStyle w:val="TableText"/>
              <w:keepNext/>
              <w:keepLines/>
              <w:rPr>
                <w:rFonts w:cs="Arial"/>
                <w:szCs w:val="18"/>
              </w:rPr>
            </w:pPr>
            <w:r w:rsidRPr="008E0001">
              <w:rPr>
                <w:rFonts w:cs="Arial"/>
                <w:szCs w:val="18"/>
              </w:rPr>
              <w:t>Contaminated soil</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3,000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3,000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57</w:t>
            </w:r>
          </w:p>
        </w:tc>
      </w:tr>
      <w:tr w:rsidR="00476BAA" w:rsidRPr="008E0001" w:rsidTr="00A20688">
        <w:tc>
          <w:tcPr>
            <w:tcW w:w="2127" w:type="dxa"/>
            <w:vMerge/>
          </w:tcPr>
          <w:p w:rsidR="00476BAA" w:rsidRPr="008E0001" w:rsidRDefault="00476BAA" w:rsidP="00121C5C">
            <w:pPr>
              <w:pStyle w:val="TableText"/>
              <w:keepNext/>
              <w:keepLines/>
              <w:rPr>
                <w:rFonts w:cs="Arial"/>
                <w:szCs w:val="18"/>
              </w:rPr>
            </w:pPr>
          </w:p>
        </w:tc>
        <w:tc>
          <w:tcPr>
            <w:tcW w:w="1984" w:type="dxa"/>
            <w:tcBorders>
              <w:right w:val="single" w:sz="4" w:space="0" w:color="808080"/>
            </w:tcBorders>
          </w:tcPr>
          <w:p w:rsidR="00476BAA" w:rsidRPr="008E0001" w:rsidRDefault="00476BAA" w:rsidP="00121C5C">
            <w:pPr>
              <w:pStyle w:val="TableText"/>
              <w:keepNext/>
              <w:keepLines/>
              <w:rPr>
                <w:rFonts w:cs="Arial"/>
                <w:szCs w:val="18"/>
              </w:rPr>
            </w:pPr>
            <w:r w:rsidRPr="008E0001">
              <w:rPr>
                <w:rFonts w:cs="Arial"/>
                <w:szCs w:val="18"/>
              </w:rPr>
              <w:t>Industrial waste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9,300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9,300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34</w:t>
            </w:r>
          </w:p>
        </w:tc>
      </w:tr>
      <w:tr w:rsidR="00476BAA" w:rsidRPr="008E0001" w:rsidTr="00A20688">
        <w:tc>
          <w:tcPr>
            <w:tcW w:w="2127" w:type="dxa"/>
            <w:vMerge/>
          </w:tcPr>
          <w:p w:rsidR="00476BAA" w:rsidRPr="008E0001" w:rsidRDefault="00476BAA" w:rsidP="00121C5C">
            <w:pPr>
              <w:pStyle w:val="TableText"/>
              <w:keepNext/>
              <w:keepLines/>
              <w:rPr>
                <w:rFonts w:cs="Arial"/>
                <w:szCs w:val="18"/>
              </w:rPr>
            </w:pPr>
          </w:p>
        </w:tc>
        <w:tc>
          <w:tcPr>
            <w:tcW w:w="1984" w:type="dxa"/>
            <w:tcBorders>
              <w:right w:val="single" w:sz="4" w:space="0" w:color="808080"/>
            </w:tcBorders>
          </w:tcPr>
          <w:p w:rsidR="00476BAA" w:rsidRPr="008E0001" w:rsidRDefault="00476BAA" w:rsidP="00121C5C">
            <w:pPr>
              <w:pStyle w:val="TableText"/>
              <w:keepNext/>
              <w:keepLines/>
              <w:rPr>
                <w:rFonts w:cs="Arial"/>
                <w:szCs w:val="18"/>
              </w:rPr>
            </w:pPr>
            <w:r w:rsidRPr="008E0001">
              <w:rPr>
                <w:rFonts w:cs="Arial"/>
                <w:szCs w:val="18"/>
              </w:rPr>
              <w:t>Asbestos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A11246">
              <w:rPr>
                <w:rFonts w:cs="Arial"/>
                <w:color w:val="000000"/>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476BAA">
              <w:rPr>
                <w:rFonts w:cs="Arial"/>
                <w:color w:val="000000"/>
                <w:szCs w:val="18"/>
              </w:rPr>
              <w:t>25</w:t>
            </w:r>
          </w:p>
        </w:tc>
      </w:tr>
      <w:tr w:rsidR="00476BAA" w:rsidRPr="008E0001" w:rsidTr="00A20688">
        <w:tc>
          <w:tcPr>
            <w:tcW w:w="2127" w:type="dxa"/>
          </w:tcPr>
          <w:p w:rsidR="00476BAA" w:rsidRPr="008E0001" w:rsidRDefault="00476BAA" w:rsidP="00121C5C">
            <w:pPr>
              <w:pStyle w:val="TableText"/>
              <w:keepNext/>
              <w:keepLines/>
              <w:rPr>
                <w:rFonts w:cs="Arial"/>
                <w:szCs w:val="18"/>
              </w:rPr>
            </w:pPr>
            <w:r w:rsidRPr="008E0001">
              <w:rPr>
                <w:rFonts w:cs="Arial"/>
                <w:b/>
                <w:szCs w:val="18"/>
              </w:rPr>
              <w:t>SUBTOTAL</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b/>
                <w:szCs w:val="18"/>
              </w:rPr>
            </w:pPr>
            <w:r w:rsidRPr="000B315F">
              <w:rPr>
                <w:b/>
                <w:color w:val="000000"/>
              </w:rPr>
              <w:t>5,</w:t>
            </w:r>
            <w:r w:rsidRPr="00A11246">
              <w:rPr>
                <w:rFonts w:cs="Arial"/>
                <w:b/>
                <w:bCs/>
                <w:color w:val="000000"/>
                <w:szCs w:val="18"/>
              </w:rPr>
              <w:t>977,100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b/>
                <w:szCs w:val="18"/>
              </w:rPr>
            </w:pPr>
            <w:r w:rsidRPr="000B315F">
              <w:rPr>
                <w:b/>
                <w:color w:val="000000"/>
              </w:rPr>
              <w:t>4,</w:t>
            </w:r>
            <w:r w:rsidRPr="00A11246">
              <w:rPr>
                <w:rFonts w:cs="Arial"/>
                <w:b/>
                <w:bCs/>
                <w:color w:val="000000"/>
                <w:szCs w:val="18"/>
              </w:rPr>
              <w:t>087,500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b/>
                <w:szCs w:val="18"/>
              </w:rPr>
            </w:pPr>
            <w:r w:rsidRPr="000B315F">
              <w:rPr>
                <w:b/>
                <w:color w:val="000000"/>
              </w:rPr>
              <w:t>1,</w:t>
            </w:r>
            <w:r w:rsidRPr="00A11246">
              <w:rPr>
                <w:rFonts w:cs="Arial"/>
                <w:b/>
                <w:bCs/>
                <w:color w:val="000000"/>
                <w:szCs w:val="18"/>
              </w:rPr>
              <w:t>827</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b/>
                <w:szCs w:val="18"/>
              </w:rPr>
            </w:pPr>
            <w:r w:rsidRPr="000B315F">
              <w:rPr>
                <w:b/>
                <w:color w:val="000000"/>
              </w:rPr>
              <w:t>1,</w:t>
            </w:r>
            <w:r w:rsidRPr="00476BAA">
              <w:rPr>
                <w:rFonts w:cs="Arial"/>
                <w:b/>
                <w:bCs/>
                <w:color w:val="000000"/>
                <w:szCs w:val="18"/>
              </w:rPr>
              <w:t>035</w:t>
            </w:r>
          </w:p>
        </w:tc>
      </w:tr>
      <w:tr w:rsidR="00476BAA" w:rsidRPr="008E0001" w:rsidTr="00A20688">
        <w:tc>
          <w:tcPr>
            <w:tcW w:w="2127" w:type="dxa"/>
          </w:tcPr>
          <w:p w:rsidR="00476BAA" w:rsidRPr="008E0001" w:rsidRDefault="00476BAA" w:rsidP="00121C5C">
            <w:pPr>
              <w:pStyle w:val="TableText"/>
              <w:keepNext/>
              <w:keepLines/>
              <w:rPr>
                <w:rFonts w:cs="Arial"/>
                <w:szCs w:val="18"/>
              </w:rPr>
            </w:pPr>
            <w:r w:rsidRPr="008E0001">
              <w:rPr>
                <w:rFonts w:cs="Arial"/>
                <w:szCs w:val="18"/>
              </w:rPr>
              <w:t>Fly ash</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883,000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743,800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333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szCs w:val="18"/>
              </w:rPr>
            </w:pPr>
            <w:r w:rsidRPr="000B315F">
              <w:rPr>
                <w:color w:val="000000"/>
              </w:rPr>
              <w:t>532</w:t>
            </w:r>
          </w:p>
        </w:tc>
      </w:tr>
      <w:tr w:rsidR="00476BAA" w:rsidRPr="008E0001" w:rsidTr="00A20688">
        <w:tc>
          <w:tcPr>
            <w:tcW w:w="2127" w:type="dxa"/>
          </w:tcPr>
          <w:p w:rsidR="00476BAA" w:rsidRPr="008E0001" w:rsidRDefault="00476BAA" w:rsidP="00121C5C">
            <w:pPr>
              <w:pStyle w:val="TableText"/>
              <w:keepNext/>
              <w:keepLines/>
              <w:rPr>
                <w:rFonts w:cs="Arial"/>
                <w:szCs w:val="18"/>
              </w:rPr>
            </w:pPr>
            <w:r w:rsidRPr="008E0001">
              <w:rPr>
                <w:rFonts w:cs="Arial"/>
                <w:b/>
                <w:szCs w:val="18"/>
              </w:rPr>
              <w:t>TOTAL</w:t>
            </w:r>
          </w:p>
        </w:tc>
        <w:tc>
          <w:tcPr>
            <w:tcW w:w="1984" w:type="dxa"/>
            <w:tcBorders>
              <w:right w:val="single" w:sz="4" w:space="0" w:color="808080"/>
            </w:tcBorders>
          </w:tcPr>
          <w:p w:rsidR="00476BAA" w:rsidRPr="008E0001"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b/>
                <w:szCs w:val="18"/>
              </w:rPr>
            </w:pPr>
            <w:r w:rsidRPr="000B315F">
              <w:rPr>
                <w:b/>
                <w:color w:val="000000"/>
              </w:rPr>
              <w:t>6,</w:t>
            </w:r>
            <w:r w:rsidRPr="00A11246">
              <w:rPr>
                <w:rFonts w:cs="Arial"/>
                <w:b/>
                <w:bCs/>
                <w:color w:val="000000"/>
                <w:szCs w:val="18"/>
              </w:rPr>
              <w:t>860,100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b/>
                <w:szCs w:val="18"/>
              </w:rPr>
            </w:pPr>
            <w:r w:rsidRPr="000B315F">
              <w:rPr>
                <w:b/>
                <w:color w:val="000000"/>
              </w:rPr>
              <w:t>4,</w:t>
            </w:r>
            <w:r w:rsidRPr="00A11246">
              <w:rPr>
                <w:rFonts w:cs="Arial"/>
                <w:b/>
                <w:bCs/>
                <w:color w:val="000000"/>
                <w:szCs w:val="18"/>
              </w:rPr>
              <w:t>831,300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b/>
                <w:szCs w:val="18"/>
              </w:rPr>
            </w:pPr>
            <w:r w:rsidRPr="000B315F">
              <w:rPr>
                <w:b/>
                <w:color w:val="000000"/>
              </w:rPr>
              <w:t>2,</w:t>
            </w:r>
            <w:r w:rsidRPr="00A11246">
              <w:rPr>
                <w:rFonts w:cs="Arial"/>
                <w:b/>
                <w:bCs/>
                <w:color w:val="000000"/>
                <w:szCs w:val="18"/>
              </w:rPr>
              <w:t>160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A11246" w:rsidRDefault="00476BAA" w:rsidP="00121C5C">
            <w:pPr>
              <w:pStyle w:val="TableText"/>
              <w:keepNext/>
              <w:keepLines/>
              <w:jc w:val="right"/>
              <w:rPr>
                <w:rFonts w:cs="Arial"/>
                <w:b/>
                <w:szCs w:val="18"/>
              </w:rPr>
            </w:pPr>
            <w:r w:rsidRPr="000B315F">
              <w:rPr>
                <w:b/>
                <w:color w:val="000000"/>
              </w:rPr>
              <w:t>1,</w:t>
            </w:r>
            <w:r w:rsidRPr="00476BAA">
              <w:rPr>
                <w:rFonts w:cs="Arial"/>
                <w:b/>
                <w:bCs/>
                <w:color w:val="000000"/>
                <w:szCs w:val="18"/>
              </w:rPr>
              <w:t>567</w:t>
            </w:r>
          </w:p>
        </w:tc>
      </w:tr>
    </w:tbl>
    <w:p w:rsidR="00121C5C" w:rsidRPr="00C36C8F" w:rsidRDefault="00121C5C" w:rsidP="00121C5C">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802C9D" w:rsidRPr="00C36C8F" w:rsidRDefault="00802C9D" w:rsidP="00690F1F">
      <w:pPr>
        <w:pStyle w:val="ParaIndent"/>
        <w:spacing w:before="240"/>
      </w:pPr>
    </w:p>
    <w:bookmarkStart w:id="186" w:name="_Ref284592627"/>
    <w:p w:rsidR="00802C9D" w:rsidRPr="00C36C8F" w:rsidRDefault="00B9555F" w:rsidP="006A1B32">
      <w:pPr>
        <w:pStyle w:val="ParaIndent"/>
        <w:keepNext/>
        <w:keepLines/>
        <w:spacing w:before="120"/>
        <w:jc w:val="both"/>
      </w:pPr>
      <w:r w:rsidRPr="00C36C8F">
        <w:fldChar w:fldCharType="begin"/>
      </w:r>
      <w:r w:rsidR="00802C9D" w:rsidRPr="00C36C8F">
        <w:instrText xml:space="preserve"> REF _Ref300763008 \h </w:instrText>
      </w:r>
      <w:r w:rsidRPr="00C36C8F">
        <w:fldChar w:fldCharType="separate"/>
      </w:r>
      <w:r w:rsidR="00AE7E3B" w:rsidRPr="00C36C8F">
        <w:t xml:space="preserve">Table </w:t>
      </w:r>
      <w:r w:rsidR="00AE7E3B">
        <w:rPr>
          <w:noProof/>
        </w:rPr>
        <w:t>4</w:t>
      </w:r>
      <w:r w:rsidR="00AE7E3B" w:rsidRPr="00C36C8F">
        <w:t>-</w:t>
      </w:r>
      <w:r w:rsidR="00AE7E3B">
        <w:rPr>
          <w:noProof/>
        </w:rPr>
        <w:t>31</w:t>
      </w:r>
      <w:r w:rsidRPr="00C36C8F">
        <w:fldChar w:fldCharType="end"/>
      </w:r>
      <w:r w:rsidR="00802C9D" w:rsidRPr="00C36C8F">
        <w:t xml:space="preserve"> presents the total recycling by material for WA during 2008–09, in terms of total tonnes, per capita rate and recycling rate. The per capita recycling rate for WA is also compared to the national average per capita recycling rate.</w:t>
      </w:r>
    </w:p>
    <w:p w:rsidR="00DE05C7" w:rsidRPr="00C36C8F" w:rsidRDefault="00DE05C7" w:rsidP="00DE05C7">
      <w:pPr>
        <w:pStyle w:val="Caption"/>
        <w:tabs>
          <w:tab w:val="left" w:pos="7275"/>
        </w:tabs>
      </w:pPr>
      <w:bookmarkStart w:id="187" w:name="_Ref300763008"/>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31</w:t>
      </w:r>
      <w:r w:rsidR="00B9555F" w:rsidRPr="00C36C8F">
        <w:rPr>
          <w:noProof/>
        </w:rPr>
        <w:fldChar w:fldCharType="end"/>
      </w:r>
      <w:bookmarkEnd w:id="186"/>
      <w:bookmarkEnd w:id="187"/>
      <w:r w:rsidRPr="00C36C8F">
        <w:tab/>
      </w:r>
      <w:r w:rsidR="00903DD9" w:rsidRPr="00C36C8F">
        <w:t>WA r</w:t>
      </w:r>
      <w:r w:rsidRPr="00C36C8F">
        <w:t>ecycling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903DD9" w:rsidRPr="00C36C8F" w:rsidTr="008E0001">
        <w:tc>
          <w:tcPr>
            <w:tcW w:w="4111" w:type="dxa"/>
            <w:gridSpan w:val="2"/>
            <w:tcBorders>
              <w:right w:val="single" w:sz="4" w:space="0" w:color="808080"/>
            </w:tcBorders>
            <w:shd w:val="clear" w:color="auto" w:fill="auto"/>
            <w:vAlign w:val="center"/>
          </w:tcPr>
          <w:p w:rsidR="00903DD9" w:rsidRPr="00C36C8F" w:rsidRDefault="00903DD9" w:rsidP="00E405F5">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WA recycling</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National average</w:t>
            </w:r>
          </w:p>
        </w:tc>
        <w:tc>
          <w:tcPr>
            <w:tcW w:w="1329" w:type="dxa"/>
            <w:tcBorders>
              <w:lef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WA recycling rate</w:t>
            </w:r>
          </w:p>
        </w:tc>
      </w:tr>
      <w:tr w:rsidR="00903DD9" w:rsidRPr="00C36C8F" w:rsidTr="00A20688">
        <w:tc>
          <w:tcPr>
            <w:tcW w:w="2127" w:type="dxa"/>
            <w:tcBorders>
              <w:bottom w:val="single" w:sz="4" w:space="0" w:color="808080"/>
              <w:right w:val="nil"/>
            </w:tcBorders>
            <w:shd w:val="clear" w:color="auto" w:fill="auto"/>
          </w:tcPr>
          <w:p w:rsidR="00903DD9" w:rsidRPr="00C36C8F" w:rsidRDefault="00903DD9" w:rsidP="00E405F5">
            <w:pPr>
              <w:pStyle w:val="TableHeading"/>
              <w:keepLines/>
              <w:jc w:val="center"/>
              <w:rPr>
                <w:kern w:val="28"/>
              </w:rPr>
            </w:pPr>
            <w:r w:rsidRPr="00C36C8F">
              <w:rPr>
                <w:kern w:val="28"/>
              </w:rPr>
              <w:t>Ma</w:t>
            </w:r>
            <w:r w:rsidR="00E405F5"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903DD9" w:rsidRPr="00C36C8F" w:rsidRDefault="00E405F5" w:rsidP="00B66BA8">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tcBorders>
            <w:vAlign w:val="center"/>
          </w:tcPr>
          <w:p w:rsidR="00903DD9" w:rsidRPr="00C36C8F" w:rsidRDefault="00903DD9" w:rsidP="00B66BA8">
            <w:pPr>
              <w:pStyle w:val="TableHeading"/>
              <w:keepLines/>
              <w:jc w:val="center"/>
              <w:rPr>
                <w:kern w:val="28"/>
              </w:rPr>
            </w:pPr>
            <w:r w:rsidRPr="00C36C8F">
              <w:rPr>
                <w:kern w:val="28"/>
              </w:rPr>
              <w:t>%</w:t>
            </w:r>
          </w:p>
        </w:tc>
      </w:tr>
      <w:tr w:rsidR="008E0001" w:rsidRPr="008E0001" w:rsidTr="00A20688">
        <w:tc>
          <w:tcPr>
            <w:tcW w:w="2127" w:type="dxa"/>
          </w:tcPr>
          <w:p w:rsidR="008E0001" w:rsidRPr="008E0001" w:rsidRDefault="008E0001" w:rsidP="00B66BA8">
            <w:pPr>
              <w:pStyle w:val="TableText"/>
              <w:keepNext/>
              <w:keepLines/>
              <w:rPr>
                <w:rFonts w:cs="Arial"/>
                <w:szCs w:val="18"/>
              </w:rPr>
            </w:pPr>
            <w:r w:rsidRPr="008E0001">
              <w:rPr>
                <w:rFonts w:cs="Arial"/>
                <w:szCs w:val="18"/>
              </w:rPr>
              <w:t>Masonry materials</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723,500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323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462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26</w:t>
            </w:r>
            <w:r w:rsidRPr="000B315F">
              <w:rPr>
                <w:color w:val="000000"/>
              </w:rPr>
              <w:t>%</w:t>
            </w:r>
          </w:p>
        </w:tc>
      </w:tr>
      <w:tr w:rsidR="008E0001" w:rsidRPr="008E0001" w:rsidTr="00A20688">
        <w:tc>
          <w:tcPr>
            <w:tcW w:w="2127" w:type="dxa"/>
          </w:tcPr>
          <w:p w:rsidR="008E0001" w:rsidRPr="008E0001" w:rsidRDefault="008E0001" w:rsidP="00B66BA8">
            <w:pPr>
              <w:pStyle w:val="TableText"/>
              <w:keepNext/>
              <w:keepLines/>
              <w:rPr>
                <w:rFonts w:cs="Arial"/>
                <w:szCs w:val="18"/>
              </w:rPr>
            </w:pPr>
            <w:r w:rsidRPr="008E0001">
              <w:rPr>
                <w:rFonts w:cs="Arial"/>
                <w:szCs w:val="18"/>
              </w:rPr>
              <w:t>Metals</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375,200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168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C16F94">
            <w:pPr>
              <w:pStyle w:val="TableText"/>
              <w:keepNext/>
              <w:keepLines/>
              <w:jc w:val="right"/>
              <w:rPr>
                <w:rFonts w:cs="Arial"/>
                <w:szCs w:val="18"/>
              </w:rPr>
            </w:pPr>
            <w:r w:rsidRPr="008E0001">
              <w:rPr>
                <w:rFonts w:cs="Arial"/>
                <w:color w:val="000000"/>
                <w:szCs w:val="18"/>
                <w:lang w:eastAsia="en-AU"/>
              </w:rPr>
              <w:t>18</w:t>
            </w:r>
            <w:r w:rsidR="00C16F94">
              <w:rPr>
                <w:rFonts w:cs="Arial"/>
                <w:color w:val="000000"/>
                <w:szCs w:val="18"/>
                <w:lang w:eastAsia="en-AU"/>
              </w:rPr>
              <w:t>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78</w:t>
            </w:r>
            <w:r w:rsidRPr="000B315F">
              <w:rPr>
                <w:color w:val="000000"/>
              </w:rPr>
              <w:t>%</w:t>
            </w:r>
          </w:p>
        </w:tc>
      </w:tr>
      <w:tr w:rsidR="008E0001" w:rsidRPr="008E0001" w:rsidTr="00A20688">
        <w:tc>
          <w:tcPr>
            <w:tcW w:w="2127" w:type="dxa"/>
          </w:tcPr>
          <w:p w:rsidR="008E0001" w:rsidRPr="008E0001" w:rsidRDefault="008E0001" w:rsidP="00B66BA8">
            <w:pPr>
              <w:pStyle w:val="TableText"/>
              <w:keepNext/>
              <w:keepLines/>
              <w:rPr>
                <w:rFonts w:cs="Arial"/>
                <w:szCs w:val="18"/>
              </w:rPr>
            </w:pPr>
            <w:r w:rsidRPr="008E0001">
              <w:rPr>
                <w:rFonts w:cs="Arial"/>
                <w:szCs w:val="18"/>
              </w:rPr>
              <w:t>Organics</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435,200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195</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172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29</w:t>
            </w:r>
            <w:r w:rsidRPr="000B315F">
              <w:rPr>
                <w:color w:val="000000"/>
              </w:rPr>
              <w:t>%</w:t>
            </w:r>
          </w:p>
        </w:tc>
      </w:tr>
      <w:tr w:rsidR="008E0001" w:rsidRPr="008E0001" w:rsidTr="00A20688">
        <w:tc>
          <w:tcPr>
            <w:tcW w:w="2127" w:type="dxa"/>
          </w:tcPr>
          <w:p w:rsidR="008E0001" w:rsidRPr="008E0001" w:rsidRDefault="008E0001" w:rsidP="00B66BA8">
            <w:pPr>
              <w:pStyle w:val="TableText"/>
              <w:keepNext/>
              <w:keepLines/>
              <w:rPr>
                <w:rFonts w:cs="Arial"/>
                <w:szCs w:val="18"/>
              </w:rPr>
            </w:pPr>
            <w:r w:rsidRPr="008E0001">
              <w:rPr>
                <w:rFonts w:cs="Arial"/>
                <w:szCs w:val="18"/>
              </w:rPr>
              <w:t>Paper &amp; cardboard</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231,000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103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178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34</w:t>
            </w:r>
            <w:r w:rsidRPr="000B315F">
              <w:rPr>
                <w:color w:val="000000"/>
              </w:rPr>
              <w:t>%</w:t>
            </w:r>
          </w:p>
        </w:tc>
      </w:tr>
      <w:tr w:rsidR="008E0001" w:rsidRPr="008E0001" w:rsidTr="00A20688">
        <w:tc>
          <w:tcPr>
            <w:tcW w:w="2127" w:type="dxa"/>
          </w:tcPr>
          <w:p w:rsidR="008E0001" w:rsidRPr="008E0001" w:rsidRDefault="008E0001" w:rsidP="00B66BA8">
            <w:pPr>
              <w:pStyle w:val="TableText"/>
              <w:keepNext/>
              <w:keepLines/>
              <w:rPr>
                <w:rFonts w:cs="Arial"/>
                <w:szCs w:val="18"/>
              </w:rPr>
            </w:pPr>
            <w:r w:rsidRPr="008E0001">
              <w:rPr>
                <w:rFonts w:cs="Arial"/>
                <w:szCs w:val="18"/>
              </w:rPr>
              <w:t>Plastics</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19,400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9</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24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8</w:t>
            </w:r>
            <w:r w:rsidRPr="000B315F">
              <w:rPr>
                <w:color w:val="000000"/>
              </w:rPr>
              <w:t>%</w:t>
            </w:r>
          </w:p>
        </w:tc>
      </w:tr>
      <w:tr w:rsidR="008E0001" w:rsidRPr="008E0001" w:rsidTr="00A20688">
        <w:tc>
          <w:tcPr>
            <w:tcW w:w="2127" w:type="dxa"/>
            <w:vMerge w:val="restart"/>
          </w:tcPr>
          <w:p w:rsidR="008E0001" w:rsidRPr="008E0001" w:rsidRDefault="008E0001" w:rsidP="00B66BA8">
            <w:pPr>
              <w:pStyle w:val="TableText"/>
              <w:keepNext/>
              <w:keepLines/>
              <w:rPr>
                <w:rFonts w:cs="Arial"/>
                <w:szCs w:val="18"/>
              </w:rPr>
            </w:pPr>
            <w:r w:rsidRPr="008E0001">
              <w:rPr>
                <w:rFonts w:cs="Arial"/>
                <w:szCs w:val="18"/>
              </w:rPr>
              <w:t>Other</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r w:rsidRPr="008E0001">
              <w:rPr>
                <w:rFonts w:cs="Arial"/>
                <w:szCs w:val="18"/>
              </w:rPr>
              <w:t>Glass</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26,700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12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44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26</w:t>
            </w:r>
            <w:r w:rsidRPr="000B315F">
              <w:rPr>
                <w:color w:val="000000"/>
              </w:rPr>
              <w:t>%</w:t>
            </w:r>
          </w:p>
        </w:tc>
      </w:tr>
      <w:tr w:rsidR="008E0001" w:rsidRPr="008E0001" w:rsidTr="00A20688">
        <w:tc>
          <w:tcPr>
            <w:tcW w:w="2127" w:type="dxa"/>
            <w:vMerge/>
          </w:tcPr>
          <w:p w:rsidR="008E0001" w:rsidRPr="008E0001" w:rsidRDefault="008E0001" w:rsidP="00B66BA8">
            <w:pPr>
              <w:pStyle w:val="TableText"/>
              <w:keepNext/>
              <w:keepLines/>
              <w:rPr>
                <w:rFonts w:cs="Arial"/>
                <w:szCs w:val="18"/>
              </w:rPr>
            </w:pPr>
          </w:p>
        </w:tc>
        <w:tc>
          <w:tcPr>
            <w:tcW w:w="1984" w:type="dxa"/>
            <w:tcBorders>
              <w:right w:val="single" w:sz="4" w:space="0" w:color="808080"/>
            </w:tcBorders>
          </w:tcPr>
          <w:p w:rsidR="008E0001" w:rsidRPr="008E0001" w:rsidRDefault="008E0001" w:rsidP="00B66BA8">
            <w:pPr>
              <w:pStyle w:val="TableText"/>
              <w:keepNext/>
              <w:keepLines/>
              <w:rPr>
                <w:rFonts w:cs="Arial"/>
                <w:szCs w:val="18"/>
              </w:rPr>
            </w:pPr>
            <w:r w:rsidRPr="008E0001">
              <w:rPr>
                <w:rFonts w:cs="Arial"/>
                <w:szCs w:val="18"/>
              </w:rPr>
              <w:t>Leather &amp; textiles</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51,400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23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60</w:t>
            </w:r>
            <w:r w:rsidRPr="000B315F">
              <w:rPr>
                <w:color w:val="000000"/>
              </w:rPr>
              <w:t>%</w:t>
            </w:r>
          </w:p>
        </w:tc>
      </w:tr>
      <w:tr w:rsidR="008E0001" w:rsidRPr="008E0001" w:rsidTr="00A20688">
        <w:tc>
          <w:tcPr>
            <w:tcW w:w="2127" w:type="dxa"/>
            <w:vMerge/>
          </w:tcPr>
          <w:p w:rsidR="008E0001" w:rsidRPr="008E0001" w:rsidRDefault="008E0001" w:rsidP="00B66BA8">
            <w:pPr>
              <w:pStyle w:val="TableText"/>
              <w:keepNext/>
              <w:keepLines/>
              <w:rPr>
                <w:rFonts w:cs="Arial"/>
                <w:szCs w:val="18"/>
              </w:rPr>
            </w:pPr>
          </w:p>
        </w:tc>
        <w:tc>
          <w:tcPr>
            <w:tcW w:w="1984" w:type="dxa"/>
            <w:tcBorders>
              <w:right w:val="single" w:sz="4" w:space="0" w:color="808080"/>
            </w:tcBorders>
          </w:tcPr>
          <w:p w:rsidR="008E0001" w:rsidRPr="008E0001" w:rsidRDefault="008E0001" w:rsidP="00B66BA8">
            <w:pPr>
              <w:pStyle w:val="TableText"/>
              <w:keepNext/>
              <w:keepLines/>
              <w:rPr>
                <w:rFonts w:cs="Arial"/>
                <w:szCs w:val="18"/>
              </w:rPr>
            </w:pPr>
            <w:r w:rsidRPr="008E0001">
              <w:rPr>
                <w:rFonts w:cs="Arial"/>
                <w:szCs w:val="18"/>
              </w:rPr>
              <w:t>Tyres &amp; other rubber</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2,000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8E0001">
              <w:rPr>
                <w:rFonts w:cs="Arial"/>
                <w:color w:val="000000"/>
                <w:szCs w:val="18"/>
                <w:lang w:eastAsia="en-AU"/>
              </w:rPr>
              <w:t>8</w:t>
            </w:r>
            <w:r w:rsidRPr="000B315F">
              <w:rPr>
                <w:color w:val="000000"/>
              </w:rPr>
              <w:t>%</w:t>
            </w:r>
          </w:p>
        </w:tc>
      </w:tr>
      <w:tr w:rsidR="008E0001" w:rsidRPr="008E0001" w:rsidTr="00A20688">
        <w:tc>
          <w:tcPr>
            <w:tcW w:w="2127" w:type="dxa"/>
            <w:vMerge w:val="restart"/>
          </w:tcPr>
          <w:p w:rsidR="008E0001" w:rsidRPr="008E0001" w:rsidRDefault="008E0001" w:rsidP="00B66BA8">
            <w:pPr>
              <w:pStyle w:val="TableText"/>
              <w:keepNext/>
              <w:keepLines/>
              <w:rPr>
                <w:rFonts w:cs="Arial"/>
                <w:szCs w:val="18"/>
              </w:rPr>
            </w:pPr>
            <w:r w:rsidRPr="008E0001">
              <w:rPr>
                <w:rFonts w:cs="Arial"/>
                <w:szCs w:val="18"/>
              </w:rPr>
              <w:t>Hazardous</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r w:rsidRPr="008E0001">
              <w:rPr>
                <w:rFonts w:cs="Arial"/>
                <w:szCs w:val="18"/>
              </w:rPr>
              <w:t>Quarantine</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0%</w:t>
            </w:r>
          </w:p>
        </w:tc>
      </w:tr>
      <w:tr w:rsidR="008E0001" w:rsidRPr="008E0001" w:rsidTr="00A20688">
        <w:tc>
          <w:tcPr>
            <w:tcW w:w="2127" w:type="dxa"/>
            <w:vMerge/>
          </w:tcPr>
          <w:p w:rsidR="008E0001" w:rsidRPr="008E0001" w:rsidRDefault="008E0001" w:rsidP="00B66BA8">
            <w:pPr>
              <w:pStyle w:val="TableText"/>
              <w:keepNext/>
              <w:keepLines/>
              <w:rPr>
                <w:rFonts w:cs="Arial"/>
                <w:szCs w:val="18"/>
              </w:rPr>
            </w:pPr>
          </w:p>
        </w:tc>
        <w:tc>
          <w:tcPr>
            <w:tcW w:w="1984" w:type="dxa"/>
            <w:tcBorders>
              <w:right w:val="single" w:sz="4" w:space="0" w:color="808080"/>
            </w:tcBorders>
          </w:tcPr>
          <w:p w:rsidR="008E0001" w:rsidRPr="008E0001" w:rsidRDefault="008E0001" w:rsidP="00B66BA8">
            <w:pPr>
              <w:pStyle w:val="TableText"/>
              <w:keepNext/>
              <w:keepLines/>
              <w:rPr>
                <w:rFonts w:cs="Arial"/>
                <w:szCs w:val="18"/>
              </w:rPr>
            </w:pPr>
            <w:r w:rsidRPr="008E0001">
              <w:rPr>
                <w:rFonts w:cs="Arial"/>
                <w:szCs w:val="18"/>
              </w:rPr>
              <w:t>Contaminated soil</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0%</w:t>
            </w:r>
          </w:p>
        </w:tc>
      </w:tr>
      <w:tr w:rsidR="008E0001" w:rsidRPr="008E0001" w:rsidTr="00A20688">
        <w:tc>
          <w:tcPr>
            <w:tcW w:w="2127" w:type="dxa"/>
            <w:vMerge/>
          </w:tcPr>
          <w:p w:rsidR="008E0001" w:rsidRPr="008E0001" w:rsidRDefault="008E0001" w:rsidP="00B66BA8">
            <w:pPr>
              <w:pStyle w:val="TableText"/>
              <w:keepNext/>
              <w:keepLines/>
              <w:rPr>
                <w:rFonts w:cs="Arial"/>
                <w:szCs w:val="18"/>
              </w:rPr>
            </w:pPr>
          </w:p>
        </w:tc>
        <w:tc>
          <w:tcPr>
            <w:tcW w:w="1984" w:type="dxa"/>
            <w:tcBorders>
              <w:right w:val="single" w:sz="4" w:space="0" w:color="808080"/>
            </w:tcBorders>
          </w:tcPr>
          <w:p w:rsidR="008E0001" w:rsidRPr="008E0001" w:rsidRDefault="008E0001" w:rsidP="00B66BA8">
            <w:pPr>
              <w:pStyle w:val="TableText"/>
              <w:keepNext/>
              <w:keepLines/>
              <w:rPr>
                <w:rFonts w:cs="Arial"/>
                <w:szCs w:val="18"/>
              </w:rPr>
            </w:pPr>
            <w:r w:rsidRPr="008E0001">
              <w:rPr>
                <w:rFonts w:cs="Arial"/>
                <w:szCs w:val="18"/>
              </w:rPr>
              <w:t>Industrial waste</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0%</w:t>
            </w:r>
          </w:p>
        </w:tc>
      </w:tr>
      <w:tr w:rsidR="008E0001" w:rsidRPr="008E0001" w:rsidTr="00A20688">
        <w:tc>
          <w:tcPr>
            <w:tcW w:w="2127" w:type="dxa"/>
            <w:vMerge/>
          </w:tcPr>
          <w:p w:rsidR="008E0001" w:rsidRPr="008E0001" w:rsidRDefault="008E0001" w:rsidP="00B66BA8">
            <w:pPr>
              <w:pStyle w:val="TableText"/>
              <w:keepNext/>
              <w:keepLines/>
              <w:rPr>
                <w:rFonts w:cs="Arial"/>
                <w:szCs w:val="18"/>
              </w:rPr>
            </w:pPr>
          </w:p>
        </w:tc>
        <w:tc>
          <w:tcPr>
            <w:tcW w:w="1984" w:type="dxa"/>
            <w:tcBorders>
              <w:right w:val="single" w:sz="4" w:space="0" w:color="808080"/>
            </w:tcBorders>
          </w:tcPr>
          <w:p w:rsidR="008E0001" w:rsidRPr="008E0001" w:rsidRDefault="008E0001" w:rsidP="00B66BA8">
            <w:pPr>
              <w:pStyle w:val="TableText"/>
              <w:keepNext/>
              <w:keepLines/>
              <w:rPr>
                <w:rFonts w:cs="Arial"/>
                <w:szCs w:val="18"/>
              </w:rPr>
            </w:pPr>
            <w:r w:rsidRPr="008E0001">
              <w:rPr>
                <w:rFonts w:cs="Arial"/>
                <w:szCs w:val="18"/>
              </w:rPr>
              <w:t>Asbestos</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0%</w:t>
            </w:r>
          </w:p>
        </w:tc>
      </w:tr>
      <w:tr w:rsidR="008E0001" w:rsidRPr="008E0001" w:rsidTr="00A20688">
        <w:tc>
          <w:tcPr>
            <w:tcW w:w="2127" w:type="dxa"/>
          </w:tcPr>
          <w:p w:rsidR="008E0001" w:rsidRPr="008E0001" w:rsidRDefault="008E0001" w:rsidP="00B66BA8">
            <w:pPr>
              <w:pStyle w:val="TableText"/>
              <w:keepNext/>
              <w:keepLines/>
              <w:rPr>
                <w:rFonts w:cs="Arial"/>
                <w:szCs w:val="18"/>
              </w:rPr>
            </w:pPr>
            <w:r w:rsidRPr="008E0001">
              <w:rPr>
                <w:rFonts w:cs="Arial"/>
                <w:b/>
                <w:szCs w:val="18"/>
              </w:rPr>
              <w:t>SUBTOTAL</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b/>
                <w:szCs w:val="18"/>
              </w:rPr>
            </w:pPr>
            <w:r w:rsidRPr="008E0001">
              <w:rPr>
                <w:rFonts w:cs="Arial"/>
                <w:b/>
                <w:szCs w:val="18"/>
              </w:rPr>
              <w:t>1,864,500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b/>
                <w:szCs w:val="18"/>
              </w:rPr>
            </w:pPr>
            <w:r w:rsidRPr="008E0001">
              <w:rPr>
                <w:rFonts w:cs="Arial"/>
                <w:b/>
                <w:szCs w:val="18"/>
              </w:rPr>
              <w:t>833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C16F94">
            <w:pPr>
              <w:pStyle w:val="TableText"/>
              <w:keepNext/>
              <w:keepLines/>
              <w:jc w:val="right"/>
              <w:rPr>
                <w:rFonts w:cs="Arial"/>
                <w:b/>
                <w:szCs w:val="18"/>
              </w:rPr>
            </w:pPr>
            <w:r w:rsidRPr="000B315F">
              <w:rPr>
                <w:b/>
                <w:color w:val="000000"/>
              </w:rPr>
              <w:t>1,</w:t>
            </w:r>
            <w:r w:rsidRPr="008E0001">
              <w:rPr>
                <w:rFonts w:cs="Arial"/>
                <w:b/>
                <w:bCs/>
                <w:color w:val="000000"/>
                <w:szCs w:val="18"/>
                <w:lang w:eastAsia="en-AU"/>
              </w:rPr>
              <w:t>09</w:t>
            </w:r>
            <w:r w:rsidR="00C16F94">
              <w:rPr>
                <w:rFonts w:cs="Arial"/>
                <w:b/>
                <w:bCs/>
                <w:color w:val="000000"/>
                <w:szCs w:val="18"/>
                <w:lang w:eastAsia="en-AU"/>
              </w:rPr>
              <w:t>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b/>
                <w:szCs w:val="18"/>
              </w:rPr>
            </w:pPr>
            <w:r w:rsidRPr="000B315F">
              <w:rPr>
                <w:b/>
                <w:color w:val="000000"/>
              </w:rPr>
              <w:t>31%</w:t>
            </w:r>
          </w:p>
        </w:tc>
      </w:tr>
      <w:tr w:rsidR="008E0001" w:rsidRPr="008E0001" w:rsidTr="00A20688">
        <w:tc>
          <w:tcPr>
            <w:tcW w:w="2127" w:type="dxa"/>
          </w:tcPr>
          <w:p w:rsidR="008E0001" w:rsidRPr="008E0001" w:rsidRDefault="008E0001" w:rsidP="00B66BA8">
            <w:pPr>
              <w:pStyle w:val="TableText"/>
              <w:keepNext/>
              <w:keepLines/>
              <w:rPr>
                <w:rFonts w:cs="Arial"/>
                <w:szCs w:val="18"/>
              </w:rPr>
            </w:pPr>
            <w:r w:rsidRPr="008E0001">
              <w:rPr>
                <w:rFonts w:cs="Arial"/>
                <w:szCs w:val="18"/>
              </w:rPr>
              <w:t>Fly ash</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139,200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tcPr>
          <w:p w:rsidR="008E0001" w:rsidRPr="008E0001" w:rsidRDefault="008E0001" w:rsidP="00B66BA8">
            <w:pPr>
              <w:pStyle w:val="TableText"/>
              <w:keepNext/>
              <w:keepLines/>
              <w:jc w:val="right"/>
              <w:rPr>
                <w:rFonts w:cs="Arial"/>
                <w:szCs w:val="18"/>
              </w:rPr>
            </w:pPr>
            <w:r w:rsidRPr="008E0001">
              <w:rPr>
                <w:rFonts w:cs="Arial"/>
                <w:szCs w:val="18"/>
              </w:rPr>
              <w:t>62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110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szCs w:val="18"/>
              </w:rPr>
            </w:pPr>
            <w:r w:rsidRPr="000B315F">
              <w:rPr>
                <w:color w:val="000000"/>
              </w:rPr>
              <w:t>16%</w:t>
            </w:r>
          </w:p>
        </w:tc>
      </w:tr>
      <w:tr w:rsidR="008E0001" w:rsidRPr="008E0001" w:rsidTr="00A20688">
        <w:tc>
          <w:tcPr>
            <w:tcW w:w="2127" w:type="dxa"/>
          </w:tcPr>
          <w:p w:rsidR="008E0001" w:rsidRPr="008E0001" w:rsidRDefault="008E0001" w:rsidP="00B66BA8">
            <w:pPr>
              <w:pStyle w:val="TableText"/>
              <w:keepNext/>
              <w:keepLines/>
              <w:rPr>
                <w:rFonts w:cs="Arial"/>
                <w:szCs w:val="18"/>
              </w:rPr>
            </w:pPr>
            <w:r w:rsidRPr="008E0001">
              <w:rPr>
                <w:rFonts w:cs="Arial"/>
                <w:b/>
                <w:szCs w:val="18"/>
              </w:rPr>
              <w:t>TOTAL</w:t>
            </w:r>
          </w:p>
        </w:tc>
        <w:tc>
          <w:tcPr>
            <w:tcW w:w="1984" w:type="dxa"/>
            <w:tcBorders>
              <w:right w:val="single" w:sz="4" w:space="0" w:color="808080"/>
            </w:tcBorders>
          </w:tcPr>
          <w:p w:rsidR="008E0001" w:rsidRPr="008E0001" w:rsidRDefault="008E0001" w:rsidP="00B66BA8">
            <w:pPr>
              <w:pStyle w:val="TableText"/>
              <w:keepNext/>
              <w:keepLines/>
              <w:rPr>
                <w:rFonts w:cs="Arial"/>
                <w:szCs w:val="18"/>
              </w:rPr>
            </w:pPr>
          </w:p>
        </w:tc>
        <w:tc>
          <w:tcPr>
            <w:tcW w:w="1329" w:type="dxa"/>
            <w:tcBorders>
              <w:top w:val="single" w:sz="4" w:space="0" w:color="808080"/>
              <w:left w:val="single" w:sz="4" w:space="0" w:color="808080"/>
              <w:bottom w:val="single" w:sz="18" w:space="0" w:color="808080"/>
              <w:right w:val="single" w:sz="4" w:space="0" w:color="808080"/>
            </w:tcBorders>
            <w:tcMar>
              <w:right w:w="142" w:type="dxa"/>
            </w:tcMar>
          </w:tcPr>
          <w:p w:rsidR="008E0001" w:rsidRPr="008E0001" w:rsidRDefault="008E0001" w:rsidP="00B66BA8">
            <w:pPr>
              <w:pStyle w:val="TableText"/>
              <w:keepNext/>
              <w:keepLines/>
              <w:jc w:val="right"/>
              <w:rPr>
                <w:rFonts w:cs="Arial"/>
                <w:b/>
                <w:szCs w:val="18"/>
              </w:rPr>
            </w:pPr>
            <w:r w:rsidRPr="008E0001">
              <w:rPr>
                <w:rFonts w:cs="Arial"/>
                <w:b/>
                <w:szCs w:val="18"/>
              </w:rPr>
              <w:t>2,003,600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tcPr>
          <w:p w:rsidR="008E0001" w:rsidRPr="008E0001" w:rsidRDefault="008E0001" w:rsidP="00B66BA8">
            <w:pPr>
              <w:pStyle w:val="TableText"/>
              <w:keepNext/>
              <w:keepLines/>
              <w:jc w:val="right"/>
              <w:rPr>
                <w:rFonts w:cs="Arial"/>
                <w:b/>
                <w:szCs w:val="18"/>
              </w:rPr>
            </w:pPr>
            <w:r w:rsidRPr="008E0001">
              <w:rPr>
                <w:rFonts w:cs="Arial"/>
                <w:b/>
                <w:szCs w:val="18"/>
              </w:rPr>
              <w:t>896</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b/>
                <w:szCs w:val="18"/>
              </w:rPr>
            </w:pPr>
            <w:r w:rsidRPr="000B315F">
              <w:rPr>
                <w:b/>
                <w:color w:val="000000"/>
              </w:rPr>
              <w:t>1,</w:t>
            </w:r>
            <w:r w:rsidRPr="008E0001">
              <w:rPr>
                <w:rFonts w:cs="Arial"/>
                <w:b/>
                <w:bCs/>
                <w:color w:val="000000"/>
                <w:szCs w:val="18"/>
                <w:lang w:eastAsia="en-AU"/>
              </w:rPr>
              <w:t>201</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8E0001" w:rsidRPr="008E0001" w:rsidRDefault="008E0001" w:rsidP="00B66BA8">
            <w:pPr>
              <w:pStyle w:val="TableText"/>
              <w:keepNext/>
              <w:keepLines/>
              <w:jc w:val="right"/>
              <w:rPr>
                <w:rFonts w:cs="Arial"/>
                <w:b/>
                <w:szCs w:val="18"/>
              </w:rPr>
            </w:pPr>
            <w:r w:rsidRPr="000B315F">
              <w:rPr>
                <w:b/>
                <w:color w:val="000000"/>
              </w:rPr>
              <w:t>29%</w:t>
            </w:r>
          </w:p>
        </w:tc>
      </w:tr>
    </w:tbl>
    <w:p w:rsidR="00903DD9" w:rsidRPr="00C36C8F" w:rsidRDefault="00903DD9" w:rsidP="00903DD9">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EB0688" w:rsidRPr="00C36C8F" w:rsidRDefault="00B9555F" w:rsidP="006A1B32">
      <w:pPr>
        <w:pStyle w:val="ParaIndent"/>
        <w:keepNext/>
        <w:keepLines/>
        <w:spacing w:before="120"/>
        <w:jc w:val="both"/>
      </w:pPr>
      <w:r w:rsidRPr="00C36C8F">
        <w:fldChar w:fldCharType="begin"/>
      </w:r>
      <w:r w:rsidR="00EB0688" w:rsidRPr="00C36C8F">
        <w:instrText xml:space="preserve"> REF _Ref284592666 \h </w:instrText>
      </w:r>
      <w:r w:rsidRPr="00C36C8F">
        <w:fldChar w:fldCharType="separate"/>
      </w:r>
      <w:r w:rsidR="00AE7E3B" w:rsidRPr="00C36C8F">
        <w:t xml:space="preserve">Table </w:t>
      </w:r>
      <w:r w:rsidR="00AE7E3B">
        <w:rPr>
          <w:noProof/>
        </w:rPr>
        <w:t>4</w:t>
      </w:r>
      <w:r w:rsidR="00AE7E3B" w:rsidRPr="00C36C8F">
        <w:t>-</w:t>
      </w:r>
      <w:r w:rsidR="00AE7E3B">
        <w:rPr>
          <w:noProof/>
        </w:rPr>
        <w:t>32</w:t>
      </w:r>
      <w:r w:rsidRPr="00C36C8F">
        <w:fldChar w:fldCharType="end"/>
      </w:r>
      <w:r w:rsidR="00EB0688" w:rsidRPr="00C36C8F">
        <w:t xml:space="preserve"> details energy recovery by material type for WA. Recovery for the jurisdiction is presented in terms of total tonnes, and the per capita rate. The national average per capita recovery rate is also provided.</w:t>
      </w:r>
    </w:p>
    <w:p w:rsidR="00DE05C7" w:rsidRPr="00C36C8F" w:rsidRDefault="00DE05C7" w:rsidP="00DE05C7">
      <w:pPr>
        <w:pStyle w:val="Caption"/>
        <w:tabs>
          <w:tab w:val="left" w:pos="7275"/>
        </w:tabs>
      </w:pPr>
      <w:bookmarkStart w:id="188" w:name="_Ref284592666"/>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32</w:t>
      </w:r>
      <w:r w:rsidR="00B9555F" w:rsidRPr="00C36C8F">
        <w:rPr>
          <w:noProof/>
        </w:rPr>
        <w:fldChar w:fldCharType="end"/>
      </w:r>
      <w:bookmarkEnd w:id="188"/>
      <w:r w:rsidRPr="00C36C8F">
        <w:tab/>
      </w:r>
      <w:r w:rsidR="00903DD9" w:rsidRPr="00C36C8F">
        <w:t>WA e</w:t>
      </w:r>
      <w:r w:rsidRPr="00C36C8F">
        <w:t>nergy recovery by material, 2008–09</w:t>
      </w:r>
    </w:p>
    <w:tbl>
      <w:tblPr>
        <w:tblW w:w="8098" w:type="dxa"/>
        <w:jc w:val="right"/>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tblGrid>
      <w:tr w:rsidR="00121C5C" w:rsidRPr="00C36C8F" w:rsidTr="00121C5C">
        <w:trPr>
          <w:jc w:val="right"/>
        </w:trPr>
        <w:tc>
          <w:tcPr>
            <w:tcW w:w="4111" w:type="dxa"/>
            <w:gridSpan w:val="2"/>
            <w:tcBorders>
              <w:right w:val="single" w:sz="4" w:space="0" w:color="808080"/>
            </w:tcBorders>
            <w:shd w:val="clear" w:color="auto" w:fill="auto"/>
            <w:vAlign w:val="center"/>
          </w:tcPr>
          <w:p w:rsidR="00121C5C" w:rsidRPr="00C36C8F" w:rsidRDefault="00121C5C" w:rsidP="00121C5C">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903DD9" w:rsidP="00121C5C">
            <w:pPr>
              <w:pStyle w:val="TableHeading"/>
              <w:keepLines/>
              <w:jc w:val="center"/>
              <w:rPr>
                <w:kern w:val="28"/>
              </w:rPr>
            </w:pPr>
            <w:r w:rsidRPr="00C36C8F">
              <w:rPr>
                <w:kern w:val="28"/>
              </w:rPr>
              <w:t>WA</w:t>
            </w:r>
            <w:r w:rsidR="00121C5C" w:rsidRPr="00C36C8F">
              <w:rPr>
                <w:kern w:val="28"/>
              </w:rPr>
              <w:t xml:space="preserve"> energy recovery</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National average</w:t>
            </w:r>
          </w:p>
        </w:tc>
      </w:tr>
      <w:tr w:rsidR="00121C5C" w:rsidRPr="00C36C8F" w:rsidTr="00121C5C">
        <w:trPr>
          <w:jc w:val="right"/>
        </w:trPr>
        <w:tc>
          <w:tcPr>
            <w:tcW w:w="2127" w:type="dxa"/>
            <w:tcBorders>
              <w:bottom w:val="single" w:sz="4" w:space="0" w:color="808080"/>
              <w:right w:val="nil"/>
            </w:tcBorders>
            <w:shd w:val="clear" w:color="auto" w:fill="auto"/>
          </w:tcPr>
          <w:p w:rsidR="00121C5C" w:rsidRPr="00C36C8F" w:rsidRDefault="00E405F5" w:rsidP="00E405F5">
            <w:pPr>
              <w:pStyle w:val="TableHeading"/>
              <w:keepLines/>
              <w:jc w:val="center"/>
              <w:rPr>
                <w:kern w:val="28"/>
              </w:rPr>
            </w:pPr>
            <w:r w:rsidRPr="00C36C8F">
              <w:rPr>
                <w:kern w:val="28"/>
              </w:rPr>
              <w:t>Material C</w:t>
            </w:r>
            <w:r w:rsidR="00121C5C" w:rsidRPr="00C36C8F">
              <w:rPr>
                <w:kern w:val="28"/>
              </w:rPr>
              <w:t>ategory</w:t>
            </w:r>
          </w:p>
        </w:tc>
        <w:tc>
          <w:tcPr>
            <w:tcW w:w="1984" w:type="dxa"/>
            <w:tcBorders>
              <w:left w:val="nil"/>
              <w:bottom w:val="single" w:sz="4" w:space="0" w:color="808080"/>
              <w:right w:val="single" w:sz="4" w:space="0" w:color="808080"/>
            </w:tcBorders>
            <w:shd w:val="clear" w:color="auto" w:fill="auto"/>
          </w:tcPr>
          <w:p w:rsidR="00121C5C" w:rsidRPr="00C36C8F" w:rsidRDefault="00E405F5" w:rsidP="00121C5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r>
      <w:tr w:rsidR="00903DD9"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03DD9" w:rsidRPr="00C36C8F" w:rsidRDefault="00903DD9"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03DD9" w:rsidRPr="00C36C8F" w:rsidRDefault="00903DD9"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03DD9" w:rsidRPr="00C36C8F" w:rsidRDefault="00903DD9"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25,100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11</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15</w:t>
            </w:r>
          </w:p>
        </w:tc>
      </w:tr>
      <w:tr w:rsidR="00903DD9"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03DD9" w:rsidRPr="00C36C8F" w:rsidRDefault="00903DD9"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03DD9" w:rsidRPr="00C36C8F" w:rsidRDefault="00903DD9"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vMerge w:val="restart"/>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903DD9" w:rsidRPr="00C36C8F" w:rsidRDefault="00903DD9" w:rsidP="00121C5C">
            <w:pPr>
              <w:pStyle w:val="TableText"/>
              <w:keepNext/>
              <w:keepLines/>
            </w:pPr>
            <w:r w:rsidRPr="00C36C8F">
              <w:t>Glass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03DD9" w:rsidRPr="00C36C8F" w:rsidRDefault="00903DD9" w:rsidP="00121C5C">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03DD9" w:rsidRPr="00C36C8F" w:rsidRDefault="00903DD9" w:rsidP="00121C5C">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vMerge w:val="restart"/>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903DD9" w:rsidRPr="00C36C8F" w:rsidRDefault="00903DD9" w:rsidP="00121C5C">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03DD9" w:rsidRPr="00C36C8F" w:rsidRDefault="00903DD9" w:rsidP="00121C5C">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03DD9" w:rsidRPr="00C36C8F" w:rsidRDefault="00903DD9" w:rsidP="00121C5C">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1</w:t>
            </w:r>
          </w:p>
        </w:tc>
      </w:tr>
      <w:tr w:rsidR="00903DD9"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03DD9" w:rsidRPr="00C36C8F" w:rsidRDefault="00903DD9"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03DD9" w:rsidRPr="00C36C8F" w:rsidRDefault="00903DD9" w:rsidP="00121C5C">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tcBorders>
              <w:top w:val="single" w:sz="4" w:space="0" w:color="808080"/>
              <w:bottom w:val="single" w:sz="18" w:space="0" w:color="808080" w:themeColor="background1" w:themeShade="80"/>
              <w:right w:val="nil"/>
            </w:tcBorders>
            <w:shd w:val="clear" w:color="auto" w:fill="auto"/>
            <w:vAlign w:val="center"/>
          </w:tcPr>
          <w:p w:rsidR="00903DD9" w:rsidRPr="00C36C8F" w:rsidRDefault="00903DD9" w:rsidP="00121C5C">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903DD9" w:rsidRPr="00C36C8F" w:rsidRDefault="00903DD9" w:rsidP="00121C5C">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b/>
                <w:szCs w:val="18"/>
              </w:rPr>
            </w:pPr>
            <w:r w:rsidRPr="00C36C8F">
              <w:rPr>
                <w:b/>
              </w:rPr>
              <w:t>25,100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b/>
                <w:szCs w:val="18"/>
              </w:rPr>
            </w:pPr>
            <w:r w:rsidRPr="00C36C8F">
              <w:rPr>
                <w:b/>
              </w:rPr>
              <w:t>11</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b/>
                <w:szCs w:val="18"/>
              </w:rPr>
            </w:pPr>
            <w:r w:rsidRPr="00C36C8F">
              <w:rPr>
                <w:b/>
              </w:rPr>
              <w:t>16</w:t>
            </w:r>
          </w:p>
        </w:tc>
      </w:tr>
      <w:tr w:rsidR="00903DD9" w:rsidRPr="00C36C8F" w:rsidTr="00B66BA8">
        <w:trPr>
          <w:jc w:val="right"/>
        </w:trPr>
        <w:tc>
          <w:tcPr>
            <w:tcW w:w="2127" w:type="dxa"/>
            <w:tcBorders>
              <w:top w:val="single" w:sz="18" w:space="0" w:color="808080" w:themeColor="background1" w:themeShade="80"/>
              <w:bottom w:val="single" w:sz="4" w:space="0" w:color="808080"/>
              <w:right w:val="nil"/>
            </w:tcBorders>
            <w:shd w:val="clear" w:color="auto" w:fill="auto"/>
            <w:vAlign w:val="center"/>
          </w:tcPr>
          <w:p w:rsidR="00903DD9" w:rsidRPr="00C36C8F" w:rsidRDefault="00903DD9" w:rsidP="00121C5C">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903DD9" w:rsidRPr="00C36C8F" w:rsidRDefault="00903DD9" w:rsidP="00121C5C">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szCs w:val="18"/>
              </w:rPr>
            </w:pPr>
            <w:r w:rsidRPr="00C36C8F">
              <w:t>0</w:t>
            </w:r>
          </w:p>
        </w:tc>
      </w:tr>
      <w:tr w:rsidR="00903DD9" w:rsidRPr="00C36C8F" w:rsidTr="00B66BA8">
        <w:trPr>
          <w:jc w:val="right"/>
        </w:trPr>
        <w:tc>
          <w:tcPr>
            <w:tcW w:w="2127" w:type="dxa"/>
            <w:tcBorders>
              <w:top w:val="single" w:sz="4" w:space="0" w:color="808080"/>
              <w:bottom w:val="single" w:sz="18" w:space="0" w:color="7F7F7F" w:themeColor="text1" w:themeTint="80"/>
              <w:right w:val="nil"/>
            </w:tcBorders>
            <w:shd w:val="clear" w:color="auto" w:fill="auto"/>
            <w:vAlign w:val="center"/>
          </w:tcPr>
          <w:p w:rsidR="00903DD9" w:rsidRPr="00C36C8F" w:rsidRDefault="00903DD9" w:rsidP="00121C5C">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903DD9" w:rsidRPr="00C36C8F" w:rsidRDefault="00903DD9" w:rsidP="00121C5C">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b/>
                <w:szCs w:val="18"/>
              </w:rPr>
            </w:pPr>
            <w:r w:rsidRPr="00C36C8F">
              <w:rPr>
                <w:b/>
              </w:rPr>
              <w:t>25,100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b/>
                <w:szCs w:val="18"/>
              </w:rPr>
            </w:pPr>
            <w:r w:rsidRPr="00C36C8F">
              <w:rPr>
                <w:b/>
              </w:rPr>
              <w:t>11</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903DD9" w:rsidRPr="00C36C8F" w:rsidRDefault="00903DD9" w:rsidP="00121C5C">
            <w:pPr>
              <w:pStyle w:val="TableText"/>
              <w:keepNext/>
              <w:keepLines/>
              <w:jc w:val="right"/>
              <w:rPr>
                <w:rFonts w:cs="Arial"/>
                <w:b/>
                <w:szCs w:val="18"/>
              </w:rPr>
            </w:pPr>
            <w:r w:rsidRPr="00C36C8F">
              <w:rPr>
                <w:b/>
              </w:rPr>
              <w:t>16</w:t>
            </w:r>
          </w:p>
        </w:tc>
      </w:tr>
    </w:tbl>
    <w:p w:rsidR="00121C5C" w:rsidRPr="00C36C8F" w:rsidRDefault="00121C5C" w:rsidP="00121C5C">
      <w:pPr>
        <w:pStyle w:val="ParaIndent"/>
        <w:spacing w:before="120"/>
        <w:ind w:left="156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09088A" w:rsidRPr="00C36C8F" w:rsidRDefault="0009088A" w:rsidP="003D7CFE">
      <w:pPr>
        <w:pStyle w:val="ParaIndent"/>
        <w:spacing w:before="120"/>
      </w:pPr>
    </w:p>
    <w:p w:rsidR="0009088A" w:rsidRPr="00C36C8F" w:rsidRDefault="00B9555F" w:rsidP="006A1B32">
      <w:pPr>
        <w:pStyle w:val="ParaIndent"/>
        <w:keepNext/>
        <w:spacing w:before="120"/>
        <w:jc w:val="both"/>
      </w:pPr>
      <w:r w:rsidRPr="00C36C8F">
        <w:fldChar w:fldCharType="begin"/>
      </w:r>
      <w:r w:rsidR="004400E9" w:rsidRPr="00C36C8F">
        <w:instrText xml:space="preserve"> REF _Ref300768079 \h </w:instrText>
      </w:r>
      <w:r w:rsidRPr="00C36C8F">
        <w:fldChar w:fldCharType="separate"/>
      </w:r>
      <w:r w:rsidR="00AE7E3B" w:rsidRPr="00C36C8F">
        <w:t xml:space="preserve">Figure </w:t>
      </w:r>
      <w:r w:rsidR="00AE7E3B">
        <w:rPr>
          <w:noProof/>
        </w:rPr>
        <w:t>4</w:t>
      </w:r>
      <w:r w:rsidR="00AE7E3B" w:rsidRPr="00C36C8F">
        <w:t>-</w:t>
      </w:r>
      <w:r w:rsidR="00AE7E3B">
        <w:rPr>
          <w:noProof/>
        </w:rPr>
        <w:t>20</w:t>
      </w:r>
      <w:r w:rsidRPr="00C36C8F">
        <w:fldChar w:fldCharType="end"/>
      </w:r>
      <w:r w:rsidR="00526AFB" w:rsidRPr="00C36C8F">
        <w:t xml:space="preserve"> </w:t>
      </w:r>
      <w:r w:rsidR="0009088A" w:rsidRPr="00C36C8F">
        <w:t>charts waste disposal, recycling and energy recovery, by source sector for WA.</w:t>
      </w:r>
    </w:p>
    <w:tbl>
      <w:tblPr>
        <w:tblW w:w="0" w:type="auto"/>
        <w:tblInd w:w="1134" w:type="dxa"/>
        <w:tblLayout w:type="fixed"/>
        <w:tblCellMar>
          <w:left w:w="0" w:type="dxa"/>
          <w:right w:w="0" w:type="dxa"/>
        </w:tblCellMar>
        <w:tblLook w:val="0000"/>
      </w:tblPr>
      <w:tblGrid>
        <w:gridCol w:w="8505"/>
      </w:tblGrid>
      <w:tr w:rsidR="006F6D79" w:rsidRPr="00C36C8F" w:rsidTr="006F6D79">
        <w:trPr>
          <w:cantSplit/>
          <w:trHeight w:val="3486"/>
        </w:trPr>
        <w:tc>
          <w:tcPr>
            <w:tcW w:w="8505" w:type="dxa"/>
          </w:tcPr>
          <w:p w:rsidR="006F6D79" w:rsidRPr="00C36C8F" w:rsidRDefault="00A11246" w:rsidP="006F6D79">
            <w:pPr>
              <w:pStyle w:val="ParaIndent"/>
              <w:spacing w:before="120"/>
              <w:ind w:left="0"/>
            </w:pPr>
            <w:bookmarkStart w:id="189" w:name="_Toc284316468"/>
            <w:r>
              <w:rPr>
                <w:noProof/>
                <w:lang w:eastAsia="en-AU"/>
              </w:rPr>
              <w:drawing>
                <wp:inline distT="0" distB="0" distL="0" distR="0">
                  <wp:extent cx="1695449" cy="2871789"/>
                  <wp:effectExtent l="0" t="0" r="635" b="508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en-AU"/>
              </w:rPr>
              <w:drawing>
                <wp:inline distT="0" distB="0" distL="0" distR="0">
                  <wp:extent cx="1733550" cy="2905126"/>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en-AU"/>
              </w:rPr>
              <w:drawing>
                <wp:inline distT="0" distB="0" distL="0" distR="0">
                  <wp:extent cx="1809750" cy="2905126"/>
                  <wp:effectExtent l="0" t="0" r="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6F6D79" w:rsidRPr="00C36C8F" w:rsidTr="006F6D79">
        <w:trPr>
          <w:cantSplit/>
        </w:trPr>
        <w:tc>
          <w:tcPr>
            <w:tcW w:w="8505" w:type="dxa"/>
          </w:tcPr>
          <w:p w:rsidR="006F6D79" w:rsidRPr="00C36C8F" w:rsidRDefault="006F6D79" w:rsidP="006F6D79">
            <w:pPr>
              <w:pStyle w:val="Caption"/>
              <w:tabs>
                <w:tab w:val="left" w:pos="7275"/>
              </w:tabs>
            </w:pPr>
            <w:bookmarkStart w:id="190" w:name="_Ref300768079"/>
            <w:r w:rsidRPr="00C36C8F">
              <w:t xml:space="preserve">Figure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Figure \* Arabic </w:instrText>
            </w:r>
            <w:r w:rsidR="00B9555F" w:rsidRPr="00C36C8F">
              <w:fldChar w:fldCharType="separate"/>
            </w:r>
            <w:r w:rsidR="00AE7E3B">
              <w:rPr>
                <w:noProof/>
              </w:rPr>
              <w:t>20</w:t>
            </w:r>
            <w:r w:rsidR="00B9555F" w:rsidRPr="00C36C8F">
              <w:rPr>
                <w:noProof/>
              </w:rPr>
              <w:fldChar w:fldCharType="end"/>
            </w:r>
            <w:bookmarkEnd w:id="190"/>
            <w:r w:rsidRPr="00C36C8F">
              <w:tab/>
            </w:r>
            <w:r w:rsidR="004400E9" w:rsidRPr="00C36C8F">
              <w:t>WA</w:t>
            </w:r>
            <w:r w:rsidRPr="00C36C8F">
              <w:t xml:space="preserve"> waste disposal, recycling and energy recovery, by source sector 2008–09</w:t>
            </w:r>
            <w:r w:rsidR="00C16F94">
              <w:t xml:space="preserve"> subtotals</w:t>
            </w:r>
            <w:r w:rsidR="00AB1315" w:rsidRPr="00C36C8F">
              <w:t>. Units in ‘000 tonnes.</w:t>
            </w:r>
          </w:p>
        </w:tc>
      </w:tr>
    </w:tbl>
    <w:p w:rsidR="0009088A" w:rsidRPr="00C36C8F" w:rsidRDefault="0009088A" w:rsidP="0009088A">
      <w:pPr>
        <w:ind w:left="1134"/>
      </w:pPr>
    </w:p>
    <w:p w:rsidR="0009088A" w:rsidRPr="00C36C8F" w:rsidRDefault="0009088A" w:rsidP="0009088A">
      <w:pPr>
        <w:ind w:left="1134"/>
      </w:pPr>
      <w:r w:rsidRPr="00C36C8F">
        <w:br w:type="page"/>
      </w:r>
    </w:p>
    <w:p w:rsidR="00DE05C7" w:rsidRPr="00C36C8F" w:rsidRDefault="002B6B01" w:rsidP="00DE05C7">
      <w:pPr>
        <w:pStyle w:val="Heading2"/>
      </w:pPr>
      <w:bookmarkStart w:id="191" w:name="_Toc325020110"/>
      <w:bookmarkStart w:id="192" w:name="_Toc305049758"/>
      <w:r w:rsidRPr="00C36C8F">
        <w:t>Tasmania</w:t>
      </w:r>
      <w:r w:rsidR="00DE05C7" w:rsidRPr="00C36C8F">
        <w:t xml:space="preserve"> waste disposal and recovery</w:t>
      </w:r>
      <w:bookmarkEnd w:id="189"/>
      <w:bookmarkEnd w:id="191"/>
      <w:bookmarkEnd w:id="192"/>
    </w:p>
    <w:p w:rsidR="00BE69D2" w:rsidRPr="00C36C8F" w:rsidRDefault="00C87A4A" w:rsidP="006A1B32">
      <w:pPr>
        <w:ind w:left="1134"/>
        <w:jc w:val="both"/>
      </w:pPr>
      <w:r w:rsidRPr="00C36C8F">
        <w:t>Tasmanian disposal, recycling and energy recovery data is for the 2008–09 financial year. The waste disposal composition was estimated by applying compositions derived from disposal-based waste audit</w:t>
      </w:r>
      <w:r w:rsidR="004400E9" w:rsidRPr="00C36C8F">
        <w:t>s</w:t>
      </w:r>
      <w:r w:rsidRPr="00C36C8F">
        <w:t xml:space="preserve"> to landfill data published by EPA Tasmania.</w:t>
      </w:r>
    </w:p>
    <w:p w:rsidR="00DE05C7" w:rsidRPr="00C36C8F" w:rsidRDefault="00B9555F" w:rsidP="006A1B32">
      <w:pPr>
        <w:ind w:left="1134"/>
        <w:jc w:val="both"/>
      </w:pPr>
      <w:fldSimple w:instr=" REF _Ref284592769 \h  \* MERGEFORMAT ">
        <w:r w:rsidR="00AE7E3B" w:rsidRPr="00C36C8F">
          <w:t xml:space="preserve">Table </w:t>
        </w:r>
        <w:r w:rsidR="00AE7E3B">
          <w:rPr>
            <w:noProof/>
          </w:rPr>
          <w:t>4</w:t>
        </w:r>
        <w:r w:rsidR="00AE7E3B" w:rsidRPr="00C36C8F">
          <w:rPr>
            <w:noProof/>
          </w:rPr>
          <w:t>-</w:t>
        </w:r>
        <w:r w:rsidR="00AE7E3B">
          <w:rPr>
            <w:noProof/>
          </w:rPr>
          <w:t>33</w:t>
        </w:r>
      </w:fldSimple>
      <w:r w:rsidR="00DE05C7" w:rsidRPr="00C36C8F">
        <w:t xml:space="preserve"> provides an overview of the sources of the Tasmanian waste disposal and recovery data, upon which the jurisdictional review and national figures for the 2008-09 reporting period are based.</w:t>
      </w:r>
      <w:r w:rsidR="00690F1F" w:rsidRPr="00C36C8F">
        <w:t xml:space="preserve"> </w:t>
      </w:r>
      <w:r w:rsidR="004400E9" w:rsidRPr="00C36C8F">
        <w:t xml:space="preserve">It is understood that </w:t>
      </w:r>
      <w:r w:rsidR="00F20976" w:rsidRPr="00C36C8F">
        <w:t>the development</w:t>
      </w:r>
      <w:r w:rsidR="004400E9" w:rsidRPr="00C36C8F">
        <w:t xml:space="preserve"> of </w:t>
      </w:r>
      <w:r w:rsidR="00F20976" w:rsidRPr="00C36C8F">
        <w:t>more detailed waste composition data</w:t>
      </w:r>
      <w:r w:rsidR="004400E9" w:rsidRPr="00C36C8F">
        <w:t xml:space="preserve"> is planned. It is not known when this </w:t>
      </w:r>
      <w:r w:rsidR="00F20976" w:rsidRPr="00C36C8F">
        <w:t xml:space="preserve">Tasmanian specific data </w:t>
      </w:r>
      <w:r w:rsidR="004400E9" w:rsidRPr="00C36C8F">
        <w:t>will be available.</w:t>
      </w:r>
    </w:p>
    <w:p w:rsidR="00DE05C7" w:rsidRPr="00C36C8F" w:rsidRDefault="00DE05C7" w:rsidP="00DE05C7">
      <w:pPr>
        <w:pStyle w:val="Caption"/>
        <w:tabs>
          <w:tab w:val="left" w:pos="7275"/>
        </w:tabs>
      </w:pPr>
      <w:bookmarkStart w:id="193" w:name="_Ref284592769"/>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33</w:t>
      </w:r>
      <w:r w:rsidR="00B9555F" w:rsidRPr="00C36C8F">
        <w:rPr>
          <w:noProof/>
        </w:rPr>
        <w:fldChar w:fldCharType="end"/>
      </w:r>
      <w:bookmarkEnd w:id="193"/>
      <w:r w:rsidRPr="00C36C8F">
        <w:tab/>
        <w:t>Sources of Tasmanian waste disposal and recovery data</w:t>
      </w:r>
    </w:p>
    <w:tbl>
      <w:tblPr>
        <w:tblW w:w="0" w:type="auto"/>
        <w:tblBorders>
          <w:bottom w:val="single" w:sz="18" w:space="0" w:color="808080"/>
          <w:insideH w:val="single" w:sz="4" w:space="0" w:color="808080"/>
        </w:tblBorders>
        <w:tblCellMar>
          <w:left w:w="0" w:type="dxa"/>
          <w:right w:w="0" w:type="dxa"/>
        </w:tblCellMar>
        <w:tblLook w:val="01E0"/>
      </w:tblPr>
      <w:tblGrid>
        <w:gridCol w:w="1498"/>
        <w:gridCol w:w="3322"/>
        <w:gridCol w:w="4961"/>
      </w:tblGrid>
      <w:tr w:rsidR="005F42EA" w:rsidRPr="00C36C8F" w:rsidTr="00D32085">
        <w:trPr>
          <w:cantSplit/>
          <w:tblHeader/>
        </w:trPr>
        <w:tc>
          <w:tcPr>
            <w:tcW w:w="0" w:type="auto"/>
            <w:shd w:val="clear" w:color="auto" w:fill="auto"/>
            <w:tcMar>
              <w:right w:w="142" w:type="dxa"/>
            </w:tcMar>
          </w:tcPr>
          <w:p w:rsidR="005F42EA" w:rsidRPr="00C36C8F" w:rsidRDefault="005F42EA" w:rsidP="005F42EA">
            <w:pPr>
              <w:pStyle w:val="TableHeading"/>
              <w:rPr>
                <w:kern w:val="28"/>
              </w:rPr>
            </w:pPr>
            <w:r w:rsidRPr="00C36C8F">
              <w:rPr>
                <w:kern w:val="28"/>
              </w:rPr>
              <w:t>Data field</w:t>
            </w:r>
          </w:p>
        </w:tc>
        <w:tc>
          <w:tcPr>
            <w:tcW w:w="3322" w:type="dxa"/>
            <w:shd w:val="clear" w:color="auto" w:fill="auto"/>
            <w:tcMar>
              <w:right w:w="142" w:type="dxa"/>
            </w:tcMar>
          </w:tcPr>
          <w:p w:rsidR="005F42EA" w:rsidRPr="00C36C8F" w:rsidRDefault="005F42EA" w:rsidP="005F42EA">
            <w:pPr>
              <w:pStyle w:val="TableHeading"/>
              <w:rPr>
                <w:kern w:val="28"/>
              </w:rPr>
            </w:pPr>
            <w:r w:rsidRPr="00C36C8F">
              <w:rPr>
                <w:kern w:val="28"/>
              </w:rPr>
              <w:t>Source</w:t>
            </w:r>
          </w:p>
        </w:tc>
        <w:tc>
          <w:tcPr>
            <w:tcW w:w="4961" w:type="dxa"/>
            <w:tcMar>
              <w:right w:w="142" w:type="dxa"/>
            </w:tcMar>
          </w:tcPr>
          <w:p w:rsidR="005F42EA" w:rsidRPr="00C36C8F" w:rsidRDefault="005F42EA" w:rsidP="005F42EA">
            <w:pPr>
              <w:pStyle w:val="TableHeading"/>
              <w:rPr>
                <w:kern w:val="28"/>
              </w:rPr>
            </w:pPr>
            <w:r w:rsidRPr="00C36C8F">
              <w:rPr>
                <w:kern w:val="28"/>
              </w:rPr>
              <w:t>Data collation assumptions &amp; calculation methods</w:t>
            </w:r>
          </w:p>
        </w:tc>
      </w:tr>
      <w:tr w:rsidR="005F42EA" w:rsidRPr="00C36C8F" w:rsidTr="00D32085">
        <w:tblPrEx>
          <w:tblBorders>
            <w:bottom w:val="none" w:sz="0" w:space="0" w:color="auto"/>
            <w:insideH w:val="none" w:sz="0" w:space="0" w:color="auto"/>
          </w:tblBorders>
          <w:tblCellMar>
            <w:left w:w="108" w:type="dxa"/>
            <w:right w:w="108" w:type="dxa"/>
          </w:tblCellMar>
          <w:tblLook w:val="04A0"/>
        </w:tblPrEx>
        <w:trPr>
          <w:cantSplit/>
          <w:trHeight w:val="735"/>
        </w:trPr>
        <w:tc>
          <w:tcPr>
            <w:tcW w:w="0" w:type="auto"/>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Population data</w:t>
            </w:r>
          </w:p>
        </w:tc>
        <w:tc>
          <w:tcPr>
            <w:tcW w:w="3322"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 xml:space="preserve">Australian Bureau of Statistics, ABS Release 3101.04 – </w:t>
            </w:r>
            <w:r w:rsidRPr="000B315F">
              <w:rPr>
                <w:i/>
                <w:sz w:val="18"/>
              </w:rPr>
              <w:t>Estimated Resident Population, States and Territories (Number)</w:t>
            </w:r>
            <w:r w:rsidRPr="000B315F">
              <w:rPr>
                <w:sz w:val="18"/>
              </w:rPr>
              <w:t>, June 2009, Canberra, Australia.</w:t>
            </w:r>
          </w:p>
        </w:tc>
        <w:tc>
          <w:tcPr>
            <w:tcW w:w="4961"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None.</w:t>
            </w:r>
          </w:p>
        </w:tc>
      </w:tr>
      <w:tr w:rsidR="005F42EA" w:rsidRPr="00C36C8F" w:rsidTr="00D32085">
        <w:tblPrEx>
          <w:tblBorders>
            <w:bottom w:val="none" w:sz="0" w:space="0" w:color="auto"/>
            <w:insideH w:val="none" w:sz="0" w:space="0" w:color="auto"/>
          </w:tblBorders>
          <w:tblCellMar>
            <w:left w:w="108" w:type="dxa"/>
            <w:right w:w="108" w:type="dxa"/>
          </w:tblCellMar>
          <w:tblLook w:val="04A0"/>
        </w:tblPrEx>
        <w:trPr>
          <w:cantSplit/>
          <w:trHeight w:val="1935"/>
        </w:trPr>
        <w:tc>
          <w:tcPr>
            <w:tcW w:w="0" w:type="auto"/>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Disposal to landfill - total quantity</w:t>
            </w:r>
          </w:p>
        </w:tc>
        <w:tc>
          <w:tcPr>
            <w:tcW w:w="3322"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 xml:space="preserve">1. Environment Protection Authority (Tasmania), </w:t>
            </w:r>
            <w:r w:rsidRPr="000B315F">
              <w:rPr>
                <w:i/>
                <w:sz w:val="18"/>
              </w:rPr>
              <w:t>Annual Report 2008-09</w:t>
            </w:r>
            <w:r w:rsidRPr="000B315F">
              <w:rPr>
                <w:sz w:val="18"/>
              </w:rPr>
              <w:t>, October 2009.</w:t>
            </w:r>
            <w:r w:rsidRPr="000B315F">
              <w:rPr>
                <w:sz w:val="18"/>
              </w:rPr>
              <w:br/>
              <w:t>2. Energy recovery estimates - various sources [Clean Energy Council (2010); Golder (2009); Green Energy Markets for Energy Developments (2008)].</w:t>
            </w:r>
          </w:p>
        </w:tc>
        <w:tc>
          <w:tcPr>
            <w:tcW w:w="4961"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1. Total disposal to landfill data for Tasmania during 2008</w:t>
            </w:r>
            <w:r w:rsidR="006A40B2" w:rsidRPr="000B315F">
              <w:rPr>
                <w:sz w:val="18"/>
              </w:rPr>
              <w:t>–</w:t>
            </w:r>
            <w:r w:rsidRPr="000B315F">
              <w:rPr>
                <w:sz w:val="18"/>
              </w:rPr>
              <w:t>09 was primarily based upon data sourced from EPA Tas (2009).</w:t>
            </w:r>
            <w:r w:rsidRPr="000B315F">
              <w:rPr>
                <w:sz w:val="18"/>
              </w:rPr>
              <w:br/>
              <w:t>2. An exception to point 1 above was the relatively small quantity of organic material recovered through energy recovery, which was subtracted from Tasmanian disposal to landfill in 2008</w:t>
            </w:r>
            <w:r w:rsidR="006A40B2" w:rsidRPr="000B315F">
              <w:rPr>
                <w:sz w:val="18"/>
              </w:rPr>
              <w:t>–</w:t>
            </w:r>
            <w:r w:rsidRPr="000B315F">
              <w:rPr>
                <w:sz w:val="18"/>
              </w:rPr>
              <w:t>09. See Section 3.1 (Recommendation 6) for a detailed outline of the method applied to determine the total quantity of waste recovered through energy recovery processes.</w:t>
            </w:r>
          </w:p>
        </w:tc>
      </w:tr>
      <w:tr w:rsidR="005F42EA" w:rsidRPr="00C36C8F" w:rsidTr="00D32085">
        <w:tblPrEx>
          <w:tblBorders>
            <w:bottom w:val="none" w:sz="0" w:space="0" w:color="auto"/>
            <w:insideH w:val="none" w:sz="0" w:space="0" w:color="auto"/>
          </w:tblBorders>
          <w:tblCellMar>
            <w:left w:w="108" w:type="dxa"/>
            <w:right w:w="108" w:type="dxa"/>
          </w:tblCellMar>
          <w:tblLook w:val="04A0"/>
        </w:tblPrEx>
        <w:trPr>
          <w:cantSplit/>
          <w:trHeight w:val="495"/>
        </w:trPr>
        <w:tc>
          <w:tcPr>
            <w:tcW w:w="0" w:type="auto"/>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Recycling - total quantity</w:t>
            </w:r>
          </w:p>
        </w:tc>
        <w:tc>
          <w:tcPr>
            <w:tcW w:w="3322"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 xml:space="preserve">1. Environment Protection Authority (Tasmania), </w:t>
            </w:r>
            <w:r w:rsidRPr="000B315F">
              <w:rPr>
                <w:i/>
                <w:sz w:val="18"/>
              </w:rPr>
              <w:t>Annual Report 2008</w:t>
            </w:r>
            <w:r w:rsidR="006A40B2" w:rsidRPr="000B315F">
              <w:rPr>
                <w:i/>
                <w:sz w:val="18"/>
              </w:rPr>
              <w:t>–</w:t>
            </w:r>
            <w:r w:rsidRPr="000B315F">
              <w:rPr>
                <w:i/>
                <w:sz w:val="18"/>
              </w:rPr>
              <w:t>09</w:t>
            </w:r>
            <w:r w:rsidRPr="000B315F">
              <w:rPr>
                <w:sz w:val="18"/>
              </w:rPr>
              <w:t>, October 2009.</w:t>
            </w:r>
          </w:p>
        </w:tc>
        <w:tc>
          <w:tcPr>
            <w:tcW w:w="4961"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1. Total recycling data for Tasmania during 2008</w:t>
            </w:r>
            <w:r w:rsidR="006A40B2" w:rsidRPr="000B315F">
              <w:rPr>
                <w:sz w:val="18"/>
              </w:rPr>
              <w:t>–</w:t>
            </w:r>
            <w:r w:rsidRPr="000B315F">
              <w:rPr>
                <w:sz w:val="18"/>
              </w:rPr>
              <w:t>09 was sourced from EPA Tas (2009).</w:t>
            </w:r>
          </w:p>
        </w:tc>
      </w:tr>
      <w:tr w:rsidR="005F42EA" w:rsidRPr="00C36C8F" w:rsidTr="00D32085">
        <w:tblPrEx>
          <w:tblBorders>
            <w:bottom w:val="none" w:sz="0" w:space="0" w:color="auto"/>
            <w:insideH w:val="none" w:sz="0" w:space="0" w:color="auto"/>
          </w:tblBorders>
          <w:tblCellMar>
            <w:left w:w="108" w:type="dxa"/>
            <w:right w:w="108" w:type="dxa"/>
          </w:tblCellMar>
          <w:tblLook w:val="04A0"/>
        </w:tblPrEx>
        <w:trPr>
          <w:cantSplit/>
          <w:trHeight w:val="1215"/>
        </w:trPr>
        <w:tc>
          <w:tcPr>
            <w:tcW w:w="0" w:type="auto"/>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Energy recovery - total quantity</w:t>
            </w:r>
          </w:p>
        </w:tc>
        <w:tc>
          <w:tcPr>
            <w:tcW w:w="3322"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1. Landfill energy recovery estimates - various sources [Clean Energy Council (2010); Golder (2009); Green Energy Markets for Energy Developments (2008)].</w:t>
            </w:r>
          </w:p>
        </w:tc>
        <w:tc>
          <w:tcPr>
            <w:tcW w:w="4961"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1. The total quantity of waste recovered through energy recovery processes was calculated using the method outlined in detail in Section 3.1 (Recommendation 6). All energy recovery in Tasmania during 2008</w:t>
            </w:r>
            <w:r w:rsidR="006A40B2" w:rsidRPr="000B315F">
              <w:rPr>
                <w:sz w:val="18"/>
              </w:rPr>
              <w:t>–</w:t>
            </w:r>
            <w:r w:rsidRPr="000B315F">
              <w:rPr>
                <w:sz w:val="18"/>
              </w:rPr>
              <w:t>09 was through methane capture at landfills and sewage treatment plants.</w:t>
            </w:r>
          </w:p>
        </w:tc>
      </w:tr>
      <w:tr w:rsidR="005F42EA" w:rsidRPr="00C36C8F" w:rsidTr="00D32085">
        <w:tblPrEx>
          <w:tblBorders>
            <w:bottom w:val="none" w:sz="0" w:space="0" w:color="auto"/>
            <w:insideH w:val="none" w:sz="0" w:space="0" w:color="auto"/>
          </w:tblBorders>
          <w:tblCellMar>
            <w:left w:w="108" w:type="dxa"/>
            <w:right w:w="108" w:type="dxa"/>
          </w:tblCellMar>
          <w:tblLook w:val="04A0"/>
        </w:tblPrEx>
        <w:trPr>
          <w:cantSplit/>
          <w:trHeight w:val="495"/>
        </w:trPr>
        <w:tc>
          <w:tcPr>
            <w:tcW w:w="0" w:type="auto"/>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Disposal to landfill - waste stream splits</w:t>
            </w:r>
          </w:p>
        </w:tc>
        <w:tc>
          <w:tcPr>
            <w:tcW w:w="3322" w:type="dxa"/>
            <w:tcBorders>
              <w:top w:val="nil"/>
              <w:left w:val="nil"/>
              <w:bottom w:val="single" w:sz="8" w:space="0" w:color="808080"/>
              <w:right w:val="nil"/>
            </w:tcBorders>
            <w:shd w:val="clear" w:color="auto" w:fill="auto"/>
            <w:tcMar>
              <w:right w:w="142" w:type="dxa"/>
            </w:tcMar>
            <w:hideMark/>
          </w:tcPr>
          <w:p w:rsidR="005F42EA" w:rsidRPr="000B315F" w:rsidRDefault="005F42EA" w:rsidP="006A40B2">
            <w:pPr>
              <w:spacing w:after="0" w:line="240" w:lineRule="auto"/>
              <w:ind w:left="0"/>
              <w:rPr>
                <w:sz w:val="18"/>
              </w:rPr>
            </w:pPr>
            <w:r w:rsidRPr="000B315F">
              <w:rPr>
                <w:sz w:val="18"/>
              </w:rPr>
              <w:t xml:space="preserve">1. Environment Protection Authority (Tasmania), </w:t>
            </w:r>
            <w:r w:rsidRPr="000B315F">
              <w:rPr>
                <w:i/>
                <w:sz w:val="18"/>
              </w:rPr>
              <w:t>Annual Report 2008</w:t>
            </w:r>
            <w:r w:rsidR="006A40B2" w:rsidRPr="000B315F">
              <w:rPr>
                <w:i/>
                <w:sz w:val="18"/>
              </w:rPr>
              <w:t>–</w:t>
            </w:r>
            <w:r w:rsidRPr="000B315F">
              <w:rPr>
                <w:i/>
                <w:sz w:val="18"/>
              </w:rPr>
              <w:t>09</w:t>
            </w:r>
            <w:r w:rsidRPr="000B315F">
              <w:rPr>
                <w:sz w:val="18"/>
              </w:rPr>
              <w:t>, October 2009.</w:t>
            </w:r>
          </w:p>
        </w:tc>
        <w:tc>
          <w:tcPr>
            <w:tcW w:w="4961"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1. Disposal to landfill by waste stream data for Tasmania during 2008</w:t>
            </w:r>
            <w:r w:rsidR="006A40B2" w:rsidRPr="000B315F">
              <w:rPr>
                <w:sz w:val="18"/>
              </w:rPr>
              <w:t>–</w:t>
            </w:r>
            <w:r w:rsidRPr="000B315F">
              <w:rPr>
                <w:sz w:val="18"/>
              </w:rPr>
              <w:t>09 was based upon data sourced from EPA Tas (2009).</w:t>
            </w:r>
          </w:p>
        </w:tc>
      </w:tr>
      <w:tr w:rsidR="005F42EA" w:rsidRPr="00C36C8F" w:rsidTr="00D32085">
        <w:tblPrEx>
          <w:tblBorders>
            <w:bottom w:val="none" w:sz="0" w:space="0" w:color="auto"/>
            <w:insideH w:val="none" w:sz="0" w:space="0" w:color="auto"/>
          </w:tblBorders>
          <w:tblCellMar>
            <w:left w:w="108" w:type="dxa"/>
            <w:right w:w="108" w:type="dxa"/>
          </w:tblCellMar>
          <w:tblLook w:val="04A0"/>
        </w:tblPrEx>
        <w:trPr>
          <w:cantSplit/>
          <w:trHeight w:val="495"/>
        </w:trPr>
        <w:tc>
          <w:tcPr>
            <w:tcW w:w="0" w:type="auto"/>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Recycling - waste stream splits</w:t>
            </w:r>
          </w:p>
        </w:tc>
        <w:tc>
          <w:tcPr>
            <w:tcW w:w="3322"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 xml:space="preserve">1. Environment Protection Authority (Tasmania), </w:t>
            </w:r>
            <w:r w:rsidRPr="000B315F">
              <w:rPr>
                <w:i/>
                <w:sz w:val="18"/>
              </w:rPr>
              <w:t>Annual Report 2008</w:t>
            </w:r>
            <w:r w:rsidR="006A40B2" w:rsidRPr="000B315F">
              <w:rPr>
                <w:i/>
                <w:sz w:val="18"/>
              </w:rPr>
              <w:t>–</w:t>
            </w:r>
            <w:r w:rsidRPr="000B315F">
              <w:rPr>
                <w:i/>
                <w:sz w:val="18"/>
              </w:rPr>
              <w:t>09</w:t>
            </w:r>
            <w:r w:rsidRPr="000B315F">
              <w:rPr>
                <w:sz w:val="18"/>
              </w:rPr>
              <w:t>, October 2009.</w:t>
            </w:r>
          </w:p>
        </w:tc>
        <w:tc>
          <w:tcPr>
            <w:tcW w:w="4961"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1. Recycling by waste stream data for Tasmania during 2008</w:t>
            </w:r>
            <w:r w:rsidR="006A40B2" w:rsidRPr="000B315F">
              <w:rPr>
                <w:sz w:val="18"/>
              </w:rPr>
              <w:t>–</w:t>
            </w:r>
            <w:r w:rsidRPr="000B315F">
              <w:rPr>
                <w:sz w:val="18"/>
              </w:rPr>
              <w:t>09 was based upon data sourced from EPA Tas (2009).</w:t>
            </w:r>
          </w:p>
        </w:tc>
      </w:tr>
      <w:tr w:rsidR="005F42EA" w:rsidRPr="00C36C8F" w:rsidTr="00D32085">
        <w:tblPrEx>
          <w:tblBorders>
            <w:bottom w:val="none" w:sz="0" w:space="0" w:color="auto"/>
            <w:insideH w:val="none" w:sz="0" w:space="0" w:color="auto"/>
          </w:tblBorders>
          <w:tblCellMar>
            <w:left w:w="108" w:type="dxa"/>
            <w:right w:w="108" w:type="dxa"/>
          </w:tblCellMar>
          <w:tblLook w:val="04A0"/>
        </w:tblPrEx>
        <w:trPr>
          <w:cantSplit/>
          <w:trHeight w:val="735"/>
        </w:trPr>
        <w:tc>
          <w:tcPr>
            <w:tcW w:w="0" w:type="auto"/>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Energy recovery - waste stream splits</w:t>
            </w:r>
          </w:p>
        </w:tc>
        <w:tc>
          <w:tcPr>
            <w:tcW w:w="3322"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1. Landfill energy recovery estimates - various sources [Clean Energy Council (2010); Golder (2009); Green Energy Markets for Energy Developments (2008)].</w:t>
            </w:r>
          </w:p>
        </w:tc>
        <w:tc>
          <w:tcPr>
            <w:tcW w:w="4961" w:type="dxa"/>
            <w:tcBorders>
              <w:top w:val="nil"/>
              <w:left w:val="nil"/>
              <w:bottom w:val="single" w:sz="8" w:space="0" w:color="808080"/>
              <w:right w:val="nil"/>
            </w:tcBorders>
            <w:shd w:val="clear" w:color="auto" w:fill="auto"/>
            <w:tcMar>
              <w:right w:w="142" w:type="dxa"/>
            </w:tcMar>
            <w:hideMark/>
          </w:tcPr>
          <w:p w:rsidR="005F42EA" w:rsidRPr="000B315F" w:rsidRDefault="005F42EA" w:rsidP="005F42EA">
            <w:pPr>
              <w:spacing w:after="0" w:line="240" w:lineRule="auto"/>
              <w:ind w:left="0"/>
              <w:rPr>
                <w:sz w:val="18"/>
              </w:rPr>
            </w:pPr>
            <w:r w:rsidRPr="000B315F">
              <w:rPr>
                <w:sz w:val="18"/>
              </w:rPr>
              <w:t>1. Energy recovery by waste stream was calculated using the data sources identified here and the method outlined in detail in Section 3.1 (Recommendation 6).</w:t>
            </w:r>
          </w:p>
        </w:tc>
      </w:tr>
      <w:tr w:rsidR="005F42EA" w:rsidRPr="00C36C8F" w:rsidTr="00D32085">
        <w:trPr>
          <w:cantSplit/>
          <w:trHeight w:val="5295"/>
        </w:trPr>
        <w:tc>
          <w:tcPr>
            <w:tcW w:w="0" w:type="auto"/>
            <w:tcBorders>
              <w:top w:val="single" w:sz="8" w:space="0" w:color="808080"/>
            </w:tcBorders>
            <w:tcMar>
              <w:right w:w="142" w:type="dxa"/>
            </w:tcMar>
            <w:hideMark/>
          </w:tcPr>
          <w:p w:rsidR="005F42EA" w:rsidRPr="000B315F" w:rsidRDefault="005F42EA" w:rsidP="005F42EA">
            <w:pPr>
              <w:spacing w:after="0" w:line="240" w:lineRule="auto"/>
              <w:ind w:left="0"/>
              <w:rPr>
                <w:sz w:val="18"/>
              </w:rPr>
            </w:pPr>
            <w:r w:rsidRPr="000B315F">
              <w:rPr>
                <w:sz w:val="18"/>
              </w:rPr>
              <w:t>Disposal to landfill - material splits</w:t>
            </w:r>
          </w:p>
        </w:tc>
        <w:tc>
          <w:tcPr>
            <w:tcW w:w="3322" w:type="dxa"/>
            <w:tcBorders>
              <w:top w:val="single" w:sz="8" w:space="0" w:color="808080"/>
            </w:tcBorders>
            <w:tcMar>
              <w:right w:w="142" w:type="dxa"/>
            </w:tcMar>
            <w:hideMark/>
          </w:tcPr>
          <w:p w:rsidR="005F42EA" w:rsidRPr="000B315F" w:rsidRDefault="005F42EA" w:rsidP="005F42EA">
            <w:pPr>
              <w:spacing w:after="0" w:line="240" w:lineRule="auto"/>
              <w:ind w:left="0"/>
              <w:rPr>
                <w:sz w:val="18"/>
              </w:rPr>
            </w:pPr>
            <w:r w:rsidRPr="000B315F">
              <w:rPr>
                <w:sz w:val="18"/>
              </w:rPr>
              <w:t xml:space="preserve">1. Environment Protection Authority (Tasmania), </w:t>
            </w:r>
            <w:r w:rsidRPr="000B315F">
              <w:rPr>
                <w:i/>
                <w:sz w:val="18"/>
              </w:rPr>
              <w:t>Annual Report 2008</w:t>
            </w:r>
            <w:r w:rsidR="006A40B2" w:rsidRPr="000B315F">
              <w:rPr>
                <w:sz w:val="18"/>
              </w:rPr>
              <w:t>–</w:t>
            </w:r>
            <w:r w:rsidRPr="000B315F">
              <w:rPr>
                <w:i/>
                <w:sz w:val="18"/>
              </w:rPr>
              <w:t>09</w:t>
            </w:r>
            <w:r w:rsidRPr="000B315F">
              <w:rPr>
                <w:sz w:val="18"/>
              </w:rPr>
              <w:t>, October 2009.</w:t>
            </w:r>
            <w:r w:rsidRPr="000B315F">
              <w:rPr>
                <w:sz w:val="18"/>
              </w:rPr>
              <w:br/>
              <w:t>2. Various MSW waste audits [APC (2007); DECC (2004); Hyder (2008); Murdoch (1999); WACS and Golder (2005); ZWSA (2007)].</w:t>
            </w:r>
            <w:r w:rsidRPr="000B315F">
              <w:rPr>
                <w:sz w:val="18"/>
              </w:rPr>
              <w:br/>
              <w:t>3. Various C&amp;I waste audits [DEC NSW (2003); Golder and WACS (2007); WACS and Golder (2005); ZWSA (2007)].</w:t>
            </w:r>
            <w:r w:rsidRPr="000B315F">
              <w:rPr>
                <w:sz w:val="18"/>
              </w:rPr>
              <w:br/>
              <w:t>4. Various C&amp;D waste audits [DECC (2007); Golder and WACS (2007); WACS and Golder (2005); ZWSA (2007)].</w:t>
            </w:r>
          </w:p>
        </w:tc>
        <w:tc>
          <w:tcPr>
            <w:tcW w:w="4961" w:type="dxa"/>
            <w:tcBorders>
              <w:top w:val="single" w:sz="8" w:space="0" w:color="808080"/>
            </w:tcBorders>
            <w:tcMar>
              <w:right w:w="142" w:type="dxa"/>
            </w:tcMar>
            <w:hideMark/>
          </w:tcPr>
          <w:p w:rsidR="005F42EA" w:rsidRPr="000B315F" w:rsidRDefault="005F42EA" w:rsidP="006A40B2">
            <w:pPr>
              <w:spacing w:after="0" w:line="240" w:lineRule="auto"/>
              <w:ind w:left="0"/>
              <w:rPr>
                <w:sz w:val="18"/>
              </w:rPr>
            </w:pPr>
            <w:r w:rsidRPr="000B315F">
              <w:rPr>
                <w:sz w:val="18"/>
              </w:rPr>
              <w:t>1. The material splits for disposal to landfill in Tasmania during 2008</w:t>
            </w:r>
            <w:r w:rsidR="006A40B2" w:rsidRPr="000B315F">
              <w:rPr>
                <w:sz w:val="18"/>
              </w:rPr>
              <w:t>–</w:t>
            </w:r>
            <w:r w:rsidRPr="000B315F">
              <w:rPr>
                <w:sz w:val="18"/>
              </w:rPr>
              <w:t xml:space="preserve">09 were calculated separately for each waste stream (MSW, C&amp;I and C&amp;D), using the waste stream split quantifications determined as previously outlined. The estimated material quantities for each waste stream were calculated using the available audit data (described in points 2 to 4 immediately below), which were then aggregated to calculate disposal to landfill, by material type, for the </w:t>
            </w:r>
            <w:r w:rsidR="008E0001" w:rsidRPr="00C36C8F">
              <w:rPr>
                <w:rFonts w:cs="Arial"/>
                <w:sz w:val="18"/>
                <w:szCs w:val="18"/>
              </w:rPr>
              <w:t>jurisdiction</w:t>
            </w:r>
            <w:r w:rsidRPr="00C36C8F">
              <w:rPr>
                <w:rFonts w:cs="Arial"/>
                <w:sz w:val="18"/>
                <w:szCs w:val="18"/>
              </w:rPr>
              <w:t>.</w:t>
            </w:r>
            <w:r w:rsidRPr="000B315F">
              <w:rPr>
                <w:sz w:val="18"/>
              </w:rPr>
              <w:br/>
              <w:t>2. The material splits for the MSW waste stream were estimated based on the available large-scale MSW audit data. The available MSW audit data was weighted against the size of the audits that were undertaken, and then aggregated to generate default (average) material splits in percentage terms.</w:t>
            </w:r>
            <w:r w:rsidRPr="000B315F">
              <w:rPr>
                <w:sz w:val="18"/>
              </w:rPr>
              <w:br/>
              <w:t>3. The material splits for the C&amp;I waste stream were estimated based on the available large-scale C&amp;I audit data. The available C&amp;I audit data was weighted against the size of the audits that were undertaken, and then aggregated to generate default (average) material splits in percentage terms.</w:t>
            </w:r>
            <w:r w:rsidRPr="000B315F">
              <w:rPr>
                <w:sz w:val="18"/>
              </w:rPr>
              <w:br/>
              <w:t>4. The material splits for the C&amp;D waste stream were estimated based on the available large-scale C&amp;D audit data. The available C&amp;D audit data was weighted against the size of the audits that were undertaken, and then aggregated to generate default (average) material splits in percentage terms.</w:t>
            </w:r>
          </w:p>
        </w:tc>
      </w:tr>
      <w:tr w:rsidR="005F42EA" w:rsidRPr="00C36C8F" w:rsidTr="00D32085">
        <w:tblPrEx>
          <w:tblBorders>
            <w:bottom w:val="none" w:sz="0" w:space="0" w:color="auto"/>
            <w:insideH w:val="none" w:sz="0" w:space="0" w:color="auto"/>
          </w:tblBorders>
          <w:tblCellMar>
            <w:left w:w="108" w:type="dxa"/>
            <w:right w:w="108" w:type="dxa"/>
          </w:tblCellMar>
          <w:tblLook w:val="04A0"/>
        </w:tblPrEx>
        <w:trPr>
          <w:cantSplit/>
          <w:trHeight w:val="495"/>
        </w:trPr>
        <w:tc>
          <w:tcPr>
            <w:tcW w:w="0" w:type="auto"/>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Recycling - material splits</w:t>
            </w:r>
          </w:p>
        </w:tc>
        <w:tc>
          <w:tcPr>
            <w:tcW w:w="3322" w:type="dxa"/>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46"/>
              <w:rPr>
                <w:sz w:val="18"/>
              </w:rPr>
            </w:pPr>
            <w:r w:rsidRPr="000B315F">
              <w:rPr>
                <w:sz w:val="18"/>
              </w:rPr>
              <w:t xml:space="preserve">1. Environment Protection Authority (Tasmania), </w:t>
            </w:r>
            <w:r w:rsidRPr="000B315F">
              <w:rPr>
                <w:i/>
                <w:sz w:val="18"/>
              </w:rPr>
              <w:t>Annual Report 2008</w:t>
            </w:r>
            <w:r w:rsidR="006A40B2" w:rsidRPr="000B315F">
              <w:rPr>
                <w:i/>
                <w:sz w:val="18"/>
              </w:rPr>
              <w:t>–</w:t>
            </w:r>
            <w:r w:rsidRPr="000B315F">
              <w:rPr>
                <w:i/>
                <w:sz w:val="18"/>
              </w:rPr>
              <w:t>09</w:t>
            </w:r>
            <w:r w:rsidRPr="000B315F">
              <w:rPr>
                <w:sz w:val="18"/>
              </w:rPr>
              <w:t>, October 2009.</w:t>
            </w:r>
          </w:p>
        </w:tc>
        <w:tc>
          <w:tcPr>
            <w:tcW w:w="4961" w:type="dxa"/>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1. Recycling data by material type for Tasmania during 2008</w:t>
            </w:r>
            <w:r w:rsidR="006A40B2" w:rsidRPr="000B315F">
              <w:rPr>
                <w:sz w:val="18"/>
              </w:rPr>
              <w:t>–</w:t>
            </w:r>
            <w:r w:rsidRPr="000B315F">
              <w:rPr>
                <w:sz w:val="18"/>
              </w:rPr>
              <w:t>09 was based upon data sourced from EPA Tas (2009).</w:t>
            </w:r>
          </w:p>
        </w:tc>
      </w:tr>
      <w:tr w:rsidR="005F42EA" w:rsidRPr="00C36C8F" w:rsidTr="00D32085">
        <w:tblPrEx>
          <w:tblBorders>
            <w:bottom w:val="none" w:sz="0" w:space="0" w:color="auto"/>
            <w:insideH w:val="none" w:sz="0" w:space="0" w:color="auto"/>
          </w:tblBorders>
          <w:tblCellMar>
            <w:left w:w="108" w:type="dxa"/>
            <w:right w:w="108" w:type="dxa"/>
          </w:tblCellMar>
          <w:tblLook w:val="04A0"/>
        </w:tblPrEx>
        <w:trPr>
          <w:cantSplit/>
          <w:trHeight w:val="270"/>
        </w:trPr>
        <w:tc>
          <w:tcPr>
            <w:tcW w:w="0" w:type="auto"/>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Energy recovery - material splits</w:t>
            </w:r>
          </w:p>
        </w:tc>
        <w:tc>
          <w:tcPr>
            <w:tcW w:w="3322" w:type="dxa"/>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46"/>
              <w:rPr>
                <w:sz w:val="18"/>
              </w:rPr>
            </w:pPr>
            <w:r w:rsidRPr="000B315F">
              <w:rPr>
                <w:sz w:val="18"/>
              </w:rPr>
              <w:t>See sources against "Energy recovery - total quantity" above.</w:t>
            </w:r>
          </w:p>
        </w:tc>
        <w:tc>
          <w:tcPr>
            <w:tcW w:w="4961" w:type="dxa"/>
            <w:tcBorders>
              <w:top w:val="nil"/>
              <w:left w:val="nil"/>
              <w:bottom w:val="single" w:sz="8" w:space="0" w:color="808080"/>
              <w:right w:val="nil"/>
            </w:tcBorders>
            <w:shd w:val="clear" w:color="auto" w:fill="auto"/>
            <w:tcMar>
              <w:right w:w="142" w:type="dxa"/>
            </w:tcMar>
            <w:hideMark/>
          </w:tcPr>
          <w:p w:rsidR="005F42EA" w:rsidRPr="000B315F" w:rsidRDefault="005F42EA" w:rsidP="00D32085">
            <w:pPr>
              <w:spacing w:after="0" w:line="240" w:lineRule="auto"/>
              <w:ind w:left="-108"/>
              <w:rPr>
                <w:sz w:val="18"/>
              </w:rPr>
            </w:pPr>
            <w:r w:rsidRPr="000B315F">
              <w:rPr>
                <w:sz w:val="18"/>
              </w:rPr>
              <w:t>See comments against "Energy recovery - total quantity" above.</w:t>
            </w:r>
          </w:p>
        </w:tc>
      </w:tr>
    </w:tbl>
    <w:p w:rsidR="00DE05C7" w:rsidRPr="00C36C8F" w:rsidRDefault="00B9555F" w:rsidP="006A1B32">
      <w:pPr>
        <w:pStyle w:val="ParaIndent"/>
        <w:keepNext/>
        <w:spacing w:before="120"/>
        <w:jc w:val="both"/>
      </w:pPr>
      <w:r w:rsidRPr="00C36C8F">
        <w:fldChar w:fldCharType="begin"/>
      </w:r>
      <w:r w:rsidR="00F20976" w:rsidRPr="00C36C8F">
        <w:instrText xml:space="preserve"> REF _Ref300768516 \h </w:instrText>
      </w:r>
      <w:r w:rsidRPr="00C36C8F">
        <w:fldChar w:fldCharType="separate"/>
      </w:r>
      <w:r w:rsidR="00AE7E3B" w:rsidRPr="00C36C8F">
        <w:t xml:space="preserve">Figure </w:t>
      </w:r>
      <w:r w:rsidR="00AE7E3B">
        <w:rPr>
          <w:noProof/>
        </w:rPr>
        <w:t>4</w:t>
      </w:r>
      <w:r w:rsidR="00AE7E3B" w:rsidRPr="00C36C8F">
        <w:t>-</w:t>
      </w:r>
      <w:r w:rsidR="00AE7E3B">
        <w:rPr>
          <w:noProof/>
        </w:rPr>
        <w:t>21</w:t>
      </w:r>
      <w:r w:rsidRPr="00C36C8F">
        <w:fldChar w:fldCharType="end"/>
      </w:r>
      <w:r w:rsidR="00526AFB" w:rsidRPr="00C36C8F">
        <w:t xml:space="preserve"> c</w:t>
      </w:r>
      <w:r w:rsidR="00DE05C7" w:rsidRPr="00C36C8F">
        <w:t>h</w:t>
      </w:r>
      <w:r w:rsidR="00313465" w:rsidRPr="00C36C8F">
        <w:t>arts Tasmanian waste</w:t>
      </w:r>
      <w:r w:rsidR="00DE05C7" w:rsidRPr="00C36C8F">
        <w:t xml:space="preserve"> dispo</w:t>
      </w:r>
      <w:r w:rsidR="00464B8A" w:rsidRPr="00C36C8F">
        <w:t>sal, recyclin</w:t>
      </w:r>
      <w:r w:rsidR="00F95954" w:rsidRPr="00C36C8F">
        <w:t xml:space="preserve">g </w:t>
      </w:r>
      <w:r w:rsidR="00313465" w:rsidRPr="00C36C8F">
        <w:t xml:space="preserve">and </w:t>
      </w:r>
      <w:r w:rsidR="00F95954" w:rsidRPr="00C36C8F">
        <w:t xml:space="preserve">energy recovery for the years </w:t>
      </w:r>
      <w:r w:rsidR="00464B8A" w:rsidRPr="00C36C8F">
        <w:t>2006–</w:t>
      </w:r>
      <w:r w:rsidR="00F95954" w:rsidRPr="00C36C8F">
        <w:t>07 and 2008–09. Data for</w:t>
      </w:r>
      <w:r w:rsidR="00464B8A" w:rsidRPr="00C36C8F">
        <w:t xml:space="preserve"> 2006–07 has been taken directly from the previous </w:t>
      </w:r>
      <w:r w:rsidR="00464B8A" w:rsidRPr="00C36C8F">
        <w:rPr>
          <w:i/>
        </w:rPr>
        <w:t xml:space="preserve">Waste and Recycling in Australia </w:t>
      </w:r>
      <w:r w:rsidR="00464B8A" w:rsidRPr="00C36C8F">
        <w:t xml:space="preserve">reports and </w:t>
      </w:r>
      <w:r w:rsidR="007D2F30" w:rsidRPr="00C36C8F">
        <w:t>has not had the new data compilation method introduced in this report retrospectively applied.</w:t>
      </w:r>
      <w:r w:rsidR="00464B8A" w:rsidRPr="00C36C8F">
        <w:t xml:space="preserve"> </w:t>
      </w:r>
      <w:r w:rsidR="00F20976" w:rsidRPr="00C36C8F">
        <w:t>Insufficient 2002–03 data is available for reporting.</w:t>
      </w:r>
    </w:p>
    <w:tbl>
      <w:tblPr>
        <w:tblW w:w="0" w:type="auto"/>
        <w:tblInd w:w="1242" w:type="dxa"/>
        <w:tblLayout w:type="fixed"/>
        <w:tblCellMar>
          <w:left w:w="0" w:type="dxa"/>
          <w:right w:w="0" w:type="dxa"/>
        </w:tblCellMar>
        <w:tblLook w:val="0000"/>
      </w:tblPr>
      <w:tblGrid>
        <w:gridCol w:w="8505"/>
      </w:tblGrid>
      <w:tr w:rsidR="00562131" w:rsidRPr="00C36C8F" w:rsidTr="000B315F">
        <w:tc>
          <w:tcPr>
            <w:tcW w:w="8505" w:type="dxa"/>
          </w:tcPr>
          <w:p w:rsidR="00562131" w:rsidRPr="00C36C8F" w:rsidRDefault="00A11246" w:rsidP="00562131">
            <w:pPr>
              <w:pStyle w:val="Heading40"/>
              <w:tabs>
                <w:tab w:val="clear" w:pos="1134"/>
                <w:tab w:val="left" w:pos="0"/>
              </w:tabs>
              <w:ind w:left="0"/>
              <w:rPr>
                <w:i/>
              </w:rPr>
            </w:pPr>
            <w:bookmarkStart w:id="194" w:name="_Ref284592875"/>
            <w:r>
              <w:rPr>
                <w:noProof/>
                <w:lang w:eastAsia="en-AU"/>
              </w:rPr>
              <w:drawing>
                <wp:inline distT="0" distB="0" distL="0" distR="0">
                  <wp:extent cx="5167842" cy="2871083"/>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562131" w:rsidRPr="00C36C8F" w:rsidTr="000B315F">
        <w:tblPrEx>
          <w:tblCellMar>
            <w:left w:w="108" w:type="dxa"/>
            <w:right w:w="108" w:type="dxa"/>
          </w:tblCellMar>
        </w:tblPrEx>
        <w:trPr>
          <w:trHeight w:val="549"/>
        </w:trPr>
        <w:tc>
          <w:tcPr>
            <w:tcW w:w="8505" w:type="dxa"/>
          </w:tcPr>
          <w:p w:rsidR="00562131" w:rsidRPr="00C36C8F" w:rsidRDefault="00562131" w:rsidP="00562131">
            <w:pPr>
              <w:pStyle w:val="Caption"/>
            </w:pPr>
            <w:bookmarkStart w:id="195" w:name="_Ref300768516"/>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21</w:t>
            </w:r>
            <w:r w:rsidR="00B9555F" w:rsidRPr="00C36C8F">
              <w:rPr>
                <w:noProof/>
              </w:rPr>
              <w:fldChar w:fldCharType="end"/>
            </w:r>
            <w:bookmarkEnd w:id="195"/>
            <w:r w:rsidRPr="00C36C8F">
              <w:tab/>
              <w:t>T</w:t>
            </w:r>
            <w:r w:rsidR="00F20976" w:rsidRPr="00C36C8F">
              <w:t>asmanian t</w:t>
            </w:r>
            <w:r w:rsidRPr="00C36C8F">
              <w:t xml:space="preserve">otal waste generation, disposal, recycling </w:t>
            </w:r>
            <w:r w:rsidR="00F20976" w:rsidRPr="00C36C8F">
              <w:t xml:space="preserve">and </w:t>
            </w:r>
            <w:r w:rsidRPr="00C36C8F">
              <w:t>energy recovery, 2002–03, 2006–07 &amp; 2008–09</w:t>
            </w:r>
          </w:p>
        </w:tc>
      </w:tr>
      <w:tr w:rsidR="00562131" w:rsidRPr="00C36C8F" w:rsidTr="000B315F">
        <w:tblPrEx>
          <w:tblCellMar>
            <w:left w:w="108" w:type="dxa"/>
            <w:right w:w="108" w:type="dxa"/>
          </w:tblCellMar>
        </w:tblPrEx>
        <w:tc>
          <w:tcPr>
            <w:tcW w:w="8505" w:type="dxa"/>
          </w:tcPr>
          <w:p w:rsidR="00F20976" w:rsidRPr="00C36C8F" w:rsidRDefault="00F20976" w:rsidP="005B65D5">
            <w:pPr>
              <w:pStyle w:val="TableText"/>
              <w:spacing w:line="240" w:lineRule="auto"/>
              <w:rPr>
                <w:sz w:val="16"/>
                <w:szCs w:val="16"/>
              </w:rPr>
            </w:pPr>
            <w:r w:rsidRPr="00C36C8F">
              <w:rPr>
                <w:sz w:val="16"/>
                <w:szCs w:val="16"/>
              </w:rPr>
              <w:t>2006</w:t>
            </w:r>
            <w:r w:rsidR="00457ADD">
              <w:rPr>
                <w:sz w:val="16"/>
                <w:szCs w:val="16"/>
              </w:rPr>
              <w:t>–</w:t>
            </w:r>
            <w:r w:rsidRPr="00C36C8F">
              <w:rPr>
                <w:sz w:val="16"/>
                <w:szCs w:val="16"/>
              </w:rPr>
              <w:t xml:space="preserve">07 data sources are </w:t>
            </w:r>
            <w:r w:rsidR="00DC4A9E" w:rsidRPr="00052333">
              <w:rPr>
                <w:i/>
                <w:sz w:val="16"/>
                <w:szCs w:val="16"/>
              </w:rPr>
              <w:t>Waste and Recycling in Australia</w:t>
            </w:r>
            <w:r w:rsidRPr="00C36C8F">
              <w:rPr>
                <w:sz w:val="16"/>
                <w:szCs w:val="16"/>
              </w:rPr>
              <w:t xml:space="preserve"> </w:t>
            </w:r>
            <w:r w:rsidRPr="00D32085">
              <w:rPr>
                <w:i/>
                <w:sz w:val="16"/>
                <w:szCs w:val="16"/>
              </w:rPr>
              <w:t>2009</w:t>
            </w:r>
            <w:r w:rsidRPr="00C36C8F">
              <w:rPr>
                <w:sz w:val="16"/>
                <w:szCs w:val="16"/>
              </w:rPr>
              <w:t>.</w:t>
            </w:r>
          </w:p>
          <w:p w:rsidR="00F20976" w:rsidRPr="00C36C8F" w:rsidRDefault="00F20976" w:rsidP="005B65D5">
            <w:pPr>
              <w:pStyle w:val="TableText"/>
              <w:spacing w:line="240" w:lineRule="auto"/>
              <w:rPr>
                <w:sz w:val="16"/>
                <w:szCs w:val="16"/>
              </w:rPr>
            </w:pPr>
            <w:r w:rsidRPr="00C36C8F">
              <w:rPr>
                <w:sz w:val="16"/>
                <w:szCs w:val="16"/>
              </w:rPr>
              <w:t>2008</w:t>
            </w:r>
            <w:r w:rsidR="00457ADD">
              <w:rPr>
                <w:rFonts w:cs="Arial"/>
                <w:sz w:val="16"/>
                <w:szCs w:val="16"/>
              </w:rPr>
              <w:t>–</w:t>
            </w:r>
            <w:r w:rsidRPr="00C36C8F">
              <w:rPr>
                <w:sz w:val="16"/>
                <w:szCs w:val="16"/>
              </w:rPr>
              <w:t>09 “Subtotal” excludes fly ash data.</w:t>
            </w:r>
          </w:p>
          <w:p w:rsidR="00405EA5" w:rsidRPr="00C36C8F" w:rsidRDefault="00F20976" w:rsidP="00457ADD">
            <w:pPr>
              <w:pStyle w:val="TableText"/>
              <w:spacing w:line="240" w:lineRule="auto"/>
              <w:rPr>
                <w:sz w:val="16"/>
                <w:szCs w:val="16"/>
              </w:rPr>
            </w:pPr>
            <w:r w:rsidRPr="00C36C8F">
              <w:rPr>
                <w:sz w:val="16"/>
                <w:szCs w:val="16"/>
              </w:rPr>
              <w:t>2008</w:t>
            </w:r>
            <w:r w:rsidR="00457ADD">
              <w:rPr>
                <w:rFonts w:cs="Arial"/>
                <w:sz w:val="16"/>
                <w:szCs w:val="16"/>
              </w:rPr>
              <w:t>–</w:t>
            </w:r>
            <w:r w:rsidRPr="00C36C8F">
              <w:rPr>
                <w:sz w:val="16"/>
                <w:szCs w:val="16"/>
              </w:rPr>
              <w:t>09 “Total” include fly ash data.</w:t>
            </w:r>
          </w:p>
        </w:tc>
      </w:tr>
    </w:tbl>
    <w:p w:rsidR="00C87A4A" w:rsidRPr="00C36C8F" w:rsidRDefault="00B9555F" w:rsidP="006A1B32">
      <w:pPr>
        <w:keepNext/>
        <w:spacing w:before="240"/>
        <w:ind w:left="1134"/>
        <w:jc w:val="both"/>
      </w:pPr>
      <w:r w:rsidRPr="00C36C8F">
        <w:fldChar w:fldCharType="begin"/>
      </w:r>
      <w:r w:rsidR="00B46B2F" w:rsidRPr="00C36C8F">
        <w:instrText xml:space="preserve"> REF _Ref284591536 \h </w:instrText>
      </w:r>
      <w:r w:rsidRPr="00C36C8F">
        <w:fldChar w:fldCharType="separate"/>
      </w:r>
      <w:r w:rsidR="00AE7E3B" w:rsidRPr="00C36C8F">
        <w:t xml:space="preserve">Table </w:t>
      </w:r>
      <w:r w:rsidR="00AE7E3B">
        <w:rPr>
          <w:noProof/>
        </w:rPr>
        <w:t>4</w:t>
      </w:r>
      <w:r w:rsidR="00AE7E3B" w:rsidRPr="00C36C8F">
        <w:t>-</w:t>
      </w:r>
      <w:r w:rsidR="00AE7E3B">
        <w:rPr>
          <w:noProof/>
        </w:rPr>
        <w:t>17</w:t>
      </w:r>
      <w:r w:rsidRPr="00C36C8F">
        <w:fldChar w:fldCharType="end"/>
      </w:r>
      <w:r w:rsidR="00B46B2F" w:rsidRPr="00C36C8F">
        <w:t xml:space="preserve"> </w:t>
      </w:r>
      <w:r w:rsidR="00C87A4A" w:rsidRPr="00C36C8F">
        <w:t xml:space="preserve">details Tasmanian waste generation and disposal data by material for 2008–09, and compares the </w:t>
      </w:r>
      <w:r w:rsidR="00F20976" w:rsidRPr="00C36C8F">
        <w:t xml:space="preserve">associated per capita disposal </w:t>
      </w:r>
      <w:r w:rsidR="00C87A4A" w:rsidRPr="00C36C8F">
        <w:t>for Tasmania with the national average for all jurisdictions.</w:t>
      </w:r>
    </w:p>
    <w:p w:rsidR="00DE05C7" w:rsidRPr="00C36C8F" w:rsidRDefault="00DE05C7" w:rsidP="00DE05C7">
      <w:pPr>
        <w:pStyle w:val="Caption"/>
        <w:tabs>
          <w:tab w:val="left" w:pos="7275"/>
        </w:tabs>
      </w:pPr>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34</w:t>
      </w:r>
      <w:r w:rsidR="00B9555F" w:rsidRPr="00C36C8F">
        <w:rPr>
          <w:noProof/>
        </w:rPr>
        <w:fldChar w:fldCharType="end"/>
      </w:r>
      <w:bookmarkEnd w:id="194"/>
      <w:r w:rsidRPr="00C36C8F">
        <w:tab/>
      </w:r>
      <w:r w:rsidR="00F20976" w:rsidRPr="00C36C8F">
        <w:t>Tasmanian w</w:t>
      </w:r>
      <w:r w:rsidRPr="00C36C8F">
        <w:t>aste generation and dis</w:t>
      </w:r>
      <w:r w:rsidR="00121C5C" w:rsidRPr="00C36C8F">
        <w:t>posal data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121C5C" w:rsidRPr="00C36C8F" w:rsidTr="00121C5C">
        <w:tc>
          <w:tcPr>
            <w:tcW w:w="4111" w:type="dxa"/>
            <w:gridSpan w:val="2"/>
            <w:tcBorders>
              <w:right w:val="single" w:sz="4" w:space="0" w:color="808080"/>
            </w:tcBorders>
            <w:shd w:val="clear" w:color="auto" w:fill="auto"/>
            <w:vAlign w:val="center"/>
          </w:tcPr>
          <w:p w:rsidR="00121C5C" w:rsidRPr="00C36C8F" w:rsidRDefault="00121C5C" w:rsidP="00121C5C">
            <w:pPr>
              <w:pStyle w:val="TableHeading"/>
              <w:keepLines/>
              <w:jc w:val="center"/>
              <w:rPr>
                <w:kern w:val="28"/>
              </w:rPr>
            </w:pPr>
          </w:p>
        </w:tc>
        <w:tc>
          <w:tcPr>
            <w:tcW w:w="1329"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SA waste generation</w:t>
            </w:r>
          </w:p>
        </w:tc>
        <w:tc>
          <w:tcPr>
            <w:tcW w:w="2658" w:type="dxa"/>
            <w:gridSpan w:val="2"/>
            <w:tcBorders>
              <w:top w:val="nil"/>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SA waste disposal</w:t>
            </w:r>
          </w:p>
        </w:tc>
        <w:tc>
          <w:tcPr>
            <w:tcW w:w="1329" w:type="dxa"/>
            <w:tcBorders>
              <w:lef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National average disposal</w:t>
            </w:r>
          </w:p>
        </w:tc>
      </w:tr>
      <w:tr w:rsidR="00121C5C" w:rsidRPr="00C36C8F" w:rsidTr="00D32085">
        <w:tc>
          <w:tcPr>
            <w:tcW w:w="2127" w:type="dxa"/>
            <w:tcBorders>
              <w:bottom w:val="single" w:sz="4" w:space="0" w:color="808080"/>
              <w:right w:val="nil"/>
            </w:tcBorders>
            <w:shd w:val="clear" w:color="auto" w:fill="auto"/>
          </w:tcPr>
          <w:p w:rsidR="00121C5C" w:rsidRPr="00C36C8F" w:rsidRDefault="00121C5C" w:rsidP="00523A4A">
            <w:pPr>
              <w:pStyle w:val="TableHeading"/>
              <w:keepLines/>
              <w:jc w:val="center"/>
              <w:rPr>
                <w:kern w:val="28"/>
              </w:rPr>
            </w:pPr>
            <w:r w:rsidRPr="00C36C8F">
              <w:rPr>
                <w:kern w:val="28"/>
              </w:rPr>
              <w:t>Ma</w:t>
            </w:r>
            <w:r w:rsidR="00523A4A"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121C5C" w:rsidRPr="00C36C8F" w:rsidRDefault="00523A4A" w:rsidP="00523A4A">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tcBorders>
            <w:vAlign w:val="center"/>
          </w:tcPr>
          <w:p w:rsidR="00121C5C" w:rsidRPr="00C36C8F" w:rsidRDefault="00121C5C" w:rsidP="00121C5C">
            <w:pPr>
              <w:pStyle w:val="TableHeading"/>
              <w:keepLines/>
              <w:jc w:val="center"/>
              <w:rPr>
                <w:kern w:val="28"/>
              </w:rPr>
            </w:pPr>
            <w:r w:rsidRPr="00C36C8F">
              <w:rPr>
                <w:kern w:val="28"/>
              </w:rPr>
              <w:t>kg per capita</w:t>
            </w:r>
          </w:p>
        </w:tc>
      </w:tr>
      <w:tr w:rsidR="00476BAA" w:rsidRPr="005539B3" w:rsidTr="00D32085">
        <w:tc>
          <w:tcPr>
            <w:tcW w:w="2127" w:type="dxa"/>
          </w:tcPr>
          <w:p w:rsidR="00476BAA" w:rsidRPr="005539B3" w:rsidRDefault="00476BAA" w:rsidP="00121C5C">
            <w:pPr>
              <w:pStyle w:val="TableText"/>
              <w:keepNext/>
              <w:keepLines/>
              <w:rPr>
                <w:rFonts w:cs="Arial"/>
                <w:szCs w:val="18"/>
              </w:rPr>
            </w:pPr>
            <w:r w:rsidRPr="005539B3">
              <w:rPr>
                <w:rFonts w:cs="Arial"/>
                <w:szCs w:val="18"/>
              </w:rPr>
              <w:t>Masonry materials</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44,</w:t>
            </w:r>
            <w:r w:rsidRPr="00476BAA">
              <w:rPr>
                <w:rFonts w:cs="Arial"/>
                <w:color w:val="000000"/>
                <w:szCs w:val="18"/>
              </w:rPr>
              <w:t>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44,</w:t>
            </w:r>
            <w:r w:rsidRPr="00476BAA">
              <w:rPr>
                <w:rFonts w:cs="Arial"/>
                <w:color w:val="000000"/>
                <w:szCs w:val="18"/>
              </w:rPr>
              <w:t>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89</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312</w:t>
            </w:r>
          </w:p>
        </w:tc>
      </w:tr>
      <w:tr w:rsidR="00476BAA" w:rsidRPr="005539B3" w:rsidTr="00D32085">
        <w:tc>
          <w:tcPr>
            <w:tcW w:w="2127" w:type="dxa"/>
          </w:tcPr>
          <w:p w:rsidR="00476BAA" w:rsidRPr="005539B3" w:rsidRDefault="00476BAA" w:rsidP="00121C5C">
            <w:pPr>
              <w:pStyle w:val="TableText"/>
              <w:keepNext/>
              <w:keepLines/>
              <w:rPr>
                <w:rFonts w:cs="Arial"/>
                <w:szCs w:val="18"/>
              </w:rPr>
            </w:pPr>
            <w:r w:rsidRPr="005539B3">
              <w:rPr>
                <w:rFonts w:cs="Arial"/>
                <w:szCs w:val="18"/>
              </w:rPr>
              <w:t>Metals</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13,</w:t>
            </w:r>
            <w:r w:rsidRPr="00476BAA">
              <w:rPr>
                <w:rFonts w:cs="Arial"/>
                <w:color w:val="000000"/>
                <w:szCs w:val="18"/>
              </w:rPr>
              <w:t>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12,700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25</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24</w:t>
            </w:r>
          </w:p>
        </w:tc>
      </w:tr>
      <w:tr w:rsidR="00476BAA" w:rsidRPr="005539B3" w:rsidTr="00D32085">
        <w:tc>
          <w:tcPr>
            <w:tcW w:w="2127" w:type="dxa"/>
          </w:tcPr>
          <w:p w:rsidR="00476BAA" w:rsidRPr="005539B3" w:rsidRDefault="00476BAA" w:rsidP="00121C5C">
            <w:pPr>
              <w:pStyle w:val="TableText"/>
              <w:keepNext/>
              <w:keepLines/>
              <w:rPr>
                <w:rFonts w:cs="Arial"/>
                <w:szCs w:val="18"/>
              </w:rPr>
            </w:pPr>
            <w:r w:rsidRPr="005539B3">
              <w:rPr>
                <w:rFonts w:cs="Arial"/>
                <w:szCs w:val="18"/>
              </w:rPr>
              <w:t>Organics</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234,900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200</w:t>
            </w:r>
            <w:r w:rsidRPr="000B315F">
              <w:rPr>
                <w:color w:val="000000"/>
              </w:rPr>
              <w:t>,200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398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332</w:t>
            </w:r>
          </w:p>
        </w:tc>
      </w:tr>
      <w:tr w:rsidR="00476BAA" w:rsidRPr="005539B3" w:rsidTr="00D32085">
        <w:tc>
          <w:tcPr>
            <w:tcW w:w="2127" w:type="dxa"/>
          </w:tcPr>
          <w:p w:rsidR="00476BAA" w:rsidRPr="005539B3" w:rsidRDefault="00476BAA" w:rsidP="00121C5C">
            <w:pPr>
              <w:pStyle w:val="TableText"/>
              <w:keepNext/>
              <w:keepLines/>
              <w:rPr>
                <w:rFonts w:cs="Arial"/>
                <w:szCs w:val="18"/>
              </w:rPr>
            </w:pPr>
            <w:r w:rsidRPr="005539B3">
              <w:rPr>
                <w:rFonts w:cs="Arial"/>
                <w:szCs w:val="18"/>
              </w:rPr>
              <w:t>Paper &amp; cardboard</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98,300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57,900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115</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113</w:t>
            </w:r>
          </w:p>
        </w:tc>
      </w:tr>
      <w:tr w:rsidR="00476BAA" w:rsidRPr="005539B3" w:rsidTr="00D32085">
        <w:tc>
          <w:tcPr>
            <w:tcW w:w="2127" w:type="dxa"/>
          </w:tcPr>
          <w:p w:rsidR="00476BAA" w:rsidRPr="005539B3" w:rsidRDefault="00476BAA" w:rsidP="00121C5C">
            <w:pPr>
              <w:pStyle w:val="TableText"/>
              <w:keepNext/>
              <w:keepLines/>
              <w:rPr>
                <w:rFonts w:cs="Arial"/>
                <w:szCs w:val="18"/>
              </w:rPr>
            </w:pPr>
            <w:r w:rsidRPr="005539B3">
              <w:rPr>
                <w:rFonts w:cs="Arial"/>
                <w:szCs w:val="18"/>
              </w:rPr>
              <w:t>Plastics</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48</w:t>
            </w:r>
            <w:r w:rsidRPr="000B315F">
              <w:rPr>
                <w:color w:val="000000"/>
              </w:rPr>
              <w:t>,200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45</w:t>
            </w:r>
            <w:r w:rsidRPr="000B315F">
              <w:rPr>
                <w:color w:val="000000"/>
              </w:rPr>
              <w:t>,400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90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80</w:t>
            </w:r>
          </w:p>
        </w:tc>
      </w:tr>
      <w:tr w:rsidR="00476BAA" w:rsidRPr="005539B3" w:rsidTr="00D32085">
        <w:tc>
          <w:tcPr>
            <w:tcW w:w="2127" w:type="dxa"/>
            <w:vMerge w:val="restart"/>
          </w:tcPr>
          <w:p w:rsidR="00476BAA" w:rsidRPr="005539B3" w:rsidRDefault="00476BAA" w:rsidP="00121C5C">
            <w:pPr>
              <w:pStyle w:val="TableText"/>
              <w:keepNext/>
              <w:keepLines/>
              <w:rPr>
                <w:rFonts w:cs="Arial"/>
                <w:szCs w:val="18"/>
              </w:rPr>
            </w:pPr>
            <w:r w:rsidRPr="005539B3">
              <w:rPr>
                <w:rFonts w:cs="Arial"/>
                <w:szCs w:val="18"/>
              </w:rPr>
              <w:t>Other</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r w:rsidRPr="005539B3">
              <w:rPr>
                <w:rFonts w:cs="Arial"/>
                <w:szCs w:val="18"/>
              </w:rPr>
              <w:t>Glass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18,</w:t>
            </w:r>
            <w:r w:rsidRPr="00476BAA">
              <w:rPr>
                <w:rFonts w:cs="Arial"/>
                <w:color w:val="000000"/>
                <w:szCs w:val="18"/>
              </w:rPr>
              <w:t>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11,</w:t>
            </w:r>
            <w:r w:rsidRPr="00476BAA">
              <w:rPr>
                <w:rFonts w:cs="Arial"/>
                <w:color w:val="000000"/>
                <w:szCs w:val="18"/>
              </w:rPr>
              <w:t>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21</w:t>
            </w:r>
          </w:p>
        </w:tc>
      </w:tr>
      <w:tr w:rsidR="00476BAA" w:rsidRPr="005539B3" w:rsidTr="00D32085">
        <w:tc>
          <w:tcPr>
            <w:tcW w:w="2127" w:type="dxa"/>
            <w:vMerge/>
          </w:tcPr>
          <w:p w:rsidR="00476BAA" w:rsidRPr="005539B3" w:rsidRDefault="00476BAA" w:rsidP="00121C5C">
            <w:pPr>
              <w:pStyle w:val="TableText"/>
              <w:keepNext/>
              <w:keepLines/>
              <w:rPr>
                <w:rFonts w:cs="Arial"/>
                <w:szCs w:val="18"/>
              </w:rPr>
            </w:pPr>
          </w:p>
        </w:tc>
        <w:tc>
          <w:tcPr>
            <w:tcW w:w="1984" w:type="dxa"/>
            <w:tcBorders>
              <w:right w:val="single" w:sz="4" w:space="0" w:color="808080"/>
            </w:tcBorders>
          </w:tcPr>
          <w:p w:rsidR="00476BAA" w:rsidRPr="005539B3" w:rsidRDefault="00476BAA" w:rsidP="00121C5C">
            <w:pPr>
              <w:pStyle w:val="TableText"/>
              <w:keepNext/>
              <w:keepLines/>
              <w:rPr>
                <w:rFonts w:cs="Arial"/>
                <w:szCs w:val="18"/>
              </w:rPr>
            </w:pPr>
            <w:r w:rsidRPr="005539B3">
              <w:rPr>
                <w:rFonts w:cs="Arial"/>
                <w:szCs w:val="18"/>
              </w:rPr>
              <w:t>Leather &amp; textiles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13,</w:t>
            </w:r>
            <w:r w:rsidRPr="00476BAA">
              <w:rPr>
                <w:rFonts w:cs="Arial"/>
                <w:color w:val="000000"/>
                <w:szCs w:val="18"/>
              </w:rPr>
              <w:t>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13,</w:t>
            </w:r>
            <w:r w:rsidRPr="00476BAA">
              <w:rPr>
                <w:rFonts w:cs="Arial"/>
                <w:color w:val="000000"/>
                <w:szCs w:val="18"/>
              </w:rPr>
              <w:t>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27</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22</w:t>
            </w:r>
          </w:p>
        </w:tc>
      </w:tr>
      <w:tr w:rsidR="00476BAA" w:rsidRPr="005539B3" w:rsidTr="00D32085">
        <w:tc>
          <w:tcPr>
            <w:tcW w:w="2127" w:type="dxa"/>
            <w:vMerge/>
          </w:tcPr>
          <w:p w:rsidR="00476BAA" w:rsidRPr="005539B3" w:rsidRDefault="00476BAA" w:rsidP="00121C5C">
            <w:pPr>
              <w:pStyle w:val="TableText"/>
              <w:keepNext/>
              <w:keepLines/>
              <w:rPr>
                <w:rFonts w:cs="Arial"/>
                <w:szCs w:val="18"/>
              </w:rPr>
            </w:pPr>
          </w:p>
        </w:tc>
        <w:tc>
          <w:tcPr>
            <w:tcW w:w="1984" w:type="dxa"/>
            <w:tcBorders>
              <w:right w:val="single" w:sz="4" w:space="0" w:color="808080"/>
            </w:tcBorders>
          </w:tcPr>
          <w:p w:rsidR="00476BAA" w:rsidRPr="005539B3" w:rsidRDefault="00476BAA" w:rsidP="00121C5C">
            <w:pPr>
              <w:pStyle w:val="TableText"/>
              <w:keepNext/>
              <w:keepLines/>
              <w:rPr>
                <w:rFonts w:cs="Arial"/>
                <w:szCs w:val="18"/>
              </w:rPr>
            </w:pPr>
            <w:r w:rsidRPr="005539B3">
              <w:rPr>
                <w:rFonts w:cs="Arial"/>
                <w:szCs w:val="18"/>
              </w:rPr>
              <w:t>Tyres &amp; other rubber</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9,100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9,100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12</w:t>
            </w:r>
          </w:p>
        </w:tc>
      </w:tr>
      <w:tr w:rsidR="00476BAA" w:rsidRPr="005539B3" w:rsidTr="00D32085">
        <w:tc>
          <w:tcPr>
            <w:tcW w:w="2127" w:type="dxa"/>
            <w:vMerge w:val="restart"/>
          </w:tcPr>
          <w:p w:rsidR="00476BAA" w:rsidRPr="005539B3" w:rsidRDefault="00476BAA" w:rsidP="00121C5C">
            <w:pPr>
              <w:pStyle w:val="TableText"/>
              <w:keepNext/>
              <w:keepLines/>
              <w:rPr>
                <w:rFonts w:cs="Arial"/>
                <w:szCs w:val="18"/>
              </w:rPr>
            </w:pPr>
            <w:r w:rsidRPr="005539B3">
              <w:rPr>
                <w:rFonts w:cs="Arial"/>
                <w:szCs w:val="18"/>
              </w:rPr>
              <w:t>Hazardous</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r w:rsidRPr="005539B3">
              <w:rPr>
                <w:rFonts w:cs="Arial"/>
                <w:szCs w:val="18"/>
              </w:rPr>
              <w:t>Quarantine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27,000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27,000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54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w:t>
            </w:r>
          </w:p>
        </w:tc>
      </w:tr>
      <w:tr w:rsidR="00476BAA" w:rsidRPr="005539B3" w:rsidTr="00D32085">
        <w:tc>
          <w:tcPr>
            <w:tcW w:w="2127" w:type="dxa"/>
            <w:vMerge/>
          </w:tcPr>
          <w:p w:rsidR="00476BAA" w:rsidRPr="005539B3" w:rsidRDefault="00476BAA" w:rsidP="00121C5C">
            <w:pPr>
              <w:pStyle w:val="TableText"/>
              <w:keepNext/>
              <w:keepLines/>
              <w:rPr>
                <w:rFonts w:cs="Arial"/>
                <w:szCs w:val="18"/>
              </w:rPr>
            </w:pPr>
          </w:p>
        </w:tc>
        <w:tc>
          <w:tcPr>
            <w:tcW w:w="1984" w:type="dxa"/>
            <w:tcBorders>
              <w:right w:val="single" w:sz="4" w:space="0" w:color="808080"/>
            </w:tcBorders>
          </w:tcPr>
          <w:p w:rsidR="00476BAA" w:rsidRPr="005539B3" w:rsidRDefault="00476BAA" w:rsidP="00121C5C">
            <w:pPr>
              <w:pStyle w:val="TableText"/>
              <w:keepNext/>
              <w:keepLines/>
              <w:rPr>
                <w:rFonts w:cs="Arial"/>
                <w:szCs w:val="18"/>
              </w:rPr>
            </w:pPr>
            <w:r w:rsidRPr="005539B3">
              <w:rPr>
                <w:rFonts w:cs="Arial"/>
                <w:szCs w:val="18"/>
              </w:rPr>
              <w:t>Contaminated soil</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5</w:t>
            </w:r>
            <w:r w:rsidRPr="000B315F">
              <w:rPr>
                <w:color w:val="000000"/>
              </w:rPr>
              <w:t>,000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5,000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57</w:t>
            </w:r>
          </w:p>
        </w:tc>
      </w:tr>
      <w:tr w:rsidR="00476BAA" w:rsidRPr="005539B3" w:rsidTr="00D32085">
        <w:tc>
          <w:tcPr>
            <w:tcW w:w="2127" w:type="dxa"/>
            <w:vMerge/>
          </w:tcPr>
          <w:p w:rsidR="00476BAA" w:rsidRPr="005539B3" w:rsidRDefault="00476BAA" w:rsidP="00121C5C">
            <w:pPr>
              <w:pStyle w:val="TableText"/>
              <w:keepNext/>
              <w:keepLines/>
              <w:rPr>
                <w:rFonts w:cs="Arial"/>
                <w:szCs w:val="18"/>
              </w:rPr>
            </w:pPr>
          </w:p>
        </w:tc>
        <w:tc>
          <w:tcPr>
            <w:tcW w:w="1984" w:type="dxa"/>
            <w:tcBorders>
              <w:right w:val="single" w:sz="4" w:space="0" w:color="808080"/>
            </w:tcBorders>
          </w:tcPr>
          <w:p w:rsidR="00476BAA" w:rsidRPr="005539B3" w:rsidRDefault="00476BAA" w:rsidP="00121C5C">
            <w:pPr>
              <w:pStyle w:val="TableText"/>
              <w:keepNext/>
              <w:keepLines/>
              <w:rPr>
                <w:rFonts w:cs="Arial"/>
                <w:szCs w:val="18"/>
              </w:rPr>
            </w:pPr>
            <w:r w:rsidRPr="005539B3">
              <w:rPr>
                <w:rFonts w:cs="Arial"/>
                <w:szCs w:val="18"/>
              </w:rPr>
              <w:t>Industrial waste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17,</w:t>
            </w:r>
            <w:r w:rsidRPr="00476BAA">
              <w:rPr>
                <w:rFonts w:cs="Arial"/>
                <w:color w:val="000000"/>
                <w:szCs w:val="18"/>
              </w:rPr>
              <w:t>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17,</w:t>
            </w:r>
            <w:r w:rsidRPr="00476BAA">
              <w:rPr>
                <w:rFonts w:cs="Arial"/>
                <w:color w:val="000000"/>
                <w:szCs w:val="18"/>
              </w:rPr>
              <w:t>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35</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34</w:t>
            </w:r>
          </w:p>
        </w:tc>
      </w:tr>
      <w:tr w:rsidR="00476BAA" w:rsidRPr="005539B3" w:rsidTr="00D32085">
        <w:tc>
          <w:tcPr>
            <w:tcW w:w="2127" w:type="dxa"/>
            <w:vMerge/>
          </w:tcPr>
          <w:p w:rsidR="00476BAA" w:rsidRPr="005539B3" w:rsidRDefault="00476BAA" w:rsidP="00121C5C">
            <w:pPr>
              <w:pStyle w:val="TableText"/>
              <w:keepNext/>
              <w:keepLines/>
              <w:rPr>
                <w:rFonts w:cs="Arial"/>
                <w:szCs w:val="18"/>
              </w:rPr>
            </w:pPr>
          </w:p>
        </w:tc>
        <w:tc>
          <w:tcPr>
            <w:tcW w:w="1984" w:type="dxa"/>
            <w:tcBorders>
              <w:right w:val="single" w:sz="4" w:space="0" w:color="808080"/>
            </w:tcBorders>
          </w:tcPr>
          <w:p w:rsidR="00476BAA" w:rsidRPr="005539B3" w:rsidRDefault="00476BAA" w:rsidP="00121C5C">
            <w:pPr>
              <w:pStyle w:val="TableText"/>
              <w:keepNext/>
              <w:keepLines/>
              <w:rPr>
                <w:rFonts w:cs="Arial"/>
                <w:szCs w:val="18"/>
              </w:rPr>
            </w:pPr>
            <w:r w:rsidRPr="005539B3">
              <w:rPr>
                <w:rFonts w:cs="Arial"/>
                <w:szCs w:val="18"/>
              </w:rPr>
              <w:t>Asbestos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3,600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3,600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7</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25</w:t>
            </w:r>
          </w:p>
        </w:tc>
      </w:tr>
      <w:tr w:rsidR="00476BAA" w:rsidRPr="005539B3" w:rsidTr="00D32085">
        <w:tc>
          <w:tcPr>
            <w:tcW w:w="2127" w:type="dxa"/>
          </w:tcPr>
          <w:p w:rsidR="00476BAA" w:rsidRPr="005539B3" w:rsidRDefault="00476BAA" w:rsidP="00121C5C">
            <w:pPr>
              <w:pStyle w:val="TableText"/>
              <w:keepNext/>
              <w:keepLines/>
              <w:rPr>
                <w:rFonts w:cs="Arial"/>
                <w:szCs w:val="18"/>
              </w:rPr>
            </w:pPr>
            <w:r w:rsidRPr="005539B3">
              <w:rPr>
                <w:rFonts w:cs="Arial"/>
                <w:b/>
                <w:szCs w:val="18"/>
              </w:rPr>
              <w:t>SUBTOTAL</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534,600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448,500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892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1,</w:t>
            </w:r>
            <w:r w:rsidRPr="00476BAA">
              <w:rPr>
                <w:rFonts w:cs="Arial"/>
                <w:b/>
                <w:bCs/>
                <w:color w:val="000000"/>
                <w:szCs w:val="18"/>
              </w:rPr>
              <w:t>035</w:t>
            </w:r>
          </w:p>
        </w:tc>
      </w:tr>
      <w:tr w:rsidR="00476BAA" w:rsidRPr="005539B3" w:rsidTr="00D32085">
        <w:tc>
          <w:tcPr>
            <w:tcW w:w="2127" w:type="dxa"/>
          </w:tcPr>
          <w:p w:rsidR="00476BAA" w:rsidRPr="005539B3" w:rsidRDefault="00476BAA" w:rsidP="00121C5C">
            <w:pPr>
              <w:pStyle w:val="TableText"/>
              <w:keepNext/>
              <w:keepLines/>
              <w:rPr>
                <w:rFonts w:cs="Arial"/>
                <w:szCs w:val="18"/>
              </w:rPr>
            </w:pPr>
            <w:r w:rsidRPr="005539B3">
              <w:rPr>
                <w:rFonts w:cs="Arial"/>
                <w:szCs w:val="18"/>
              </w:rPr>
              <w:t>Fly ash</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532</w:t>
            </w:r>
          </w:p>
        </w:tc>
      </w:tr>
      <w:tr w:rsidR="00476BAA" w:rsidRPr="005539B3" w:rsidTr="00D32085">
        <w:tc>
          <w:tcPr>
            <w:tcW w:w="2127" w:type="dxa"/>
          </w:tcPr>
          <w:p w:rsidR="00476BAA" w:rsidRPr="005539B3" w:rsidRDefault="00476BAA" w:rsidP="00121C5C">
            <w:pPr>
              <w:pStyle w:val="TableText"/>
              <w:keepNext/>
              <w:keepLines/>
              <w:rPr>
                <w:rFonts w:cs="Arial"/>
                <w:szCs w:val="18"/>
              </w:rPr>
            </w:pPr>
            <w:r w:rsidRPr="005539B3">
              <w:rPr>
                <w:rFonts w:cs="Arial"/>
                <w:b/>
                <w:szCs w:val="18"/>
              </w:rPr>
              <w:t>TOTAL</w:t>
            </w:r>
          </w:p>
        </w:tc>
        <w:tc>
          <w:tcPr>
            <w:tcW w:w="1984" w:type="dxa"/>
            <w:tcBorders>
              <w:right w:val="single" w:sz="4" w:space="0" w:color="808080"/>
            </w:tcBorders>
          </w:tcPr>
          <w:p w:rsidR="00476BAA" w:rsidRPr="005539B3"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534,600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448,500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892</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1,</w:t>
            </w:r>
            <w:r w:rsidRPr="00476BAA">
              <w:rPr>
                <w:rFonts w:cs="Arial"/>
                <w:b/>
                <w:bCs/>
                <w:color w:val="000000"/>
                <w:szCs w:val="18"/>
              </w:rPr>
              <w:t>567</w:t>
            </w:r>
          </w:p>
        </w:tc>
      </w:tr>
    </w:tbl>
    <w:p w:rsidR="00121C5C" w:rsidRPr="00C36C8F" w:rsidRDefault="00121C5C" w:rsidP="00121C5C">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121C5C" w:rsidRPr="00C36C8F" w:rsidRDefault="00121C5C" w:rsidP="00121C5C"/>
    <w:p w:rsidR="00121C5C" w:rsidRPr="00C36C8F" w:rsidRDefault="00121C5C" w:rsidP="00121C5C"/>
    <w:bookmarkStart w:id="196" w:name="_Ref284592914"/>
    <w:p w:rsidR="00802C9D" w:rsidRPr="00C36C8F" w:rsidRDefault="00B9555F" w:rsidP="006A1B32">
      <w:pPr>
        <w:pStyle w:val="ParaIndent"/>
        <w:keepNext/>
        <w:keepLines/>
        <w:spacing w:before="120"/>
        <w:jc w:val="both"/>
      </w:pPr>
      <w:r w:rsidRPr="00C36C8F">
        <w:fldChar w:fldCharType="begin"/>
      </w:r>
      <w:r w:rsidR="00802C9D" w:rsidRPr="00C36C8F">
        <w:instrText xml:space="preserve"> REF _Ref300763057 \h </w:instrText>
      </w:r>
      <w:r w:rsidRPr="00C36C8F">
        <w:fldChar w:fldCharType="separate"/>
      </w:r>
      <w:r w:rsidR="00AE7E3B" w:rsidRPr="00C36C8F">
        <w:t xml:space="preserve">Table </w:t>
      </w:r>
      <w:r w:rsidR="00AE7E3B">
        <w:rPr>
          <w:noProof/>
        </w:rPr>
        <w:t>4</w:t>
      </w:r>
      <w:r w:rsidR="00AE7E3B" w:rsidRPr="00C36C8F">
        <w:t>-</w:t>
      </w:r>
      <w:r w:rsidR="00AE7E3B">
        <w:rPr>
          <w:noProof/>
        </w:rPr>
        <w:t>35</w:t>
      </w:r>
      <w:r w:rsidRPr="00C36C8F">
        <w:fldChar w:fldCharType="end"/>
      </w:r>
      <w:r w:rsidR="00802C9D" w:rsidRPr="00C36C8F">
        <w:t xml:space="preserve"> presents the total recycling by material for Tasmania during 2008–09, in terms of total tonnes, per capita rate and recycling rate. The per capita recycling rate for Tasmania is also compared to the national average per capita recycling rate.</w:t>
      </w:r>
    </w:p>
    <w:p w:rsidR="00DE05C7" w:rsidRPr="00C36C8F" w:rsidRDefault="00DE05C7" w:rsidP="00DE05C7">
      <w:pPr>
        <w:pStyle w:val="Caption"/>
        <w:tabs>
          <w:tab w:val="left" w:pos="7275"/>
        </w:tabs>
      </w:pPr>
      <w:bookmarkStart w:id="197" w:name="_Ref300763057"/>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35</w:t>
      </w:r>
      <w:r w:rsidR="00B9555F" w:rsidRPr="00C36C8F">
        <w:rPr>
          <w:noProof/>
        </w:rPr>
        <w:fldChar w:fldCharType="end"/>
      </w:r>
      <w:bookmarkEnd w:id="196"/>
      <w:bookmarkEnd w:id="197"/>
      <w:r w:rsidRPr="00C36C8F">
        <w:tab/>
      </w:r>
      <w:r w:rsidR="0095173D" w:rsidRPr="00C36C8F">
        <w:t>Tasmanian r</w:t>
      </w:r>
      <w:r w:rsidRPr="00C36C8F">
        <w:t>ecycling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903DD9" w:rsidRPr="00C36C8F" w:rsidTr="00B66BA8">
        <w:tc>
          <w:tcPr>
            <w:tcW w:w="4111" w:type="dxa"/>
            <w:gridSpan w:val="2"/>
            <w:tcBorders>
              <w:right w:val="single" w:sz="4" w:space="0" w:color="808080"/>
            </w:tcBorders>
            <w:shd w:val="clear" w:color="auto" w:fill="auto"/>
            <w:vAlign w:val="center"/>
          </w:tcPr>
          <w:p w:rsidR="00903DD9" w:rsidRPr="00C36C8F" w:rsidRDefault="00903DD9" w:rsidP="00B66BA8">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903DD9" w:rsidRPr="00C36C8F" w:rsidRDefault="0095173D" w:rsidP="00B66BA8">
            <w:pPr>
              <w:pStyle w:val="TableHeading"/>
              <w:keepLines/>
              <w:jc w:val="center"/>
              <w:rPr>
                <w:kern w:val="28"/>
              </w:rPr>
            </w:pPr>
            <w:r w:rsidRPr="00C36C8F">
              <w:rPr>
                <w:kern w:val="28"/>
              </w:rPr>
              <w:t>Tas</w:t>
            </w:r>
            <w:r w:rsidR="00903DD9" w:rsidRPr="00C36C8F">
              <w:rPr>
                <w:kern w:val="28"/>
              </w:rPr>
              <w:t xml:space="preserve"> recycling</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National average</w:t>
            </w:r>
          </w:p>
        </w:tc>
        <w:tc>
          <w:tcPr>
            <w:tcW w:w="1329" w:type="dxa"/>
            <w:tcBorders>
              <w:left w:val="single" w:sz="8" w:space="0" w:color="808080" w:themeColor="background1" w:themeShade="80"/>
            </w:tcBorders>
            <w:shd w:val="clear" w:color="auto" w:fill="auto"/>
            <w:vAlign w:val="center"/>
          </w:tcPr>
          <w:p w:rsidR="00903DD9" w:rsidRPr="00C36C8F" w:rsidRDefault="0095173D" w:rsidP="00B66BA8">
            <w:pPr>
              <w:pStyle w:val="TableHeading"/>
              <w:keepLines/>
              <w:jc w:val="center"/>
              <w:rPr>
                <w:kern w:val="28"/>
              </w:rPr>
            </w:pPr>
            <w:r w:rsidRPr="00C36C8F">
              <w:rPr>
                <w:kern w:val="28"/>
              </w:rPr>
              <w:t>Tas</w:t>
            </w:r>
            <w:r w:rsidR="00903DD9" w:rsidRPr="00C36C8F">
              <w:rPr>
                <w:kern w:val="28"/>
              </w:rPr>
              <w:t xml:space="preserve"> recycling rate</w:t>
            </w:r>
          </w:p>
        </w:tc>
      </w:tr>
      <w:tr w:rsidR="00903DD9" w:rsidRPr="00C36C8F" w:rsidTr="00D32085">
        <w:tc>
          <w:tcPr>
            <w:tcW w:w="2127" w:type="dxa"/>
            <w:tcBorders>
              <w:bottom w:val="single" w:sz="4" w:space="0" w:color="808080"/>
              <w:right w:val="nil"/>
            </w:tcBorders>
            <w:shd w:val="clear" w:color="auto" w:fill="auto"/>
          </w:tcPr>
          <w:p w:rsidR="00903DD9" w:rsidRPr="00C36C8F" w:rsidRDefault="00903DD9" w:rsidP="00523A4A">
            <w:pPr>
              <w:pStyle w:val="TableHeading"/>
              <w:keepLines/>
              <w:jc w:val="center"/>
              <w:rPr>
                <w:kern w:val="28"/>
              </w:rPr>
            </w:pPr>
            <w:r w:rsidRPr="00C36C8F">
              <w:rPr>
                <w:kern w:val="28"/>
              </w:rPr>
              <w:t>Ma</w:t>
            </w:r>
            <w:r w:rsidR="00523A4A"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903DD9" w:rsidRPr="00C36C8F" w:rsidRDefault="00523A4A" w:rsidP="00B66BA8">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tcBorders>
            <w:vAlign w:val="center"/>
          </w:tcPr>
          <w:p w:rsidR="00903DD9" w:rsidRPr="00C36C8F" w:rsidRDefault="00903DD9" w:rsidP="00B66BA8">
            <w:pPr>
              <w:pStyle w:val="TableHeading"/>
              <w:keepLines/>
              <w:jc w:val="center"/>
              <w:rPr>
                <w:kern w:val="28"/>
              </w:rPr>
            </w:pPr>
            <w:r w:rsidRPr="00C36C8F">
              <w:rPr>
                <w:kern w:val="28"/>
              </w:rPr>
              <w:t>%</w:t>
            </w:r>
          </w:p>
        </w:tc>
      </w:tr>
      <w:tr w:rsidR="00476BAA" w:rsidRPr="005539B3" w:rsidTr="00D32085">
        <w:tc>
          <w:tcPr>
            <w:tcW w:w="2127" w:type="dxa"/>
          </w:tcPr>
          <w:p w:rsidR="00476BAA" w:rsidRPr="005539B3" w:rsidRDefault="00476BAA" w:rsidP="00B66BA8">
            <w:pPr>
              <w:pStyle w:val="TableText"/>
              <w:keepNext/>
              <w:keepLines/>
              <w:rPr>
                <w:rFonts w:cs="Arial"/>
                <w:szCs w:val="18"/>
              </w:rPr>
            </w:pPr>
            <w:r w:rsidRPr="005539B3">
              <w:rPr>
                <w:rFonts w:cs="Arial"/>
                <w:szCs w:val="18"/>
              </w:rPr>
              <w:t>Masonry materials</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462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5539B3" w:rsidTr="00D32085">
        <w:tc>
          <w:tcPr>
            <w:tcW w:w="2127" w:type="dxa"/>
          </w:tcPr>
          <w:p w:rsidR="00476BAA" w:rsidRPr="005539B3" w:rsidRDefault="00476BAA" w:rsidP="00B66BA8">
            <w:pPr>
              <w:pStyle w:val="TableText"/>
              <w:keepNext/>
              <w:keepLines/>
              <w:rPr>
                <w:rFonts w:cs="Arial"/>
                <w:szCs w:val="18"/>
              </w:rPr>
            </w:pPr>
            <w:r w:rsidRPr="005539B3">
              <w:rPr>
                <w:rFonts w:cs="Arial"/>
                <w:szCs w:val="18"/>
              </w:rPr>
              <w:t>Metals</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188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9%</w:t>
            </w:r>
          </w:p>
        </w:tc>
      </w:tr>
      <w:tr w:rsidR="00476BAA" w:rsidRPr="005539B3" w:rsidTr="00D32085">
        <w:tc>
          <w:tcPr>
            <w:tcW w:w="2127" w:type="dxa"/>
          </w:tcPr>
          <w:p w:rsidR="00476BAA" w:rsidRPr="005539B3" w:rsidRDefault="00476BAA" w:rsidP="00B66BA8">
            <w:pPr>
              <w:pStyle w:val="TableText"/>
              <w:keepNext/>
              <w:keepLines/>
              <w:rPr>
                <w:rFonts w:cs="Arial"/>
                <w:szCs w:val="18"/>
              </w:rPr>
            </w:pPr>
            <w:r w:rsidRPr="005539B3">
              <w:rPr>
                <w:rFonts w:cs="Arial"/>
                <w:szCs w:val="18"/>
              </w:rPr>
              <w:t>Organics</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25,400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51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172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11%</w:t>
            </w:r>
          </w:p>
        </w:tc>
      </w:tr>
      <w:tr w:rsidR="00476BAA" w:rsidRPr="005539B3" w:rsidTr="00D32085">
        <w:tc>
          <w:tcPr>
            <w:tcW w:w="2127" w:type="dxa"/>
          </w:tcPr>
          <w:p w:rsidR="00476BAA" w:rsidRPr="005539B3" w:rsidRDefault="00476BAA" w:rsidP="00B66BA8">
            <w:pPr>
              <w:pStyle w:val="TableText"/>
              <w:keepNext/>
              <w:keepLines/>
              <w:rPr>
                <w:rFonts w:cs="Arial"/>
                <w:szCs w:val="18"/>
              </w:rPr>
            </w:pPr>
            <w:r w:rsidRPr="005539B3">
              <w:rPr>
                <w:rFonts w:cs="Arial"/>
                <w:szCs w:val="18"/>
              </w:rPr>
              <w:t>Paper &amp; cardboard</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40,300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80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178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41</w:t>
            </w:r>
            <w:r w:rsidRPr="000B315F">
              <w:rPr>
                <w:color w:val="000000"/>
              </w:rPr>
              <w:t>%</w:t>
            </w:r>
          </w:p>
        </w:tc>
      </w:tr>
      <w:tr w:rsidR="00476BAA" w:rsidRPr="005539B3" w:rsidTr="00D32085">
        <w:tc>
          <w:tcPr>
            <w:tcW w:w="2127" w:type="dxa"/>
          </w:tcPr>
          <w:p w:rsidR="00476BAA" w:rsidRPr="005539B3" w:rsidRDefault="00476BAA" w:rsidP="00B66BA8">
            <w:pPr>
              <w:pStyle w:val="TableText"/>
              <w:keepNext/>
              <w:keepLines/>
              <w:rPr>
                <w:rFonts w:cs="Arial"/>
                <w:szCs w:val="18"/>
              </w:rPr>
            </w:pPr>
            <w:r w:rsidRPr="005539B3">
              <w:rPr>
                <w:rFonts w:cs="Arial"/>
                <w:szCs w:val="18"/>
              </w:rPr>
              <w:t>Plastics</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2,800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6</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24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6%</w:t>
            </w:r>
          </w:p>
        </w:tc>
      </w:tr>
      <w:tr w:rsidR="00476BAA" w:rsidRPr="005539B3" w:rsidTr="00D32085">
        <w:tc>
          <w:tcPr>
            <w:tcW w:w="2127" w:type="dxa"/>
            <w:vMerge w:val="restart"/>
          </w:tcPr>
          <w:p w:rsidR="00476BAA" w:rsidRPr="005539B3" w:rsidRDefault="00476BAA" w:rsidP="00B66BA8">
            <w:pPr>
              <w:pStyle w:val="TableText"/>
              <w:keepNext/>
              <w:keepLines/>
              <w:rPr>
                <w:rFonts w:cs="Arial"/>
                <w:szCs w:val="18"/>
              </w:rPr>
            </w:pPr>
            <w:r w:rsidRPr="005539B3">
              <w:rPr>
                <w:rFonts w:cs="Arial"/>
                <w:szCs w:val="18"/>
              </w:rPr>
              <w:t>Other</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r w:rsidRPr="005539B3">
              <w:rPr>
                <w:rFonts w:cs="Arial"/>
                <w:szCs w:val="18"/>
              </w:rPr>
              <w:t>Glass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7,100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44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38</w:t>
            </w:r>
            <w:r w:rsidRPr="000B315F">
              <w:rPr>
                <w:color w:val="000000"/>
              </w:rPr>
              <w:t>%</w:t>
            </w:r>
          </w:p>
        </w:tc>
      </w:tr>
      <w:tr w:rsidR="00476BAA" w:rsidRPr="005539B3" w:rsidTr="00D32085">
        <w:tc>
          <w:tcPr>
            <w:tcW w:w="2127" w:type="dxa"/>
            <w:vMerge/>
          </w:tcPr>
          <w:p w:rsidR="00476BAA" w:rsidRPr="005539B3" w:rsidRDefault="00476BAA" w:rsidP="00B66BA8">
            <w:pPr>
              <w:pStyle w:val="TableText"/>
              <w:keepNext/>
              <w:keepLines/>
              <w:rPr>
                <w:rFonts w:cs="Arial"/>
                <w:szCs w:val="18"/>
              </w:rPr>
            </w:pPr>
          </w:p>
        </w:tc>
        <w:tc>
          <w:tcPr>
            <w:tcW w:w="1984" w:type="dxa"/>
            <w:tcBorders>
              <w:right w:val="single" w:sz="4" w:space="0" w:color="808080"/>
            </w:tcBorders>
          </w:tcPr>
          <w:p w:rsidR="00476BAA" w:rsidRPr="005539B3" w:rsidRDefault="00476BAA" w:rsidP="00B66BA8">
            <w:pPr>
              <w:pStyle w:val="TableText"/>
              <w:keepNext/>
              <w:keepLines/>
              <w:rPr>
                <w:rFonts w:cs="Arial"/>
                <w:szCs w:val="18"/>
              </w:rPr>
            </w:pPr>
            <w:r w:rsidRPr="005539B3">
              <w:rPr>
                <w:rFonts w:cs="Arial"/>
                <w:szCs w:val="18"/>
              </w:rPr>
              <w:t>Leather &amp; textiles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5539B3" w:rsidTr="00D32085">
        <w:tc>
          <w:tcPr>
            <w:tcW w:w="2127" w:type="dxa"/>
            <w:vMerge/>
          </w:tcPr>
          <w:p w:rsidR="00476BAA" w:rsidRPr="005539B3" w:rsidRDefault="00476BAA" w:rsidP="00B66BA8">
            <w:pPr>
              <w:pStyle w:val="TableText"/>
              <w:keepNext/>
              <w:keepLines/>
              <w:rPr>
                <w:rFonts w:cs="Arial"/>
                <w:szCs w:val="18"/>
              </w:rPr>
            </w:pPr>
          </w:p>
        </w:tc>
        <w:tc>
          <w:tcPr>
            <w:tcW w:w="1984" w:type="dxa"/>
            <w:tcBorders>
              <w:right w:val="single" w:sz="4" w:space="0" w:color="808080"/>
            </w:tcBorders>
          </w:tcPr>
          <w:p w:rsidR="00476BAA" w:rsidRPr="005539B3" w:rsidRDefault="00476BAA" w:rsidP="00B66BA8">
            <w:pPr>
              <w:pStyle w:val="TableText"/>
              <w:keepNext/>
              <w:keepLines/>
              <w:rPr>
                <w:rFonts w:cs="Arial"/>
                <w:szCs w:val="18"/>
              </w:rPr>
            </w:pPr>
            <w:r w:rsidRPr="005539B3">
              <w:rPr>
                <w:rFonts w:cs="Arial"/>
                <w:szCs w:val="18"/>
              </w:rPr>
              <w:t>Tyres &amp; other rubber</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5539B3" w:rsidTr="00D32085">
        <w:tc>
          <w:tcPr>
            <w:tcW w:w="2127" w:type="dxa"/>
            <w:vMerge w:val="restart"/>
          </w:tcPr>
          <w:p w:rsidR="00476BAA" w:rsidRPr="005539B3" w:rsidRDefault="00476BAA" w:rsidP="00B66BA8">
            <w:pPr>
              <w:pStyle w:val="TableText"/>
              <w:keepNext/>
              <w:keepLines/>
              <w:rPr>
                <w:rFonts w:cs="Arial"/>
                <w:szCs w:val="18"/>
              </w:rPr>
            </w:pPr>
            <w:r w:rsidRPr="005539B3">
              <w:rPr>
                <w:rFonts w:cs="Arial"/>
                <w:szCs w:val="18"/>
              </w:rPr>
              <w:t>Hazardous</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r w:rsidRPr="005539B3">
              <w:rPr>
                <w:rFonts w:cs="Arial"/>
                <w:szCs w:val="18"/>
              </w:rPr>
              <w:t>Quarantine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5539B3" w:rsidTr="00D32085">
        <w:tc>
          <w:tcPr>
            <w:tcW w:w="2127" w:type="dxa"/>
            <w:vMerge/>
          </w:tcPr>
          <w:p w:rsidR="00476BAA" w:rsidRPr="005539B3" w:rsidRDefault="00476BAA" w:rsidP="00B66BA8">
            <w:pPr>
              <w:pStyle w:val="TableText"/>
              <w:keepNext/>
              <w:keepLines/>
              <w:rPr>
                <w:rFonts w:cs="Arial"/>
                <w:szCs w:val="18"/>
              </w:rPr>
            </w:pPr>
          </w:p>
        </w:tc>
        <w:tc>
          <w:tcPr>
            <w:tcW w:w="1984" w:type="dxa"/>
            <w:tcBorders>
              <w:right w:val="single" w:sz="4" w:space="0" w:color="808080"/>
            </w:tcBorders>
          </w:tcPr>
          <w:p w:rsidR="00476BAA" w:rsidRPr="005539B3" w:rsidRDefault="00476BAA" w:rsidP="00B66BA8">
            <w:pPr>
              <w:pStyle w:val="TableText"/>
              <w:keepNext/>
              <w:keepLines/>
              <w:rPr>
                <w:rFonts w:cs="Arial"/>
                <w:szCs w:val="18"/>
              </w:rPr>
            </w:pPr>
            <w:r w:rsidRPr="005539B3">
              <w:rPr>
                <w:rFonts w:cs="Arial"/>
                <w:szCs w:val="18"/>
              </w:rPr>
              <w:t>Contaminated soil</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0</w:t>
            </w:r>
            <w:r w:rsidRPr="000B315F">
              <w:rPr>
                <w:color w:val="000000"/>
              </w:rPr>
              <w:t>%</w:t>
            </w:r>
          </w:p>
        </w:tc>
      </w:tr>
      <w:tr w:rsidR="00476BAA" w:rsidRPr="005539B3" w:rsidTr="00D32085">
        <w:tc>
          <w:tcPr>
            <w:tcW w:w="2127" w:type="dxa"/>
            <w:vMerge/>
          </w:tcPr>
          <w:p w:rsidR="00476BAA" w:rsidRPr="005539B3" w:rsidRDefault="00476BAA" w:rsidP="00B66BA8">
            <w:pPr>
              <w:pStyle w:val="TableText"/>
              <w:keepNext/>
              <w:keepLines/>
              <w:rPr>
                <w:rFonts w:cs="Arial"/>
                <w:szCs w:val="18"/>
              </w:rPr>
            </w:pPr>
          </w:p>
        </w:tc>
        <w:tc>
          <w:tcPr>
            <w:tcW w:w="1984" w:type="dxa"/>
            <w:tcBorders>
              <w:right w:val="single" w:sz="4" w:space="0" w:color="808080"/>
            </w:tcBorders>
          </w:tcPr>
          <w:p w:rsidR="00476BAA" w:rsidRPr="005539B3" w:rsidRDefault="00476BAA" w:rsidP="00B66BA8">
            <w:pPr>
              <w:pStyle w:val="TableText"/>
              <w:keepNext/>
              <w:keepLines/>
              <w:rPr>
                <w:rFonts w:cs="Arial"/>
                <w:szCs w:val="18"/>
              </w:rPr>
            </w:pPr>
            <w:r w:rsidRPr="005539B3">
              <w:rPr>
                <w:rFonts w:cs="Arial"/>
                <w:szCs w:val="18"/>
              </w:rPr>
              <w:t>Industrial waste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5539B3" w:rsidTr="00D32085">
        <w:tc>
          <w:tcPr>
            <w:tcW w:w="2127" w:type="dxa"/>
            <w:vMerge/>
          </w:tcPr>
          <w:p w:rsidR="00476BAA" w:rsidRPr="005539B3" w:rsidRDefault="00476BAA" w:rsidP="00B66BA8">
            <w:pPr>
              <w:pStyle w:val="TableText"/>
              <w:keepNext/>
              <w:keepLines/>
              <w:rPr>
                <w:rFonts w:cs="Arial"/>
                <w:szCs w:val="18"/>
              </w:rPr>
            </w:pPr>
          </w:p>
        </w:tc>
        <w:tc>
          <w:tcPr>
            <w:tcW w:w="1984" w:type="dxa"/>
            <w:tcBorders>
              <w:right w:val="single" w:sz="4" w:space="0" w:color="808080"/>
            </w:tcBorders>
          </w:tcPr>
          <w:p w:rsidR="00476BAA" w:rsidRPr="005539B3" w:rsidRDefault="00476BAA" w:rsidP="00B66BA8">
            <w:pPr>
              <w:pStyle w:val="TableText"/>
              <w:keepNext/>
              <w:keepLines/>
              <w:rPr>
                <w:rFonts w:cs="Arial"/>
                <w:szCs w:val="18"/>
              </w:rPr>
            </w:pPr>
            <w:r w:rsidRPr="005539B3">
              <w:rPr>
                <w:rFonts w:cs="Arial"/>
                <w:szCs w:val="18"/>
              </w:rPr>
              <w:t>Asbestos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5539B3" w:rsidTr="00D32085">
        <w:tc>
          <w:tcPr>
            <w:tcW w:w="2127" w:type="dxa"/>
          </w:tcPr>
          <w:p w:rsidR="00476BAA" w:rsidRPr="005539B3" w:rsidRDefault="00476BAA" w:rsidP="00B66BA8">
            <w:pPr>
              <w:pStyle w:val="TableText"/>
              <w:keepNext/>
              <w:keepLines/>
              <w:rPr>
                <w:rFonts w:cs="Arial"/>
                <w:szCs w:val="18"/>
              </w:rPr>
            </w:pPr>
            <w:r w:rsidRPr="005539B3">
              <w:rPr>
                <w:rFonts w:cs="Arial"/>
                <w:b/>
                <w:szCs w:val="18"/>
              </w:rPr>
              <w:t>SUBTOTAL</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76</w:t>
            </w:r>
            <w:r w:rsidRPr="000B315F">
              <w:rPr>
                <w:b/>
                <w:color w:val="000000"/>
              </w:rPr>
              <w:t>,900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153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0B315F">
              <w:rPr>
                <w:b/>
                <w:color w:val="000000"/>
              </w:rPr>
              <w:t>1,</w:t>
            </w:r>
            <w:r w:rsidRPr="00476BAA">
              <w:rPr>
                <w:rFonts w:cs="Arial"/>
                <w:b/>
                <w:bCs/>
                <w:color w:val="000000"/>
                <w:szCs w:val="18"/>
              </w:rPr>
              <w:t>091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15</w:t>
            </w:r>
            <w:r w:rsidRPr="000B315F">
              <w:rPr>
                <w:b/>
                <w:color w:val="000000"/>
              </w:rPr>
              <w:t>%</w:t>
            </w:r>
          </w:p>
        </w:tc>
      </w:tr>
      <w:tr w:rsidR="00476BAA" w:rsidRPr="005539B3" w:rsidTr="00D32085">
        <w:tc>
          <w:tcPr>
            <w:tcW w:w="2127" w:type="dxa"/>
          </w:tcPr>
          <w:p w:rsidR="00476BAA" w:rsidRPr="005539B3" w:rsidRDefault="00476BAA" w:rsidP="00B66BA8">
            <w:pPr>
              <w:pStyle w:val="TableText"/>
              <w:keepNext/>
              <w:keepLines/>
              <w:rPr>
                <w:rFonts w:cs="Arial"/>
                <w:szCs w:val="18"/>
              </w:rPr>
            </w:pPr>
            <w:r w:rsidRPr="005539B3">
              <w:rPr>
                <w:rFonts w:cs="Arial"/>
                <w:szCs w:val="18"/>
              </w:rPr>
              <w:t>Fly ash</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5539B3" w:rsidTr="00D32085">
        <w:tc>
          <w:tcPr>
            <w:tcW w:w="2127" w:type="dxa"/>
          </w:tcPr>
          <w:p w:rsidR="00476BAA" w:rsidRPr="005539B3" w:rsidRDefault="00476BAA" w:rsidP="00B66BA8">
            <w:pPr>
              <w:pStyle w:val="TableText"/>
              <w:keepNext/>
              <w:keepLines/>
              <w:rPr>
                <w:rFonts w:cs="Arial"/>
                <w:szCs w:val="18"/>
              </w:rPr>
            </w:pPr>
            <w:r w:rsidRPr="005539B3">
              <w:rPr>
                <w:rFonts w:cs="Arial"/>
                <w:b/>
                <w:szCs w:val="18"/>
              </w:rPr>
              <w:t>TOTAL</w:t>
            </w:r>
          </w:p>
        </w:tc>
        <w:tc>
          <w:tcPr>
            <w:tcW w:w="1984" w:type="dxa"/>
            <w:tcBorders>
              <w:right w:val="single" w:sz="4" w:space="0" w:color="808080"/>
            </w:tcBorders>
          </w:tcPr>
          <w:p w:rsidR="00476BAA" w:rsidRPr="005539B3"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76</w:t>
            </w:r>
            <w:r w:rsidRPr="000B315F">
              <w:rPr>
                <w:b/>
                <w:color w:val="000000"/>
              </w:rPr>
              <w:t>,900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153</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0B315F">
              <w:rPr>
                <w:b/>
                <w:color w:val="000000"/>
              </w:rPr>
              <w:t>1,</w:t>
            </w:r>
            <w:r w:rsidRPr="00476BAA">
              <w:rPr>
                <w:rFonts w:cs="Arial"/>
                <w:b/>
                <w:bCs/>
                <w:color w:val="000000"/>
                <w:szCs w:val="18"/>
              </w:rPr>
              <w:t>201</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15</w:t>
            </w:r>
            <w:r w:rsidRPr="000B315F">
              <w:rPr>
                <w:b/>
                <w:color w:val="000000"/>
              </w:rPr>
              <w:t>%</w:t>
            </w:r>
          </w:p>
        </w:tc>
      </w:tr>
    </w:tbl>
    <w:p w:rsidR="00903DD9" w:rsidRPr="00C36C8F" w:rsidRDefault="00903DD9" w:rsidP="00903DD9">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903DD9" w:rsidRPr="00C36C8F" w:rsidRDefault="00903DD9" w:rsidP="00903DD9"/>
    <w:p w:rsidR="00903DD9" w:rsidRPr="00C36C8F" w:rsidRDefault="00903DD9" w:rsidP="00903DD9"/>
    <w:bookmarkStart w:id="198" w:name="_Ref284592958"/>
    <w:p w:rsidR="00EB0688" w:rsidRPr="00C36C8F" w:rsidRDefault="00B9555F" w:rsidP="006A1B32">
      <w:pPr>
        <w:pStyle w:val="ParaIndent"/>
        <w:keepNext/>
        <w:keepLines/>
        <w:spacing w:before="120"/>
        <w:jc w:val="both"/>
      </w:pPr>
      <w:r w:rsidRPr="00C36C8F">
        <w:fldChar w:fldCharType="begin"/>
      </w:r>
      <w:r w:rsidR="00EB0688" w:rsidRPr="00C36C8F">
        <w:instrText xml:space="preserve"> REF _Ref300763571 \h </w:instrText>
      </w:r>
      <w:r w:rsidRPr="00C36C8F">
        <w:fldChar w:fldCharType="separate"/>
      </w:r>
      <w:r w:rsidR="00AE7E3B" w:rsidRPr="00C36C8F">
        <w:t xml:space="preserve">Table </w:t>
      </w:r>
      <w:r w:rsidR="00AE7E3B">
        <w:rPr>
          <w:noProof/>
        </w:rPr>
        <w:t>4</w:t>
      </w:r>
      <w:r w:rsidR="00AE7E3B" w:rsidRPr="00C36C8F">
        <w:t>-</w:t>
      </w:r>
      <w:r w:rsidR="00AE7E3B">
        <w:rPr>
          <w:noProof/>
        </w:rPr>
        <w:t>36</w:t>
      </w:r>
      <w:r w:rsidRPr="00C36C8F">
        <w:fldChar w:fldCharType="end"/>
      </w:r>
      <w:r w:rsidR="00EB0688" w:rsidRPr="00C36C8F">
        <w:t xml:space="preserve"> details energy recovery by material type for Tasmania. </w:t>
      </w:r>
      <w:r w:rsidR="00405EA5" w:rsidRPr="00C36C8F">
        <w:t>Energy r</w:t>
      </w:r>
      <w:r w:rsidR="00EB0688" w:rsidRPr="00C36C8F">
        <w:t xml:space="preserve">ecovery for the jurisdiction is presented in terms of total tonnes, and the per capita rate. The national average per capita </w:t>
      </w:r>
      <w:r w:rsidR="00405EA5" w:rsidRPr="00C36C8F">
        <w:t xml:space="preserve">energy </w:t>
      </w:r>
      <w:r w:rsidR="006A40B2" w:rsidRPr="00C36C8F">
        <w:t>recovery</w:t>
      </w:r>
      <w:r w:rsidR="00EB0688" w:rsidRPr="00C36C8F">
        <w:t xml:space="preserve"> is also provided.</w:t>
      </w:r>
    </w:p>
    <w:p w:rsidR="00DE05C7" w:rsidRPr="00C36C8F" w:rsidRDefault="00DE05C7" w:rsidP="00DE05C7">
      <w:pPr>
        <w:pStyle w:val="Caption"/>
        <w:tabs>
          <w:tab w:val="left" w:pos="7275"/>
        </w:tabs>
        <w:ind w:left="0" w:firstLine="0"/>
      </w:pPr>
      <w:bookmarkStart w:id="199" w:name="_Ref300763571"/>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36</w:t>
      </w:r>
      <w:r w:rsidR="00B9555F" w:rsidRPr="00C36C8F">
        <w:rPr>
          <w:noProof/>
        </w:rPr>
        <w:fldChar w:fldCharType="end"/>
      </w:r>
      <w:bookmarkEnd w:id="198"/>
      <w:bookmarkEnd w:id="199"/>
      <w:r w:rsidRPr="00C36C8F">
        <w:tab/>
      </w:r>
      <w:r w:rsidR="0095173D" w:rsidRPr="00C36C8F">
        <w:t>Tasmanian e</w:t>
      </w:r>
      <w:r w:rsidRPr="00C36C8F">
        <w:t>nergy recovery by material, 2008–09</w:t>
      </w:r>
    </w:p>
    <w:tbl>
      <w:tblPr>
        <w:tblW w:w="8098" w:type="dxa"/>
        <w:jc w:val="right"/>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tblGrid>
      <w:tr w:rsidR="00121C5C" w:rsidRPr="00C36C8F" w:rsidTr="00121C5C">
        <w:trPr>
          <w:jc w:val="right"/>
        </w:trPr>
        <w:tc>
          <w:tcPr>
            <w:tcW w:w="4111" w:type="dxa"/>
            <w:gridSpan w:val="2"/>
            <w:tcBorders>
              <w:right w:val="single" w:sz="4" w:space="0" w:color="808080"/>
            </w:tcBorders>
            <w:shd w:val="clear" w:color="auto" w:fill="auto"/>
            <w:vAlign w:val="center"/>
          </w:tcPr>
          <w:p w:rsidR="00121C5C" w:rsidRPr="00C36C8F" w:rsidRDefault="00121C5C" w:rsidP="00121C5C">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95173D" w:rsidP="00121C5C">
            <w:pPr>
              <w:pStyle w:val="TableHeading"/>
              <w:keepLines/>
              <w:jc w:val="center"/>
              <w:rPr>
                <w:kern w:val="28"/>
              </w:rPr>
            </w:pPr>
            <w:r w:rsidRPr="00C36C8F">
              <w:rPr>
                <w:kern w:val="28"/>
              </w:rPr>
              <w:t>Tas</w:t>
            </w:r>
            <w:r w:rsidR="00121C5C" w:rsidRPr="00C36C8F">
              <w:rPr>
                <w:kern w:val="28"/>
              </w:rPr>
              <w:t xml:space="preserve"> energy recovery</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National average</w:t>
            </w:r>
          </w:p>
        </w:tc>
      </w:tr>
      <w:tr w:rsidR="00121C5C" w:rsidRPr="00C36C8F" w:rsidTr="00121C5C">
        <w:trPr>
          <w:jc w:val="right"/>
        </w:trPr>
        <w:tc>
          <w:tcPr>
            <w:tcW w:w="2127" w:type="dxa"/>
            <w:tcBorders>
              <w:bottom w:val="single" w:sz="4" w:space="0" w:color="808080"/>
              <w:right w:val="nil"/>
            </w:tcBorders>
            <w:shd w:val="clear" w:color="auto" w:fill="auto"/>
          </w:tcPr>
          <w:p w:rsidR="00121C5C" w:rsidRPr="00C36C8F" w:rsidRDefault="00121C5C" w:rsidP="00523A4A">
            <w:pPr>
              <w:pStyle w:val="TableHeading"/>
              <w:keepLines/>
              <w:jc w:val="center"/>
              <w:rPr>
                <w:kern w:val="28"/>
              </w:rPr>
            </w:pPr>
            <w:r w:rsidRPr="00C36C8F">
              <w:rPr>
                <w:kern w:val="28"/>
              </w:rPr>
              <w:t>Ma</w:t>
            </w:r>
            <w:r w:rsidR="00523A4A"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121C5C" w:rsidRPr="00C36C8F" w:rsidRDefault="00523A4A" w:rsidP="00121C5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r>
      <w:tr w:rsidR="0095173D"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5173D" w:rsidRPr="00C36C8F" w:rsidRDefault="0095173D"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5173D" w:rsidRPr="00C36C8F" w:rsidRDefault="0095173D"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5173D" w:rsidRPr="00C36C8F" w:rsidRDefault="0095173D"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9,200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18</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15</w:t>
            </w:r>
          </w:p>
        </w:tc>
      </w:tr>
      <w:tr w:rsidR="0095173D"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5173D" w:rsidRPr="00C36C8F" w:rsidRDefault="0095173D"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95173D" w:rsidRPr="00C36C8F" w:rsidRDefault="0095173D"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vMerge w:val="restart"/>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95173D" w:rsidRPr="00C36C8F" w:rsidRDefault="0095173D" w:rsidP="00121C5C">
            <w:pPr>
              <w:pStyle w:val="TableText"/>
              <w:keepNext/>
              <w:keepLines/>
            </w:pPr>
            <w:r w:rsidRPr="00C36C8F">
              <w:t>Glass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5173D" w:rsidRPr="00C36C8F" w:rsidRDefault="0095173D" w:rsidP="00121C5C">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5173D" w:rsidRPr="00C36C8F" w:rsidRDefault="0095173D" w:rsidP="00121C5C">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vMerge w:val="restart"/>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95173D" w:rsidRPr="00C36C8F" w:rsidRDefault="0095173D" w:rsidP="00121C5C">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5173D" w:rsidRPr="00C36C8F" w:rsidRDefault="0095173D" w:rsidP="00121C5C">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5173D" w:rsidRPr="00C36C8F" w:rsidRDefault="0095173D" w:rsidP="00121C5C">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1</w:t>
            </w:r>
          </w:p>
        </w:tc>
      </w:tr>
      <w:tr w:rsidR="0095173D"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95173D" w:rsidRPr="00C36C8F" w:rsidRDefault="0095173D"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95173D" w:rsidRPr="00C36C8F" w:rsidRDefault="0095173D" w:rsidP="00121C5C">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tcBorders>
              <w:top w:val="single" w:sz="4" w:space="0" w:color="808080"/>
              <w:bottom w:val="single" w:sz="18" w:space="0" w:color="808080" w:themeColor="background1" w:themeShade="80"/>
              <w:right w:val="nil"/>
            </w:tcBorders>
            <w:shd w:val="clear" w:color="auto" w:fill="auto"/>
            <w:vAlign w:val="center"/>
          </w:tcPr>
          <w:p w:rsidR="0095173D" w:rsidRPr="00C36C8F" w:rsidRDefault="0095173D" w:rsidP="00121C5C">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95173D" w:rsidRPr="00C36C8F" w:rsidRDefault="0095173D" w:rsidP="00121C5C">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b/>
                <w:szCs w:val="18"/>
              </w:rPr>
            </w:pPr>
            <w:r w:rsidRPr="00C36C8F">
              <w:rPr>
                <w:b/>
              </w:rPr>
              <w:t>9,200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b/>
                <w:szCs w:val="18"/>
              </w:rPr>
            </w:pPr>
            <w:r w:rsidRPr="00C36C8F">
              <w:rPr>
                <w:b/>
              </w:rPr>
              <w:t>18</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b/>
                <w:szCs w:val="18"/>
              </w:rPr>
            </w:pPr>
            <w:r w:rsidRPr="00C36C8F">
              <w:rPr>
                <w:b/>
              </w:rPr>
              <w:t>16</w:t>
            </w:r>
          </w:p>
        </w:tc>
      </w:tr>
      <w:tr w:rsidR="0095173D" w:rsidRPr="00C36C8F" w:rsidTr="00B66BA8">
        <w:trPr>
          <w:jc w:val="right"/>
        </w:trPr>
        <w:tc>
          <w:tcPr>
            <w:tcW w:w="2127" w:type="dxa"/>
            <w:tcBorders>
              <w:top w:val="single" w:sz="18" w:space="0" w:color="808080" w:themeColor="background1" w:themeShade="80"/>
              <w:bottom w:val="single" w:sz="4" w:space="0" w:color="808080"/>
              <w:right w:val="nil"/>
            </w:tcBorders>
            <w:shd w:val="clear" w:color="auto" w:fill="auto"/>
            <w:vAlign w:val="center"/>
          </w:tcPr>
          <w:p w:rsidR="0095173D" w:rsidRPr="00C36C8F" w:rsidRDefault="0095173D" w:rsidP="00121C5C">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95173D" w:rsidRPr="00C36C8F" w:rsidRDefault="0095173D" w:rsidP="00121C5C">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szCs w:val="18"/>
              </w:rPr>
            </w:pPr>
            <w:r w:rsidRPr="00C36C8F">
              <w:t>0</w:t>
            </w:r>
          </w:p>
        </w:tc>
      </w:tr>
      <w:tr w:rsidR="0095173D" w:rsidRPr="00C36C8F" w:rsidTr="00B66BA8">
        <w:trPr>
          <w:jc w:val="right"/>
        </w:trPr>
        <w:tc>
          <w:tcPr>
            <w:tcW w:w="2127" w:type="dxa"/>
            <w:tcBorders>
              <w:top w:val="single" w:sz="4" w:space="0" w:color="808080"/>
              <w:bottom w:val="single" w:sz="18" w:space="0" w:color="7F7F7F" w:themeColor="text1" w:themeTint="80"/>
              <w:right w:val="nil"/>
            </w:tcBorders>
            <w:shd w:val="clear" w:color="auto" w:fill="auto"/>
            <w:vAlign w:val="center"/>
          </w:tcPr>
          <w:p w:rsidR="0095173D" w:rsidRPr="00C36C8F" w:rsidRDefault="0095173D" w:rsidP="00121C5C">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95173D" w:rsidRPr="00C36C8F" w:rsidRDefault="0095173D" w:rsidP="00121C5C">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b/>
                <w:szCs w:val="18"/>
              </w:rPr>
            </w:pPr>
            <w:r w:rsidRPr="00C36C8F">
              <w:rPr>
                <w:b/>
              </w:rPr>
              <w:t>9,200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b/>
                <w:szCs w:val="18"/>
              </w:rPr>
            </w:pPr>
            <w:r w:rsidRPr="00C36C8F">
              <w:rPr>
                <w:b/>
              </w:rPr>
              <w:t>18</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95173D" w:rsidRPr="00C36C8F" w:rsidRDefault="0095173D" w:rsidP="00121C5C">
            <w:pPr>
              <w:pStyle w:val="TableText"/>
              <w:keepNext/>
              <w:keepLines/>
              <w:jc w:val="right"/>
              <w:rPr>
                <w:rFonts w:cs="Arial"/>
                <w:b/>
                <w:szCs w:val="18"/>
              </w:rPr>
            </w:pPr>
            <w:r w:rsidRPr="00C36C8F">
              <w:rPr>
                <w:b/>
              </w:rPr>
              <w:t>16</w:t>
            </w:r>
          </w:p>
        </w:tc>
      </w:tr>
    </w:tbl>
    <w:p w:rsidR="00121C5C" w:rsidRPr="00C36C8F" w:rsidRDefault="00121C5C" w:rsidP="00121C5C">
      <w:pPr>
        <w:pStyle w:val="ParaIndent"/>
        <w:spacing w:before="120"/>
        <w:ind w:left="156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121C5C" w:rsidRPr="00C36C8F" w:rsidRDefault="00121C5C" w:rsidP="00121C5C"/>
    <w:p w:rsidR="00121C5C" w:rsidRPr="00C36C8F" w:rsidRDefault="00121C5C" w:rsidP="00121C5C"/>
    <w:p w:rsidR="0009088A" w:rsidRPr="00C36C8F" w:rsidRDefault="0009088A" w:rsidP="003D7CFE">
      <w:pPr>
        <w:pStyle w:val="ParaIndent"/>
        <w:spacing w:before="120"/>
      </w:pPr>
    </w:p>
    <w:p w:rsidR="00DE05C7" w:rsidRPr="00C36C8F" w:rsidRDefault="00B9555F" w:rsidP="006A1B32">
      <w:pPr>
        <w:pStyle w:val="ParaIndent"/>
        <w:keepNext/>
        <w:spacing w:before="120"/>
        <w:jc w:val="both"/>
      </w:pPr>
      <w:r w:rsidRPr="00C36C8F">
        <w:fldChar w:fldCharType="begin"/>
      </w:r>
      <w:r w:rsidR="0095173D" w:rsidRPr="00C36C8F">
        <w:instrText xml:space="preserve"> REF _Ref300769714 \h </w:instrText>
      </w:r>
      <w:r w:rsidRPr="00C36C8F">
        <w:fldChar w:fldCharType="separate"/>
      </w:r>
      <w:r w:rsidR="00AE7E3B" w:rsidRPr="00C36C8F">
        <w:t xml:space="preserve">Figure </w:t>
      </w:r>
      <w:r w:rsidR="00AE7E3B">
        <w:rPr>
          <w:noProof/>
        </w:rPr>
        <w:t>4</w:t>
      </w:r>
      <w:r w:rsidR="00AE7E3B" w:rsidRPr="00C36C8F">
        <w:t>-</w:t>
      </w:r>
      <w:r w:rsidR="00AE7E3B">
        <w:rPr>
          <w:noProof/>
        </w:rPr>
        <w:t>22</w:t>
      </w:r>
      <w:r w:rsidRPr="00C36C8F">
        <w:fldChar w:fldCharType="end"/>
      </w:r>
      <w:r w:rsidR="00B46B2F" w:rsidRPr="00C36C8F">
        <w:t xml:space="preserve"> </w:t>
      </w:r>
      <w:r w:rsidR="0009088A" w:rsidRPr="00C36C8F">
        <w:t>charts waste disposal, recycling and energy recovery, by source sector for Tasmania.</w:t>
      </w:r>
      <w:r w:rsidR="006F4D38" w:rsidRPr="00C36C8F">
        <w:t xml:space="preserve"> Insufficient data was available to provide separate estimates for the C&amp;I and C&amp;D waste streams.</w:t>
      </w:r>
    </w:p>
    <w:tbl>
      <w:tblPr>
        <w:tblW w:w="0" w:type="auto"/>
        <w:tblInd w:w="1134" w:type="dxa"/>
        <w:tblLayout w:type="fixed"/>
        <w:tblCellMar>
          <w:left w:w="0" w:type="dxa"/>
          <w:right w:w="0" w:type="dxa"/>
        </w:tblCellMar>
        <w:tblLook w:val="0000"/>
      </w:tblPr>
      <w:tblGrid>
        <w:gridCol w:w="8505"/>
      </w:tblGrid>
      <w:tr w:rsidR="006F6D79" w:rsidRPr="00C36C8F" w:rsidTr="006F6D79">
        <w:trPr>
          <w:cantSplit/>
          <w:trHeight w:val="3486"/>
        </w:trPr>
        <w:tc>
          <w:tcPr>
            <w:tcW w:w="8505" w:type="dxa"/>
          </w:tcPr>
          <w:p w:rsidR="006F6D79" w:rsidRPr="00C36C8F" w:rsidRDefault="00476BAA" w:rsidP="006F6D79">
            <w:pPr>
              <w:pStyle w:val="ParaIndent"/>
              <w:spacing w:before="120"/>
              <w:ind w:left="0"/>
            </w:pPr>
            <w:bookmarkStart w:id="200" w:name="_Toc284316469"/>
            <w:r>
              <w:rPr>
                <w:noProof/>
                <w:lang w:eastAsia="en-AU"/>
              </w:rPr>
              <w:drawing>
                <wp:inline distT="0" distB="0" distL="0" distR="0">
                  <wp:extent cx="1695449" cy="2871789"/>
                  <wp:effectExtent l="0" t="0" r="635"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en-AU"/>
              </w:rPr>
              <w:drawing>
                <wp:inline distT="0" distB="0" distL="0" distR="0">
                  <wp:extent cx="1733550" cy="2905126"/>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6F6D79" w:rsidRPr="00C36C8F" w:rsidTr="006F6D79">
        <w:trPr>
          <w:cantSplit/>
        </w:trPr>
        <w:tc>
          <w:tcPr>
            <w:tcW w:w="8505" w:type="dxa"/>
          </w:tcPr>
          <w:p w:rsidR="006F6D79" w:rsidRPr="00C36C8F" w:rsidRDefault="006F6D79" w:rsidP="006F6D79">
            <w:pPr>
              <w:pStyle w:val="Caption"/>
              <w:tabs>
                <w:tab w:val="left" w:pos="7275"/>
              </w:tabs>
            </w:pPr>
            <w:bookmarkStart w:id="201" w:name="_Ref300769714"/>
            <w:r w:rsidRPr="00C36C8F">
              <w:t xml:space="preserve">Figure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Figure \* Arabic </w:instrText>
            </w:r>
            <w:r w:rsidR="00B9555F" w:rsidRPr="00C36C8F">
              <w:fldChar w:fldCharType="separate"/>
            </w:r>
            <w:r w:rsidR="00AE7E3B">
              <w:rPr>
                <w:noProof/>
              </w:rPr>
              <w:t>22</w:t>
            </w:r>
            <w:r w:rsidR="00B9555F" w:rsidRPr="00C36C8F">
              <w:rPr>
                <w:noProof/>
              </w:rPr>
              <w:fldChar w:fldCharType="end"/>
            </w:r>
            <w:bookmarkEnd w:id="201"/>
            <w:r w:rsidRPr="00C36C8F">
              <w:tab/>
            </w:r>
            <w:r w:rsidR="0095173D" w:rsidRPr="00C36C8F">
              <w:t>Tasmanian</w:t>
            </w:r>
            <w:r w:rsidRPr="00C36C8F">
              <w:t xml:space="preserve"> waste disposal, recycling and energy recovery, by source sector 2008–09</w:t>
            </w:r>
            <w:r w:rsidR="00C16F94">
              <w:t xml:space="preserve"> subtotals</w:t>
            </w:r>
            <w:r w:rsidR="00AB1315" w:rsidRPr="00C36C8F">
              <w:t>. Units in ‘000 tonnes.</w:t>
            </w:r>
          </w:p>
        </w:tc>
      </w:tr>
    </w:tbl>
    <w:p w:rsidR="0009088A" w:rsidRPr="00C36C8F" w:rsidRDefault="0009088A" w:rsidP="0009088A">
      <w:pPr>
        <w:pStyle w:val="ParaIndent"/>
      </w:pPr>
    </w:p>
    <w:p w:rsidR="0009088A" w:rsidRPr="00C36C8F" w:rsidRDefault="0009088A" w:rsidP="0009088A">
      <w:pPr>
        <w:pStyle w:val="ParaIndent"/>
      </w:pPr>
      <w:r w:rsidRPr="00C36C8F">
        <w:br w:type="page"/>
      </w:r>
    </w:p>
    <w:p w:rsidR="00DE05C7" w:rsidRPr="00C36C8F" w:rsidRDefault="00DE05C7" w:rsidP="00482928">
      <w:pPr>
        <w:pStyle w:val="Heading2"/>
        <w:spacing w:before="120" w:after="120"/>
      </w:pPr>
      <w:bookmarkStart w:id="202" w:name="_Toc325020111"/>
      <w:bookmarkStart w:id="203" w:name="_Toc305049759"/>
      <w:r w:rsidRPr="00C36C8F">
        <w:t>Australian Capital Territory waste disposal and recovery</w:t>
      </w:r>
      <w:bookmarkEnd w:id="200"/>
      <w:bookmarkEnd w:id="202"/>
      <w:bookmarkEnd w:id="203"/>
    </w:p>
    <w:p w:rsidR="008F1A28" w:rsidRPr="00C36C8F" w:rsidRDefault="00736F39" w:rsidP="00482928">
      <w:pPr>
        <w:pStyle w:val="ParaIndent"/>
        <w:spacing w:after="120"/>
        <w:jc w:val="both"/>
      </w:pPr>
      <w:r w:rsidRPr="00C36C8F">
        <w:t>ACT</w:t>
      </w:r>
      <w:r w:rsidR="008F1A28" w:rsidRPr="00C36C8F">
        <w:t xml:space="preserve"> disposal, recycling and energy recovery data is for the 2008–09 financial year. The waste disposal composition was estimated by applying compositions derived from disposal-based waste audit to landfill data published by </w:t>
      </w:r>
      <w:r w:rsidRPr="00C36C8F">
        <w:t xml:space="preserve">the Department of Territory and </w:t>
      </w:r>
      <w:r w:rsidR="00576C20" w:rsidRPr="00C36C8F">
        <w:t>Municipal</w:t>
      </w:r>
      <w:r w:rsidRPr="00C36C8F">
        <w:t xml:space="preserve"> Services</w:t>
      </w:r>
      <w:r w:rsidR="008F1A28" w:rsidRPr="00C36C8F">
        <w:t>.</w:t>
      </w:r>
    </w:p>
    <w:p w:rsidR="00DE05C7" w:rsidRPr="00C36C8F" w:rsidRDefault="00B9555F" w:rsidP="00482928">
      <w:pPr>
        <w:pStyle w:val="ParaIndent"/>
        <w:spacing w:after="120"/>
        <w:jc w:val="both"/>
      </w:pPr>
      <w:fldSimple w:instr=" REF _Ref284593027 \h  \* MERGEFORMAT ">
        <w:r w:rsidR="00AE7E3B" w:rsidRPr="00C36C8F">
          <w:t xml:space="preserve">Table </w:t>
        </w:r>
        <w:r w:rsidR="00AE7E3B">
          <w:rPr>
            <w:noProof/>
          </w:rPr>
          <w:t>4</w:t>
        </w:r>
        <w:r w:rsidR="00AE7E3B" w:rsidRPr="00C36C8F">
          <w:rPr>
            <w:noProof/>
          </w:rPr>
          <w:t>-</w:t>
        </w:r>
        <w:r w:rsidR="00AE7E3B">
          <w:rPr>
            <w:noProof/>
          </w:rPr>
          <w:t>37</w:t>
        </w:r>
      </w:fldSimple>
      <w:r w:rsidR="00DE05C7" w:rsidRPr="00C36C8F">
        <w:t xml:space="preserve"> provides an overview of the sources of the ACT waste disposal and recovery data, upon which the jurisdictional review and national figures for the 2008</w:t>
      </w:r>
      <w:r w:rsidR="006133B2">
        <w:t>–</w:t>
      </w:r>
      <w:r w:rsidR="00DE05C7" w:rsidRPr="00C36C8F">
        <w:t>09 reporting period are based.</w:t>
      </w:r>
    </w:p>
    <w:p w:rsidR="00DE05C7" w:rsidRPr="00C36C8F" w:rsidRDefault="00DE05C7" w:rsidP="00482928">
      <w:pPr>
        <w:pStyle w:val="Caption"/>
        <w:tabs>
          <w:tab w:val="left" w:pos="7275"/>
        </w:tabs>
        <w:spacing w:before="60" w:after="60"/>
      </w:pPr>
      <w:bookmarkStart w:id="204" w:name="_Ref284593027"/>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37</w:t>
      </w:r>
      <w:r w:rsidR="00B9555F" w:rsidRPr="00C36C8F">
        <w:rPr>
          <w:noProof/>
        </w:rPr>
        <w:fldChar w:fldCharType="end"/>
      </w:r>
      <w:bookmarkEnd w:id="204"/>
      <w:r w:rsidRPr="00C36C8F">
        <w:tab/>
        <w:t>Sources of Australian Capital Territory waste disposal and recovery data</w:t>
      </w:r>
    </w:p>
    <w:tbl>
      <w:tblPr>
        <w:tblW w:w="0" w:type="auto"/>
        <w:tblBorders>
          <w:bottom w:val="single" w:sz="18" w:space="0" w:color="808080"/>
          <w:insideH w:val="single" w:sz="4" w:space="0" w:color="808080"/>
        </w:tblBorders>
        <w:tblCellMar>
          <w:left w:w="0" w:type="dxa"/>
          <w:right w:w="0" w:type="dxa"/>
        </w:tblCellMar>
        <w:tblLook w:val="01E0"/>
      </w:tblPr>
      <w:tblGrid>
        <w:gridCol w:w="1364"/>
        <w:gridCol w:w="3456"/>
        <w:gridCol w:w="4961"/>
      </w:tblGrid>
      <w:tr w:rsidR="007715EB" w:rsidRPr="00C36C8F" w:rsidTr="00482928">
        <w:trPr>
          <w:cantSplit/>
          <w:tblHeader/>
        </w:trPr>
        <w:tc>
          <w:tcPr>
            <w:tcW w:w="0" w:type="auto"/>
            <w:shd w:val="clear" w:color="auto" w:fill="auto"/>
            <w:tcMar>
              <w:right w:w="142" w:type="dxa"/>
            </w:tcMar>
          </w:tcPr>
          <w:p w:rsidR="007715EB" w:rsidRPr="00C36C8F" w:rsidRDefault="007715EB" w:rsidP="00E55023">
            <w:pPr>
              <w:pStyle w:val="TableHeading"/>
              <w:rPr>
                <w:kern w:val="28"/>
              </w:rPr>
            </w:pPr>
            <w:r w:rsidRPr="00C36C8F">
              <w:rPr>
                <w:kern w:val="28"/>
              </w:rPr>
              <w:t>Data field</w:t>
            </w:r>
          </w:p>
        </w:tc>
        <w:tc>
          <w:tcPr>
            <w:tcW w:w="3456" w:type="dxa"/>
            <w:shd w:val="clear" w:color="auto" w:fill="auto"/>
            <w:tcMar>
              <w:right w:w="142" w:type="dxa"/>
            </w:tcMar>
          </w:tcPr>
          <w:p w:rsidR="007715EB" w:rsidRPr="00C36C8F" w:rsidRDefault="007715EB" w:rsidP="00E55023">
            <w:pPr>
              <w:pStyle w:val="TableHeading"/>
              <w:rPr>
                <w:kern w:val="28"/>
              </w:rPr>
            </w:pPr>
            <w:r w:rsidRPr="00C36C8F">
              <w:rPr>
                <w:kern w:val="28"/>
              </w:rPr>
              <w:t>Source</w:t>
            </w:r>
          </w:p>
        </w:tc>
        <w:tc>
          <w:tcPr>
            <w:tcW w:w="4961" w:type="dxa"/>
            <w:tcMar>
              <w:right w:w="142" w:type="dxa"/>
            </w:tcMar>
          </w:tcPr>
          <w:p w:rsidR="007715EB" w:rsidRPr="00C36C8F" w:rsidRDefault="007715EB" w:rsidP="00E55023">
            <w:pPr>
              <w:pStyle w:val="TableHeading"/>
              <w:rPr>
                <w:kern w:val="28"/>
              </w:rPr>
            </w:pPr>
            <w:r w:rsidRPr="00C36C8F">
              <w:rPr>
                <w:kern w:val="28"/>
              </w:rPr>
              <w:t>Data collation assumptions &amp; calculation methods</w:t>
            </w:r>
          </w:p>
        </w:tc>
      </w:tr>
      <w:tr w:rsidR="003B0F3C" w:rsidRPr="00C36C8F" w:rsidTr="00482928">
        <w:tblPrEx>
          <w:tblBorders>
            <w:bottom w:val="none" w:sz="0" w:space="0" w:color="auto"/>
            <w:insideH w:val="none" w:sz="0" w:space="0" w:color="auto"/>
          </w:tblBorders>
          <w:tblCellMar>
            <w:left w:w="108" w:type="dxa"/>
            <w:right w:w="108" w:type="dxa"/>
          </w:tblCellMar>
          <w:tblLook w:val="04A0"/>
        </w:tblPrEx>
        <w:trPr>
          <w:cantSplit/>
          <w:trHeight w:val="735"/>
        </w:trPr>
        <w:tc>
          <w:tcPr>
            <w:tcW w:w="0" w:type="auto"/>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108"/>
              <w:rPr>
                <w:sz w:val="18"/>
              </w:rPr>
            </w:pPr>
            <w:r w:rsidRPr="000B315F">
              <w:rPr>
                <w:sz w:val="18"/>
              </w:rPr>
              <w:t>Population data</w:t>
            </w:r>
          </w:p>
        </w:tc>
        <w:tc>
          <w:tcPr>
            <w:tcW w:w="3456"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 xml:space="preserve">Australian Bureau of Statistics, ABS Release 3101.04 – </w:t>
            </w:r>
            <w:r w:rsidRPr="000B315F">
              <w:rPr>
                <w:i/>
                <w:sz w:val="18"/>
              </w:rPr>
              <w:t>Estimated Resident Population, States and Territories (Number)</w:t>
            </w:r>
            <w:r w:rsidRPr="000B315F">
              <w:rPr>
                <w:sz w:val="18"/>
              </w:rPr>
              <w:t>, June 2009, Canberra, Australia.</w:t>
            </w:r>
          </w:p>
        </w:tc>
        <w:tc>
          <w:tcPr>
            <w:tcW w:w="4961"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None.</w:t>
            </w:r>
          </w:p>
        </w:tc>
      </w:tr>
      <w:tr w:rsidR="003B0F3C" w:rsidRPr="00C36C8F" w:rsidTr="00482928">
        <w:tblPrEx>
          <w:tblBorders>
            <w:bottom w:val="none" w:sz="0" w:space="0" w:color="auto"/>
            <w:insideH w:val="none" w:sz="0" w:space="0" w:color="auto"/>
          </w:tblBorders>
          <w:tblCellMar>
            <w:left w:w="108" w:type="dxa"/>
            <w:right w:w="108" w:type="dxa"/>
          </w:tblCellMar>
          <w:tblLook w:val="04A0"/>
        </w:tblPrEx>
        <w:trPr>
          <w:cantSplit/>
          <w:trHeight w:val="1935"/>
        </w:trPr>
        <w:tc>
          <w:tcPr>
            <w:tcW w:w="0" w:type="auto"/>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108"/>
              <w:rPr>
                <w:sz w:val="18"/>
              </w:rPr>
            </w:pPr>
            <w:r w:rsidRPr="000B315F">
              <w:rPr>
                <w:sz w:val="18"/>
              </w:rPr>
              <w:t>Disposal to landfill - total quantity</w:t>
            </w:r>
          </w:p>
        </w:tc>
        <w:tc>
          <w:tcPr>
            <w:tcW w:w="3456"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Department of Territory and Municipal Services (ACT), Time series landfill data, assessed from www.tams.act.gov.au, ACT, 2010a.</w:t>
            </w:r>
            <w:r w:rsidRPr="000B315F">
              <w:rPr>
                <w:sz w:val="18"/>
              </w:rPr>
              <w:br/>
              <w:t>2. Energy recovery estimates - various sources [Clean Energy Council (2010); Golder (2009); Green Energy Markets for Energy Developments (2008)].</w:t>
            </w:r>
          </w:p>
        </w:tc>
        <w:tc>
          <w:tcPr>
            <w:tcW w:w="4961"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Total disposal to landfill data for the ACT during 2008</w:t>
            </w:r>
            <w:r w:rsidR="0046767E" w:rsidRPr="000B315F">
              <w:rPr>
                <w:sz w:val="18"/>
              </w:rPr>
              <w:t>–</w:t>
            </w:r>
            <w:r w:rsidRPr="000B315F">
              <w:rPr>
                <w:sz w:val="18"/>
              </w:rPr>
              <w:t>09 was primarily based upon data sourced from DTMS (2010a).</w:t>
            </w:r>
            <w:r w:rsidRPr="000B315F">
              <w:rPr>
                <w:sz w:val="18"/>
              </w:rPr>
              <w:br/>
              <w:t>2. An exception to point 1 above was the relatively small quantity of organic material recovered through energy recovery, which was subtracted from ACT disposal to landfill in 2008</w:t>
            </w:r>
            <w:r w:rsidR="0046767E" w:rsidRPr="000B315F">
              <w:rPr>
                <w:sz w:val="18"/>
              </w:rPr>
              <w:t>–</w:t>
            </w:r>
            <w:r w:rsidRPr="000B315F">
              <w:rPr>
                <w:sz w:val="18"/>
              </w:rPr>
              <w:t>09. See Section 3.1 (Recommendation 6) for a detailed outline of the method applied to determine the total quantity of waste recovered through energy recovery processes.</w:t>
            </w:r>
          </w:p>
        </w:tc>
      </w:tr>
      <w:tr w:rsidR="003B0F3C" w:rsidRPr="00C36C8F" w:rsidTr="00482928">
        <w:tblPrEx>
          <w:tblBorders>
            <w:bottom w:val="none" w:sz="0" w:space="0" w:color="auto"/>
            <w:insideH w:val="none" w:sz="0" w:space="0" w:color="auto"/>
          </w:tblBorders>
          <w:tblCellMar>
            <w:left w:w="108" w:type="dxa"/>
            <w:right w:w="108" w:type="dxa"/>
          </w:tblCellMar>
          <w:tblLook w:val="04A0"/>
        </w:tblPrEx>
        <w:trPr>
          <w:cantSplit/>
          <w:trHeight w:val="735"/>
        </w:trPr>
        <w:tc>
          <w:tcPr>
            <w:tcW w:w="0" w:type="auto"/>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108"/>
              <w:rPr>
                <w:sz w:val="18"/>
              </w:rPr>
            </w:pPr>
            <w:r w:rsidRPr="000B315F">
              <w:rPr>
                <w:sz w:val="18"/>
              </w:rPr>
              <w:t>Recycling - total quantity</w:t>
            </w:r>
          </w:p>
        </w:tc>
        <w:tc>
          <w:tcPr>
            <w:tcW w:w="3456"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 xml:space="preserve">1. Department of Territory and Municipal Services (ACT), </w:t>
            </w:r>
            <w:r w:rsidRPr="000B315F">
              <w:rPr>
                <w:i/>
                <w:sz w:val="18"/>
              </w:rPr>
              <w:t>Time series resource recovery data</w:t>
            </w:r>
            <w:r w:rsidRPr="000B315F">
              <w:rPr>
                <w:sz w:val="18"/>
              </w:rPr>
              <w:t>, assessed from www.tams.act.gov.au, ACT, 2010b.</w:t>
            </w:r>
          </w:p>
        </w:tc>
        <w:tc>
          <w:tcPr>
            <w:tcW w:w="4961"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Total recycling data for the ACT during 2008</w:t>
            </w:r>
            <w:r w:rsidR="0046767E" w:rsidRPr="000B315F">
              <w:rPr>
                <w:sz w:val="18"/>
              </w:rPr>
              <w:t>–</w:t>
            </w:r>
            <w:r w:rsidRPr="000B315F">
              <w:rPr>
                <w:sz w:val="18"/>
              </w:rPr>
              <w:t>09 was primarily based upon data sourced from DTMS (2010b).</w:t>
            </w:r>
          </w:p>
        </w:tc>
      </w:tr>
      <w:tr w:rsidR="003B0F3C" w:rsidRPr="00C36C8F" w:rsidTr="00482928">
        <w:tblPrEx>
          <w:tblBorders>
            <w:bottom w:val="none" w:sz="0" w:space="0" w:color="auto"/>
            <w:insideH w:val="none" w:sz="0" w:space="0" w:color="auto"/>
          </w:tblBorders>
          <w:tblCellMar>
            <w:left w:w="108" w:type="dxa"/>
            <w:right w:w="108" w:type="dxa"/>
          </w:tblCellMar>
          <w:tblLook w:val="04A0"/>
        </w:tblPrEx>
        <w:trPr>
          <w:cantSplit/>
          <w:trHeight w:val="1215"/>
        </w:trPr>
        <w:tc>
          <w:tcPr>
            <w:tcW w:w="0" w:type="auto"/>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108"/>
              <w:rPr>
                <w:sz w:val="18"/>
              </w:rPr>
            </w:pPr>
            <w:r w:rsidRPr="000B315F">
              <w:rPr>
                <w:sz w:val="18"/>
              </w:rPr>
              <w:t>Energy recovery - total quantity</w:t>
            </w:r>
          </w:p>
        </w:tc>
        <w:tc>
          <w:tcPr>
            <w:tcW w:w="3456"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Landfill energy recovery estimates - various sources [Clean Energy Council (2010); Golder (2009); Green Energy Markets for Energy Developments (2008)].</w:t>
            </w:r>
          </w:p>
        </w:tc>
        <w:tc>
          <w:tcPr>
            <w:tcW w:w="4961"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The total quantity of waste recovered through energy recovery processes was calculated using the method outlined in detail in Section 3.1 (Recommendation 6). All energy recovery, relating to waste generated in the ACT during 2008-09, was through methane capture at landfills and sewage treatment plants.</w:t>
            </w:r>
          </w:p>
        </w:tc>
      </w:tr>
      <w:tr w:rsidR="003B0F3C" w:rsidRPr="00C36C8F" w:rsidTr="00482928">
        <w:tblPrEx>
          <w:tblBorders>
            <w:bottom w:val="none" w:sz="0" w:space="0" w:color="auto"/>
            <w:insideH w:val="none" w:sz="0" w:space="0" w:color="auto"/>
          </w:tblBorders>
          <w:tblCellMar>
            <w:left w:w="108" w:type="dxa"/>
            <w:right w:w="108" w:type="dxa"/>
          </w:tblCellMar>
          <w:tblLook w:val="04A0"/>
        </w:tblPrEx>
        <w:trPr>
          <w:cantSplit/>
          <w:trHeight w:val="495"/>
        </w:trPr>
        <w:tc>
          <w:tcPr>
            <w:tcW w:w="0" w:type="auto"/>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108"/>
              <w:rPr>
                <w:sz w:val="18"/>
              </w:rPr>
            </w:pPr>
            <w:r w:rsidRPr="000B315F">
              <w:rPr>
                <w:sz w:val="18"/>
              </w:rPr>
              <w:t>Disposal to landfill - waste stream splits</w:t>
            </w:r>
          </w:p>
        </w:tc>
        <w:tc>
          <w:tcPr>
            <w:tcW w:w="3456" w:type="dxa"/>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0"/>
              <w:rPr>
                <w:sz w:val="18"/>
              </w:rPr>
            </w:pPr>
            <w:r w:rsidRPr="000B315F">
              <w:rPr>
                <w:sz w:val="18"/>
              </w:rPr>
              <w:t xml:space="preserve">1. APC Environmental Management, </w:t>
            </w:r>
            <w:r w:rsidRPr="000B315F">
              <w:rPr>
                <w:i/>
                <w:sz w:val="18"/>
              </w:rPr>
              <w:t>Domestic waste audit</w:t>
            </w:r>
            <w:r w:rsidRPr="000B315F">
              <w:rPr>
                <w:sz w:val="18"/>
              </w:rPr>
              <w:t xml:space="preserve">, prepared for Thiess Services </w:t>
            </w:r>
            <w:r w:rsidR="00482928">
              <w:rPr>
                <w:sz w:val="18"/>
              </w:rPr>
              <w:t>&amp;</w:t>
            </w:r>
            <w:r w:rsidRPr="000B315F">
              <w:rPr>
                <w:sz w:val="18"/>
              </w:rPr>
              <w:t xml:space="preserve"> ACT NoWaste, 2007.</w:t>
            </w:r>
          </w:p>
        </w:tc>
        <w:tc>
          <w:tcPr>
            <w:tcW w:w="4961"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Disposal to landfill by waste stream data for the ACT during 2008-09 was based on the source sector estimates provided in APC (2007).</w:t>
            </w:r>
          </w:p>
        </w:tc>
      </w:tr>
      <w:tr w:rsidR="003B0F3C" w:rsidRPr="00C36C8F" w:rsidTr="00482928">
        <w:tblPrEx>
          <w:tblBorders>
            <w:bottom w:val="none" w:sz="0" w:space="0" w:color="auto"/>
            <w:insideH w:val="none" w:sz="0" w:space="0" w:color="auto"/>
          </w:tblBorders>
          <w:tblCellMar>
            <w:left w:w="108" w:type="dxa"/>
            <w:right w:w="108" w:type="dxa"/>
          </w:tblCellMar>
          <w:tblLook w:val="04A0"/>
        </w:tblPrEx>
        <w:trPr>
          <w:cantSplit/>
          <w:trHeight w:val="1695"/>
        </w:trPr>
        <w:tc>
          <w:tcPr>
            <w:tcW w:w="0" w:type="auto"/>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108"/>
              <w:rPr>
                <w:sz w:val="18"/>
              </w:rPr>
            </w:pPr>
            <w:r w:rsidRPr="000B315F">
              <w:rPr>
                <w:sz w:val="18"/>
              </w:rPr>
              <w:t>Recycling - waste stream splits</w:t>
            </w:r>
          </w:p>
        </w:tc>
        <w:tc>
          <w:tcPr>
            <w:tcW w:w="3456"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Estimate of per capita MSW recycling based on weighted average rate for NSW, Vic, SA and WA.</w:t>
            </w:r>
          </w:p>
        </w:tc>
        <w:tc>
          <w:tcPr>
            <w:tcW w:w="4961"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Recycling by waste stream data for the ACT during 2008</w:t>
            </w:r>
            <w:r w:rsidR="0046767E" w:rsidRPr="000B315F">
              <w:rPr>
                <w:sz w:val="18"/>
              </w:rPr>
              <w:t>–</w:t>
            </w:r>
            <w:r w:rsidRPr="000B315F">
              <w:rPr>
                <w:sz w:val="18"/>
              </w:rPr>
              <w:t xml:space="preserve">09 was based upon an average per capita MSW waste generation estimate, which was used to estimate ACT municipal waste generation. From this, the previously </w:t>
            </w:r>
            <w:r w:rsidR="00E231FD" w:rsidRPr="000B315F">
              <w:rPr>
                <w:sz w:val="18"/>
              </w:rPr>
              <w:t>calculated MSW disposal (above</w:t>
            </w:r>
            <w:r w:rsidR="00E231FD">
              <w:rPr>
                <w:rFonts w:cs="Arial"/>
                <w:sz w:val="18"/>
                <w:szCs w:val="18"/>
              </w:rPr>
              <w:t>)</w:t>
            </w:r>
            <w:r w:rsidRPr="000B315F">
              <w:rPr>
                <w:sz w:val="18"/>
              </w:rPr>
              <w:t xml:space="preserve"> was subtracted to estimate MSW recycling. This estimate of MSW recycling value was then subtracted from known overall recycling to provide an estimate of aggregated C&amp;I and C&amp;D recycling.</w:t>
            </w:r>
          </w:p>
        </w:tc>
      </w:tr>
      <w:tr w:rsidR="003B0F3C" w:rsidRPr="00C36C8F" w:rsidTr="00482928">
        <w:tblPrEx>
          <w:tblBorders>
            <w:bottom w:val="none" w:sz="0" w:space="0" w:color="auto"/>
            <w:insideH w:val="none" w:sz="0" w:space="0" w:color="auto"/>
          </w:tblBorders>
          <w:tblCellMar>
            <w:left w:w="108" w:type="dxa"/>
            <w:right w:w="108" w:type="dxa"/>
          </w:tblCellMar>
          <w:tblLook w:val="04A0"/>
        </w:tblPrEx>
        <w:trPr>
          <w:cantSplit/>
          <w:trHeight w:val="735"/>
        </w:trPr>
        <w:tc>
          <w:tcPr>
            <w:tcW w:w="0" w:type="auto"/>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108"/>
              <w:rPr>
                <w:sz w:val="18"/>
              </w:rPr>
            </w:pPr>
            <w:r w:rsidRPr="000B315F">
              <w:rPr>
                <w:sz w:val="18"/>
              </w:rPr>
              <w:t>Energy recovery - waste stream splits</w:t>
            </w:r>
          </w:p>
        </w:tc>
        <w:tc>
          <w:tcPr>
            <w:tcW w:w="3456"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Landfill energy recovery estimates - various sources [Clean Energy Council (2010); Golder (2009); Green Energy Markets for Energy Developments (2008)].</w:t>
            </w:r>
          </w:p>
        </w:tc>
        <w:tc>
          <w:tcPr>
            <w:tcW w:w="4961"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Energy recovery by waste stream was calculated using the data sources identified here and the method outlined in detail in Section 3.1 (Recommendation 6).</w:t>
            </w:r>
          </w:p>
        </w:tc>
      </w:tr>
      <w:tr w:rsidR="003B0F3C" w:rsidRPr="00C36C8F" w:rsidTr="00482928">
        <w:tblPrEx>
          <w:tblBorders>
            <w:bottom w:val="none" w:sz="0" w:space="0" w:color="auto"/>
            <w:insideH w:val="none" w:sz="0" w:space="0" w:color="auto"/>
          </w:tblBorders>
          <w:tblCellMar>
            <w:left w:w="108" w:type="dxa"/>
            <w:right w:w="108" w:type="dxa"/>
          </w:tblCellMar>
          <w:tblLook w:val="04A0"/>
        </w:tblPrEx>
        <w:trPr>
          <w:cantSplit/>
          <w:trHeight w:val="495"/>
        </w:trPr>
        <w:tc>
          <w:tcPr>
            <w:tcW w:w="0" w:type="auto"/>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108"/>
              <w:rPr>
                <w:sz w:val="18"/>
              </w:rPr>
            </w:pPr>
            <w:r w:rsidRPr="000B315F">
              <w:rPr>
                <w:sz w:val="18"/>
              </w:rPr>
              <w:t>Disposal to landfill - material splits</w:t>
            </w:r>
          </w:p>
        </w:tc>
        <w:tc>
          <w:tcPr>
            <w:tcW w:w="3456"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 xml:space="preserve">1. Department of Territory and Municipal Services (ACT), </w:t>
            </w:r>
            <w:r w:rsidRPr="000B315F">
              <w:rPr>
                <w:i/>
                <w:sz w:val="18"/>
              </w:rPr>
              <w:t>Time series landfill data,</w:t>
            </w:r>
            <w:r w:rsidRPr="000B315F">
              <w:rPr>
                <w:sz w:val="18"/>
              </w:rPr>
              <w:t xml:space="preserve"> assessed from www.tams.act.gov.au, ACT, 2010a.</w:t>
            </w:r>
          </w:p>
        </w:tc>
        <w:tc>
          <w:tcPr>
            <w:tcW w:w="4961"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Disposal to landfill by material type data for the ACT during 2008-09 was based upon data sourced from DTMS (2010a).</w:t>
            </w:r>
          </w:p>
        </w:tc>
      </w:tr>
      <w:tr w:rsidR="003B0F3C" w:rsidRPr="00C36C8F" w:rsidTr="00482928">
        <w:tblPrEx>
          <w:tblBorders>
            <w:bottom w:val="none" w:sz="0" w:space="0" w:color="auto"/>
            <w:insideH w:val="none" w:sz="0" w:space="0" w:color="auto"/>
          </w:tblBorders>
          <w:tblCellMar>
            <w:left w:w="108" w:type="dxa"/>
            <w:right w:w="108" w:type="dxa"/>
          </w:tblCellMar>
          <w:tblLook w:val="04A0"/>
        </w:tblPrEx>
        <w:trPr>
          <w:cantSplit/>
          <w:trHeight w:val="735"/>
        </w:trPr>
        <w:tc>
          <w:tcPr>
            <w:tcW w:w="0" w:type="auto"/>
            <w:tcBorders>
              <w:top w:val="nil"/>
              <w:left w:val="nil"/>
              <w:bottom w:val="single" w:sz="8" w:space="0" w:color="808080"/>
              <w:right w:val="nil"/>
            </w:tcBorders>
            <w:shd w:val="clear" w:color="auto" w:fill="auto"/>
            <w:tcMar>
              <w:right w:w="142" w:type="dxa"/>
            </w:tcMar>
            <w:hideMark/>
          </w:tcPr>
          <w:p w:rsidR="003B0F3C" w:rsidRPr="000B315F" w:rsidRDefault="003B0F3C" w:rsidP="00482928">
            <w:pPr>
              <w:spacing w:after="0" w:line="240" w:lineRule="auto"/>
              <w:ind w:left="-108"/>
              <w:rPr>
                <w:sz w:val="18"/>
              </w:rPr>
            </w:pPr>
            <w:r w:rsidRPr="000B315F">
              <w:rPr>
                <w:sz w:val="18"/>
              </w:rPr>
              <w:t>Recycling - material splits</w:t>
            </w:r>
          </w:p>
        </w:tc>
        <w:tc>
          <w:tcPr>
            <w:tcW w:w="3456"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 xml:space="preserve">1. Department of Territory and Municipal Services (ACT), </w:t>
            </w:r>
            <w:r w:rsidRPr="000B315F">
              <w:rPr>
                <w:i/>
                <w:sz w:val="18"/>
              </w:rPr>
              <w:t>Time series resource recovery data</w:t>
            </w:r>
            <w:r w:rsidRPr="000B315F">
              <w:rPr>
                <w:sz w:val="18"/>
              </w:rPr>
              <w:t>, assessed from www.tams.act.gov.au, ACT, 2010b.</w:t>
            </w:r>
          </w:p>
        </w:tc>
        <w:tc>
          <w:tcPr>
            <w:tcW w:w="4961" w:type="dxa"/>
            <w:tcBorders>
              <w:top w:val="nil"/>
              <w:left w:val="nil"/>
              <w:bottom w:val="single" w:sz="8" w:space="0" w:color="808080"/>
              <w:right w:val="nil"/>
            </w:tcBorders>
            <w:shd w:val="clear" w:color="auto" w:fill="auto"/>
            <w:tcMar>
              <w:right w:w="142" w:type="dxa"/>
            </w:tcMar>
            <w:hideMark/>
          </w:tcPr>
          <w:p w:rsidR="003B0F3C" w:rsidRPr="000B315F" w:rsidRDefault="003B0F3C" w:rsidP="00E55023">
            <w:pPr>
              <w:spacing w:after="0" w:line="240" w:lineRule="auto"/>
              <w:ind w:left="0"/>
              <w:rPr>
                <w:sz w:val="18"/>
              </w:rPr>
            </w:pPr>
            <w:r w:rsidRPr="000B315F">
              <w:rPr>
                <w:sz w:val="18"/>
              </w:rPr>
              <w:t>1. Recycling by material type data for the ACT during 2008</w:t>
            </w:r>
            <w:r w:rsidR="0046767E" w:rsidRPr="000B315F">
              <w:rPr>
                <w:sz w:val="18"/>
              </w:rPr>
              <w:t>–</w:t>
            </w:r>
            <w:r w:rsidRPr="000B315F">
              <w:rPr>
                <w:sz w:val="18"/>
              </w:rPr>
              <w:t>09 was primarily based upon data sourced from DTMS (2010b).</w:t>
            </w:r>
          </w:p>
        </w:tc>
      </w:tr>
      <w:tr w:rsidR="003B0F3C" w:rsidRPr="00C36C8F" w:rsidTr="00482928">
        <w:trPr>
          <w:cantSplit/>
          <w:trHeight w:val="270"/>
        </w:trPr>
        <w:tc>
          <w:tcPr>
            <w:tcW w:w="0" w:type="auto"/>
            <w:tcBorders>
              <w:top w:val="single" w:sz="8" w:space="0" w:color="808080"/>
            </w:tcBorders>
            <w:tcMar>
              <w:right w:w="142" w:type="dxa"/>
            </w:tcMar>
            <w:hideMark/>
          </w:tcPr>
          <w:p w:rsidR="003B0F3C" w:rsidRPr="000B315F" w:rsidRDefault="003B0F3C" w:rsidP="00E55023">
            <w:pPr>
              <w:spacing w:after="0" w:line="240" w:lineRule="auto"/>
              <w:ind w:left="0"/>
              <w:rPr>
                <w:sz w:val="18"/>
              </w:rPr>
            </w:pPr>
            <w:r w:rsidRPr="000B315F">
              <w:rPr>
                <w:sz w:val="18"/>
              </w:rPr>
              <w:t>Energy recovery - material splits</w:t>
            </w:r>
          </w:p>
        </w:tc>
        <w:tc>
          <w:tcPr>
            <w:tcW w:w="3456" w:type="dxa"/>
            <w:tcBorders>
              <w:top w:val="single" w:sz="8" w:space="0" w:color="808080"/>
            </w:tcBorders>
            <w:tcMar>
              <w:right w:w="142" w:type="dxa"/>
            </w:tcMar>
            <w:hideMark/>
          </w:tcPr>
          <w:p w:rsidR="003B0F3C" w:rsidRPr="000B315F" w:rsidRDefault="003B0F3C" w:rsidP="00E55023">
            <w:pPr>
              <w:spacing w:after="0" w:line="240" w:lineRule="auto"/>
              <w:ind w:left="0"/>
              <w:rPr>
                <w:sz w:val="18"/>
              </w:rPr>
            </w:pPr>
            <w:r w:rsidRPr="000B315F">
              <w:rPr>
                <w:sz w:val="18"/>
              </w:rPr>
              <w:t>See sources against "Energy recovery - total quantity" above.</w:t>
            </w:r>
          </w:p>
        </w:tc>
        <w:tc>
          <w:tcPr>
            <w:tcW w:w="4961" w:type="dxa"/>
            <w:tcBorders>
              <w:top w:val="single" w:sz="8" w:space="0" w:color="808080"/>
            </w:tcBorders>
            <w:tcMar>
              <w:right w:w="142" w:type="dxa"/>
            </w:tcMar>
            <w:hideMark/>
          </w:tcPr>
          <w:p w:rsidR="003B0F3C" w:rsidRPr="000B315F" w:rsidRDefault="003B0F3C" w:rsidP="00E55023">
            <w:pPr>
              <w:spacing w:after="0" w:line="240" w:lineRule="auto"/>
              <w:ind w:left="0"/>
              <w:rPr>
                <w:sz w:val="18"/>
              </w:rPr>
            </w:pPr>
            <w:r w:rsidRPr="000B315F">
              <w:rPr>
                <w:sz w:val="18"/>
              </w:rPr>
              <w:t>See comments against "Energy recovery - total quantity" above.</w:t>
            </w:r>
          </w:p>
        </w:tc>
      </w:tr>
    </w:tbl>
    <w:p w:rsidR="00DE05C7" w:rsidRPr="00C36C8F" w:rsidRDefault="00B9555F" w:rsidP="00690F1F">
      <w:pPr>
        <w:pStyle w:val="ParaIndent"/>
        <w:keepNext/>
        <w:spacing w:before="240"/>
      </w:pPr>
      <w:r w:rsidRPr="00C36C8F">
        <w:fldChar w:fldCharType="begin"/>
      </w:r>
      <w:r w:rsidR="003362E2" w:rsidRPr="00C36C8F">
        <w:instrText xml:space="preserve"> REF _Ref287277727 \h </w:instrText>
      </w:r>
      <w:r w:rsidRPr="00C36C8F">
        <w:fldChar w:fldCharType="separate"/>
      </w:r>
      <w:r w:rsidR="00AE7E3B" w:rsidRPr="00C36C8F">
        <w:t xml:space="preserve">Figure </w:t>
      </w:r>
      <w:r w:rsidR="00AE7E3B">
        <w:rPr>
          <w:noProof/>
        </w:rPr>
        <w:t>4</w:t>
      </w:r>
      <w:r w:rsidR="00AE7E3B" w:rsidRPr="00C36C8F">
        <w:t>-</w:t>
      </w:r>
      <w:r w:rsidR="00AE7E3B">
        <w:rPr>
          <w:noProof/>
        </w:rPr>
        <w:t>23</w:t>
      </w:r>
      <w:r w:rsidRPr="00C36C8F">
        <w:fldChar w:fldCharType="end"/>
      </w:r>
      <w:r w:rsidR="003362E2" w:rsidRPr="00C36C8F">
        <w:t xml:space="preserve"> </w:t>
      </w:r>
      <w:r w:rsidR="00313465" w:rsidRPr="00C36C8F">
        <w:t xml:space="preserve">charts ACT waste </w:t>
      </w:r>
      <w:r w:rsidR="00DE05C7" w:rsidRPr="00C36C8F">
        <w:t>dispo</w:t>
      </w:r>
      <w:r w:rsidR="00F95954" w:rsidRPr="00C36C8F">
        <w:t xml:space="preserve">sal, recycling </w:t>
      </w:r>
      <w:r w:rsidR="00313465" w:rsidRPr="00C36C8F">
        <w:t xml:space="preserve">and </w:t>
      </w:r>
      <w:r w:rsidR="00F95954" w:rsidRPr="00C36C8F">
        <w:t>energy recovery for the years 2002–03, 2006–07 and 2008–09. Data</w:t>
      </w:r>
      <w:r w:rsidR="00B66BA8" w:rsidRPr="00C36C8F">
        <w:t xml:space="preserve"> for 2002–</w:t>
      </w:r>
      <w:r w:rsidR="00F95954" w:rsidRPr="00C36C8F">
        <w:t xml:space="preserve">03 and 2006–07 has been taken directly from the previous </w:t>
      </w:r>
      <w:r w:rsidR="00F95954" w:rsidRPr="00C36C8F">
        <w:rPr>
          <w:i/>
        </w:rPr>
        <w:t xml:space="preserve">Waste and Recycling in Australia </w:t>
      </w:r>
      <w:r w:rsidR="00F95954" w:rsidRPr="00C36C8F">
        <w:t xml:space="preserve">reports and </w:t>
      </w:r>
      <w:r w:rsidR="007D2F30" w:rsidRPr="00C36C8F">
        <w:t>has not had the new data compilation method introduced in this report retrospectively applied.</w:t>
      </w:r>
      <w:r w:rsidR="00F95954" w:rsidRPr="00C36C8F">
        <w:t xml:space="preserve"> </w:t>
      </w:r>
    </w:p>
    <w:tbl>
      <w:tblPr>
        <w:tblW w:w="0" w:type="auto"/>
        <w:tblInd w:w="1242" w:type="dxa"/>
        <w:tblLayout w:type="fixed"/>
        <w:tblCellMar>
          <w:left w:w="0" w:type="dxa"/>
          <w:right w:w="0" w:type="dxa"/>
        </w:tblCellMar>
        <w:tblLook w:val="0000"/>
      </w:tblPr>
      <w:tblGrid>
        <w:gridCol w:w="8505"/>
      </w:tblGrid>
      <w:tr w:rsidR="00562131" w:rsidRPr="00C36C8F" w:rsidTr="000B315F">
        <w:tc>
          <w:tcPr>
            <w:tcW w:w="8505" w:type="dxa"/>
          </w:tcPr>
          <w:p w:rsidR="00562131" w:rsidRPr="00C36C8F" w:rsidRDefault="00476BAA" w:rsidP="00562131">
            <w:pPr>
              <w:pStyle w:val="Heading40"/>
              <w:tabs>
                <w:tab w:val="clear" w:pos="1134"/>
                <w:tab w:val="left" w:pos="0"/>
              </w:tabs>
              <w:ind w:left="0"/>
            </w:pPr>
            <w:r>
              <w:rPr>
                <w:noProof/>
                <w:lang w:eastAsia="en-AU"/>
              </w:rPr>
              <w:drawing>
                <wp:inline distT="0" distB="0" distL="0" distR="0">
                  <wp:extent cx="5167842" cy="2871083"/>
                  <wp:effectExtent l="0" t="0" r="0" b="57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562131" w:rsidRPr="00C36C8F" w:rsidTr="000B315F">
        <w:tblPrEx>
          <w:tblCellMar>
            <w:left w:w="108" w:type="dxa"/>
            <w:right w:w="108" w:type="dxa"/>
          </w:tblCellMar>
        </w:tblPrEx>
        <w:trPr>
          <w:trHeight w:val="549"/>
        </w:trPr>
        <w:tc>
          <w:tcPr>
            <w:tcW w:w="8505" w:type="dxa"/>
          </w:tcPr>
          <w:p w:rsidR="00562131" w:rsidRPr="00C36C8F" w:rsidRDefault="00562131" w:rsidP="00562131">
            <w:pPr>
              <w:pStyle w:val="Caption"/>
            </w:pPr>
            <w:bookmarkStart w:id="205" w:name="_Ref287277727"/>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23</w:t>
            </w:r>
            <w:r w:rsidR="00B9555F" w:rsidRPr="00C36C8F">
              <w:rPr>
                <w:noProof/>
              </w:rPr>
              <w:fldChar w:fldCharType="end"/>
            </w:r>
            <w:bookmarkEnd w:id="205"/>
            <w:r w:rsidRPr="00C36C8F">
              <w:tab/>
            </w:r>
            <w:r w:rsidR="00B66BA8" w:rsidRPr="00C36C8F">
              <w:t>ACT t</w:t>
            </w:r>
            <w:r w:rsidRPr="00C36C8F">
              <w:t>otal waste generation, disposal, recycling energy recovery, 2002–03, 2006–07 &amp; 2008–09</w:t>
            </w:r>
          </w:p>
        </w:tc>
      </w:tr>
      <w:tr w:rsidR="00562131" w:rsidRPr="00C36C8F" w:rsidTr="000B315F">
        <w:tblPrEx>
          <w:tblCellMar>
            <w:left w:w="108" w:type="dxa"/>
            <w:right w:w="108" w:type="dxa"/>
          </w:tblCellMar>
        </w:tblPrEx>
        <w:tc>
          <w:tcPr>
            <w:tcW w:w="8505" w:type="dxa"/>
          </w:tcPr>
          <w:p w:rsidR="00B66BA8" w:rsidRPr="00C36C8F" w:rsidRDefault="00B66BA8" w:rsidP="005B65D5">
            <w:pPr>
              <w:pStyle w:val="TableText"/>
              <w:spacing w:line="240" w:lineRule="auto"/>
              <w:rPr>
                <w:sz w:val="16"/>
                <w:szCs w:val="16"/>
              </w:rPr>
            </w:pPr>
            <w:r w:rsidRPr="00C36C8F">
              <w:rPr>
                <w:sz w:val="16"/>
                <w:szCs w:val="16"/>
              </w:rPr>
              <w:t>2006</w:t>
            </w:r>
            <w:r w:rsidR="006133B2">
              <w:rPr>
                <w:sz w:val="16"/>
                <w:szCs w:val="16"/>
              </w:rPr>
              <w:t>–</w:t>
            </w:r>
            <w:r w:rsidRPr="00C36C8F">
              <w:rPr>
                <w:sz w:val="16"/>
                <w:szCs w:val="16"/>
              </w:rPr>
              <w:t xml:space="preserve">07 data sources are </w:t>
            </w:r>
            <w:r w:rsidR="00DC4A9E" w:rsidRPr="00052333">
              <w:rPr>
                <w:i/>
                <w:sz w:val="16"/>
                <w:szCs w:val="16"/>
              </w:rPr>
              <w:t>Waste and Recycling in Australia</w:t>
            </w:r>
            <w:r w:rsidRPr="00D24C8E">
              <w:rPr>
                <w:i/>
                <w:sz w:val="16"/>
                <w:szCs w:val="16"/>
              </w:rPr>
              <w:t xml:space="preserve"> 2009</w:t>
            </w:r>
            <w:r w:rsidRPr="00C36C8F">
              <w:rPr>
                <w:sz w:val="16"/>
                <w:szCs w:val="16"/>
              </w:rPr>
              <w:t>.</w:t>
            </w:r>
          </w:p>
          <w:p w:rsidR="00B66BA8" w:rsidRPr="00C36C8F" w:rsidRDefault="00B66BA8" w:rsidP="005B65D5">
            <w:pPr>
              <w:pStyle w:val="TableText"/>
              <w:spacing w:line="240" w:lineRule="auto"/>
              <w:rPr>
                <w:sz w:val="16"/>
                <w:szCs w:val="16"/>
              </w:rPr>
            </w:pPr>
            <w:r w:rsidRPr="00C36C8F">
              <w:rPr>
                <w:sz w:val="16"/>
                <w:szCs w:val="16"/>
              </w:rPr>
              <w:t>2008</w:t>
            </w:r>
            <w:r w:rsidR="006133B2">
              <w:rPr>
                <w:rFonts w:cs="Arial"/>
                <w:sz w:val="16"/>
                <w:szCs w:val="16"/>
              </w:rPr>
              <w:t>–</w:t>
            </w:r>
            <w:r w:rsidRPr="00C36C8F">
              <w:rPr>
                <w:sz w:val="16"/>
                <w:szCs w:val="16"/>
              </w:rPr>
              <w:t>09 “Subtotal” excludes fly ash data.</w:t>
            </w:r>
          </w:p>
          <w:p w:rsidR="00405EA5" w:rsidRPr="00C36C8F" w:rsidRDefault="00B66BA8" w:rsidP="006133B2">
            <w:pPr>
              <w:pStyle w:val="TableText"/>
              <w:spacing w:line="240" w:lineRule="auto"/>
              <w:rPr>
                <w:sz w:val="16"/>
                <w:szCs w:val="16"/>
              </w:rPr>
            </w:pPr>
            <w:r w:rsidRPr="00C36C8F">
              <w:rPr>
                <w:sz w:val="16"/>
                <w:szCs w:val="16"/>
              </w:rPr>
              <w:t>2008</w:t>
            </w:r>
            <w:r w:rsidR="006133B2">
              <w:rPr>
                <w:rFonts w:cs="Arial"/>
                <w:sz w:val="16"/>
                <w:szCs w:val="16"/>
              </w:rPr>
              <w:t>–</w:t>
            </w:r>
            <w:r w:rsidRPr="00C36C8F">
              <w:rPr>
                <w:sz w:val="16"/>
                <w:szCs w:val="16"/>
              </w:rPr>
              <w:t>09 “Total” include fly ash data.</w:t>
            </w:r>
          </w:p>
        </w:tc>
      </w:tr>
    </w:tbl>
    <w:p w:rsidR="00DE05C7" w:rsidRPr="00C36C8F" w:rsidRDefault="00B9555F" w:rsidP="006A1B32">
      <w:pPr>
        <w:keepNext/>
        <w:spacing w:before="240"/>
        <w:ind w:left="1134"/>
        <w:jc w:val="both"/>
      </w:pPr>
      <w:r w:rsidRPr="00C36C8F">
        <w:fldChar w:fldCharType="begin"/>
      </w:r>
      <w:r w:rsidR="00DE05C7" w:rsidRPr="00C36C8F">
        <w:instrText xml:space="preserve"> REF _Ref284593151 \h </w:instrText>
      </w:r>
      <w:r w:rsidRPr="00C36C8F">
        <w:fldChar w:fldCharType="separate"/>
      </w:r>
      <w:r w:rsidR="00AE7E3B" w:rsidRPr="00C36C8F">
        <w:t xml:space="preserve">Table </w:t>
      </w:r>
      <w:r w:rsidR="00AE7E3B">
        <w:rPr>
          <w:noProof/>
        </w:rPr>
        <w:t>4</w:t>
      </w:r>
      <w:r w:rsidR="00AE7E3B" w:rsidRPr="00C36C8F">
        <w:t>-</w:t>
      </w:r>
      <w:r w:rsidR="00AE7E3B">
        <w:rPr>
          <w:noProof/>
        </w:rPr>
        <w:t>38</w:t>
      </w:r>
      <w:r w:rsidRPr="00C36C8F">
        <w:fldChar w:fldCharType="end"/>
      </w:r>
      <w:r w:rsidR="00DE05C7" w:rsidRPr="00C36C8F">
        <w:t xml:space="preserve"> details the ACT’s waste generation and disposal data by material for 2008-09, and compares the associated per capita disposal (</w:t>
      </w:r>
      <w:r w:rsidR="00921E93" w:rsidRPr="00C36C8F">
        <w:t>k</w:t>
      </w:r>
      <w:r w:rsidR="00DE05C7" w:rsidRPr="00C36C8F">
        <w:t>g) for ACT with the national average for all jurisdictions.</w:t>
      </w:r>
    </w:p>
    <w:p w:rsidR="00DE05C7" w:rsidRPr="00C36C8F" w:rsidRDefault="00DE05C7" w:rsidP="00DE05C7">
      <w:pPr>
        <w:pStyle w:val="Caption"/>
        <w:tabs>
          <w:tab w:val="left" w:pos="7275"/>
        </w:tabs>
      </w:pPr>
      <w:bookmarkStart w:id="206" w:name="_Ref284593151"/>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38</w:t>
      </w:r>
      <w:r w:rsidR="00B9555F" w:rsidRPr="00C36C8F">
        <w:rPr>
          <w:noProof/>
        </w:rPr>
        <w:fldChar w:fldCharType="end"/>
      </w:r>
      <w:bookmarkEnd w:id="206"/>
      <w:r w:rsidRPr="00C36C8F">
        <w:tab/>
      </w:r>
      <w:r w:rsidR="00B66BA8" w:rsidRPr="00C36C8F">
        <w:t>ACT w</w:t>
      </w:r>
      <w:r w:rsidRPr="00C36C8F">
        <w:t>aste generation and dis</w:t>
      </w:r>
      <w:r w:rsidR="00121C5C" w:rsidRPr="00C36C8F">
        <w:t>posal data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121C5C" w:rsidRPr="00C36C8F" w:rsidTr="00121C5C">
        <w:tc>
          <w:tcPr>
            <w:tcW w:w="4111" w:type="dxa"/>
            <w:gridSpan w:val="2"/>
            <w:tcBorders>
              <w:right w:val="single" w:sz="4" w:space="0" w:color="808080"/>
            </w:tcBorders>
            <w:shd w:val="clear" w:color="auto" w:fill="auto"/>
            <w:vAlign w:val="center"/>
          </w:tcPr>
          <w:p w:rsidR="00121C5C" w:rsidRPr="00C36C8F" w:rsidRDefault="00121C5C" w:rsidP="00121C5C">
            <w:pPr>
              <w:pStyle w:val="TableHeading"/>
              <w:keepLines/>
              <w:jc w:val="center"/>
              <w:rPr>
                <w:kern w:val="28"/>
              </w:rPr>
            </w:pPr>
          </w:p>
        </w:tc>
        <w:tc>
          <w:tcPr>
            <w:tcW w:w="1329"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B66BA8" w:rsidP="00121C5C">
            <w:pPr>
              <w:pStyle w:val="TableHeading"/>
              <w:keepLines/>
              <w:jc w:val="center"/>
              <w:rPr>
                <w:kern w:val="28"/>
              </w:rPr>
            </w:pPr>
            <w:r w:rsidRPr="00C36C8F">
              <w:rPr>
                <w:kern w:val="28"/>
              </w:rPr>
              <w:t>ACT</w:t>
            </w:r>
            <w:r w:rsidR="00121C5C" w:rsidRPr="00C36C8F">
              <w:rPr>
                <w:kern w:val="28"/>
              </w:rPr>
              <w:t xml:space="preserve"> waste generation</w:t>
            </w:r>
          </w:p>
        </w:tc>
        <w:tc>
          <w:tcPr>
            <w:tcW w:w="2658" w:type="dxa"/>
            <w:gridSpan w:val="2"/>
            <w:tcBorders>
              <w:top w:val="nil"/>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B66BA8" w:rsidP="00121C5C">
            <w:pPr>
              <w:pStyle w:val="TableHeading"/>
              <w:keepLines/>
              <w:jc w:val="center"/>
              <w:rPr>
                <w:kern w:val="28"/>
              </w:rPr>
            </w:pPr>
            <w:r w:rsidRPr="00C36C8F">
              <w:rPr>
                <w:kern w:val="28"/>
              </w:rPr>
              <w:t>ACT</w:t>
            </w:r>
            <w:r w:rsidR="00121C5C" w:rsidRPr="00C36C8F">
              <w:rPr>
                <w:kern w:val="28"/>
              </w:rPr>
              <w:t xml:space="preserve"> waste disposal</w:t>
            </w:r>
          </w:p>
        </w:tc>
        <w:tc>
          <w:tcPr>
            <w:tcW w:w="1329" w:type="dxa"/>
            <w:tcBorders>
              <w:lef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National average disposal</w:t>
            </w:r>
          </w:p>
        </w:tc>
      </w:tr>
      <w:tr w:rsidR="00121C5C" w:rsidRPr="00C36C8F" w:rsidTr="00D24C8E">
        <w:tc>
          <w:tcPr>
            <w:tcW w:w="2127" w:type="dxa"/>
            <w:tcBorders>
              <w:bottom w:val="single" w:sz="4" w:space="0" w:color="808080"/>
              <w:right w:val="nil"/>
            </w:tcBorders>
            <w:shd w:val="clear" w:color="auto" w:fill="auto"/>
          </w:tcPr>
          <w:p w:rsidR="00121C5C" w:rsidRPr="00C36C8F" w:rsidRDefault="00121C5C" w:rsidP="00523A4A">
            <w:pPr>
              <w:pStyle w:val="TableHeading"/>
              <w:keepLines/>
              <w:jc w:val="center"/>
              <w:rPr>
                <w:kern w:val="28"/>
              </w:rPr>
            </w:pPr>
            <w:r w:rsidRPr="00C36C8F">
              <w:rPr>
                <w:kern w:val="28"/>
              </w:rPr>
              <w:t>M</w:t>
            </w:r>
            <w:r w:rsidR="00523A4A" w:rsidRPr="00C36C8F">
              <w:rPr>
                <w:kern w:val="28"/>
              </w:rPr>
              <w:t>aterial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121C5C" w:rsidRPr="00C36C8F" w:rsidRDefault="00523A4A" w:rsidP="00121C5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tcBorders>
            <w:vAlign w:val="center"/>
          </w:tcPr>
          <w:p w:rsidR="00121C5C" w:rsidRPr="00C36C8F" w:rsidRDefault="00121C5C" w:rsidP="00121C5C">
            <w:pPr>
              <w:pStyle w:val="TableHeading"/>
              <w:keepLines/>
              <w:jc w:val="center"/>
              <w:rPr>
                <w:kern w:val="28"/>
              </w:rPr>
            </w:pPr>
            <w:r w:rsidRPr="00C36C8F">
              <w:rPr>
                <w:kern w:val="28"/>
              </w:rPr>
              <w:t>kg per capita</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szCs w:val="18"/>
              </w:rPr>
              <w:t>Masonry materials</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253,400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29,600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84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312</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szCs w:val="18"/>
              </w:rPr>
              <w:t>Metals</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43,100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5,</w:t>
            </w:r>
            <w:r w:rsidRPr="00476BAA">
              <w:rPr>
                <w:rFonts w:cs="Arial"/>
                <w:color w:val="000000"/>
                <w:szCs w:val="18"/>
              </w:rPr>
              <w:t>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16</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24</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szCs w:val="18"/>
              </w:rPr>
              <w:t>Organics</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325,200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87,300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249</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332</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szCs w:val="18"/>
              </w:rPr>
              <w:t>Paper &amp; cardboard</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84,</w:t>
            </w:r>
            <w:r w:rsidRPr="00476BAA">
              <w:rPr>
                <w:rFonts w:cs="Arial"/>
                <w:color w:val="000000"/>
                <w:szCs w:val="18"/>
              </w:rPr>
              <w:t>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27,</w:t>
            </w:r>
            <w:r w:rsidRPr="00476BAA">
              <w:rPr>
                <w:rFonts w:cs="Arial"/>
                <w:color w:val="000000"/>
                <w:szCs w:val="18"/>
              </w:rPr>
              <w:t>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78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113</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szCs w:val="18"/>
              </w:rPr>
              <w:t>Plastics</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22,</w:t>
            </w:r>
            <w:r w:rsidRPr="00476BAA">
              <w:rPr>
                <w:rFonts w:cs="Arial"/>
                <w:color w:val="000000"/>
                <w:szCs w:val="18"/>
              </w:rPr>
              <w:t>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21,</w:t>
            </w:r>
            <w:r w:rsidRPr="00476BAA">
              <w:rPr>
                <w:rFonts w:cs="Arial"/>
                <w:color w:val="000000"/>
                <w:szCs w:val="18"/>
              </w:rPr>
              <w:t>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60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80</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szCs w:val="18"/>
              </w:rPr>
              <w:t>Glass</w:t>
            </w:r>
            <w:r w:rsidRPr="007B1D2C" w:rsidDel="00523A4A">
              <w:rPr>
                <w:rFonts w:cs="Arial"/>
                <w:szCs w:val="18"/>
              </w:rPr>
              <w:t xml:space="preserve"> </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21,</w:t>
            </w:r>
            <w:r w:rsidRPr="00476BAA">
              <w:rPr>
                <w:rFonts w:cs="Arial"/>
                <w:color w:val="000000"/>
                <w:szCs w:val="18"/>
              </w:rPr>
              <w:t>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5,</w:t>
            </w:r>
            <w:r w:rsidRPr="00476BAA">
              <w:rPr>
                <w:rFonts w:cs="Arial"/>
                <w:color w:val="000000"/>
                <w:szCs w:val="18"/>
              </w:rPr>
              <w:t>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17</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21</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szCs w:val="18"/>
              </w:rPr>
              <w:t>Other</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r w:rsidRPr="007B1D2C">
              <w:rPr>
                <w:rFonts w:cs="Arial"/>
                <w:szCs w:val="18"/>
              </w:rPr>
              <w:t>Leather &amp; textiles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14,700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8,000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22</w:t>
            </w:r>
          </w:p>
        </w:tc>
      </w:tr>
      <w:tr w:rsidR="00476BAA" w:rsidRPr="007B1D2C" w:rsidTr="00D24C8E">
        <w:tc>
          <w:tcPr>
            <w:tcW w:w="2127" w:type="dxa"/>
          </w:tcPr>
          <w:p w:rsidR="00476BAA" w:rsidRPr="007B1D2C" w:rsidRDefault="00476BAA" w:rsidP="00121C5C">
            <w:pPr>
              <w:pStyle w:val="TableText"/>
              <w:keepNext/>
              <w:keepLines/>
              <w:rPr>
                <w:rFonts w:cs="Arial"/>
                <w:szCs w:val="18"/>
              </w:rPr>
            </w:pPr>
          </w:p>
        </w:tc>
        <w:tc>
          <w:tcPr>
            <w:tcW w:w="1984" w:type="dxa"/>
            <w:tcBorders>
              <w:right w:val="single" w:sz="4" w:space="0" w:color="808080"/>
            </w:tcBorders>
          </w:tcPr>
          <w:p w:rsidR="00476BAA" w:rsidRPr="007B1D2C" w:rsidRDefault="00476BAA" w:rsidP="00121C5C">
            <w:pPr>
              <w:pStyle w:val="TableText"/>
              <w:keepNext/>
              <w:keepLines/>
              <w:rPr>
                <w:rFonts w:cs="Arial"/>
                <w:szCs w:val="18"/>
              </w:rPr>
            </w:pPr>
            <w:r w:rsidRPr="007B1D2C">
              <w:rPr>
                <w:rFonts w:cs="Arial"/>
                <w:szCs w:val="18"/>
              </w:rPr>
              <w:t>Tyres &amp; other rubber</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7,900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12</w:t>
            </w:r>
          </w:p>
        </w:tc>
      </w:tr>
      <w:tr w:rsidR="00476BAA" w:rsidRPr="007B1D2C" w:rsidTr="00D24C8E">
        <w:tc>
          <w:tcPr>
            <w:tcW w:w="2127" w:type="dxa"/>
            <w:vMerge w:val="restart"/>
          </w:tcPr>
          <w:p w:rsidR="00476BAA" w:rsidRPr="007B1D2C" w:rsidRDefault="00476BAA" w:rsidP="00121C5C">
            <w:pPr>
              <w:pStyle w:val="TableText"/>
              <w:keepNext/>
              <w:keepLines/>
              <w:rPr>
                <w:rFonts w:cs="Arial"/>
                <w:szCs w:val="18"/>
              </w:rPr>
            </w:pPr>
            <w:r w:rsidRPr="007B1D2C">
              <w:rPr>
                <w:rFonts w:cs="Arial"/>
                <w:szCs w:val="18"/>
              </w:rPr>
              <w:t>Hazardous</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r w:rsidRPr="007B1D2C">
              <w:rPr>
                <w:rFonts w:cs="Arial"/>
                <w:szCs w:val="18"/>
              </w:rPr>
              <w:t>Quarantine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w:t>
            </w:r>
          </w:p>
        </w:tc>
      </w:tr>
      <w:tr w:rsidR="00476BAA" w:rsidRPr="007B1D2C" w:rsidTr="00D24C8E">
        <w:tc>
          <w:tcPr>
            <w:tcW w:w="2127" w:type="dxa"/>
            <w:vMerge/>
          </w:tcPr>
          <w:p w:rsidR="00476BAA" w:rsidRPr="007B1D2C" w:rsidRDefault="00476BAA" w:rsidP="00121C5C">
            <w:pPr>
              <w:pStyle w:val="TableText"/>
              <w:keepNext/>
              <w:keepLines/>
              <w:rPr>
                <w:rFonts w:cs="Arial"/>
                <w:szCs w:val="18"/>
              </w:rPr>
            </w:pPr>
          </w:p>
        </w:tc>
        <w:tc>
          <w:tcPr>
            <w:tcW w:w="1984" w:type="dxa"/>
            <w:tcBorders>
              <w:right w:val="single" w:sz="4" w:space="0" w:color="808080"/>
            </w:tcBorders>
          </w:tcPr>
          <w:p w:rsidR="00476BAA" w:rsidRPr="007B1D2C" w:rsidRDefault="00476BAA" w:rsidP="00121C5C">
            <w:pPr>
              <w:pStyle w:val="TableText"/>
              <w:keepNext/>
              <w:keepLines/>
              <w:rPr>
                <w:rFonts w:cs="Arial"/>
                <w:szCs w:val="18"/>
              </w:rPr>
            </w:pPr>
            <w:r w:rsidRPr="007B1D2C">
              <w:rPr>
                <w:rFonts w:cs="Arial"/>
                <w:szCs w:val="18"/>
              </w:rPr>
              <w:t>Contaminated soil</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4,700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4,700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13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57</w:t>
            </w:r>
          </w:p>
        </w:tc>
      </w:tr>
      <w:tr w:rsidR="00476BAA" w:rsidRPr="007B1D2C" w:rsidTr="00D24C8E">
        <w:tc>
          <w:tcPr>
            <w:tcW w:w="2127" w:type="dxa"/>
            <w:vMerge/>
          </w:tcPr>
          <w:p w:rsidR="00476BAA" w:rsidRPr="007B1D2C" w:rsidRDefault="00476BAA" w:rsidP="00121C5C">
            <w:pPr>
              <w:pStyle w:val="TableText"/>
              <w:keepNext/>
              <w:keepLines/>
              <w:rPr>
                <w:rFonts w:cs="Arial"/>
                <w:szCs w:val="18"/>
              </w:rPr>
            </w:pPr>
          </w:p>
        </w:tc>
        <w:tc>
          <w:tcPr>
            <w:tcW w:w="1984" w:type="dxa"/>
            <w:tcBorders>
              <w:right w:val="single" w:sz="4" w:space="0" w:color="808080"/>
            </w:tcBorders>
          </w:tcPr>
          <w:p w:rsidR="00476BAA" w:rsidRPr="007B1D2C" w:rsidRDefault="00476BAA" w:rsidP="00121C5C">
            <w:pPr>
              <w:pStyle w:val="TableText"/>
              <w:keepNext/>
              <w:keepLines/>
              <w:rPr>
                <w:rFonts w:cs="Arial"/>
                <w:szCs w:val="18"/>
              </w:rPr>
            </w:pPr>
            <w:r w:rsidRPr="007B1D2C">
              <w:rPr>
                <w:rFonts w:cs="Arial"/>
                <w:szCs w:val="18"/>
              </w:rPr>
              <w:t>Industrial waste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11,600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7,900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34</w:t>
            </w:r>
          </w:p>
        </w:tc>
      </w:tr>
      <w:tr w:rsidR="00476BAA" w:rsidRPr="007B1D2C" w:rsidTr="00D24C8E">
        <w:tc>
          <w:tcPr>
            <w:tcW w:w="2127" w:type="dxa"/>
            <w:vMerge/>
          </w:tcPr>
          <w:p w:rsidR="00476BAA" w:rsidRPr="007B1D2C" w:rsidRDefault="00476BAA" w:rsidP="00121C5C">
            <w:pPr>
              <w:pStyle w:val="TableText"/>
              <w:keepNext/>
              <w:keepLines/>
              <w:rPr>
                <w:rFonts w:cs="Arial"/>
                <w:szCs w:val="18"/>
              </w:rPr>
            </w:pPr>
          </w:p>
        </w:tc>
        <w:tc>
          <w:tcPr>
            <w:tcW w:w="1984" w:type="dxa"/>
            <w:tcBorders>
              <w:right w:val="single" w:sz="4" w:space="0" w:color="808080"/>
            </w:tcBorders>
          </w:tcPr>
          <w:p w:rsidR="00476BAA" w:rsidRPr="007B1D2C" w:rsidRDefault="00476BAA" w:rsidP="00121C5C">
            <w:pPr>
              <w:pStyle w:val="TableText"/>
              <w:keepNext/>
              <w:keepLines/>
              <w:rPr>
                <w:rFonts w:cs="Arial"/>
                <w:szCs w:val="18"/>
              </w:rPr>
            </w:pPr>
            <w:r w:rsidRPr="007B1D2C">
              <w:rPr>
                <w:rFonts w:cs="Arial"/>
                <w:szCs w:val="18"/>
              </w:rPr>
              <w:t>Asbestos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3,300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3,300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9</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476BAA">
              <w:rPr>
                <w:rFonts w:cs="Arial"/>
                <w:color w:val="000000"/>
                <w:szCs w:val="18"/>
              </w:rPr>
              <w:t>25</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b/>
                <w:szCs w:val="18"/>
              </w:rPr>
              <w:t>SUBTOTAL</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792,400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204,600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583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1,</w:t>
            </w:r>
            <w:r w:rsidRPr="00476BAA">
              <w:rPr>
                <w:rFonts w:cs="Arial"/>
                <w:b/>
                <w:bCs/>
                <w:color w:val="000000"/>
                <w:szCs w:val="18"/>
              </w:rPr>
              <w:t>035</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szCs w:val="18"/>
              </w:rPr>
              <w:t>Fly ash</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szCs w:val="18"/>
              </w:rPr>
            </w:pPr>
            <w:r w:rsidRPr="000B315F">
              <w:rPr>
                <w:color w:val="000000"/>
              </w:rPr>
              <w:t>532</w:t>
            </w:r>
          </w:p>
        </w:tc>
      </w:tr>
      <w:tr w:rsidR="00476BAA" w:rsidRPr="007B1D2C" w:rsidTr="00D24C8E">
        <w:tc>
          <w:tcPr>
            <w:tcW w:w="2127" w:type="dxa"/>
          </w:tcPr>
          <w:p w:rsidR="00476BAA" w:rsidRPr="007B1D2C" w:rsidRDefault="00476BAA" w:rsidP="00121C5C">
            <w:pPr>
              <w:pStyle w:val="TableText"/>
              <w:keepNext/>
              <w:keepLines/>
              <w:rPr>
                <w:rFonts w:cs="Arial"/>
                <w:szCs w:val="18"/>
              </w:rPr>
            </w:pPr>
            <w:r w:rsidRPr="007B1D2C">
              <w:rPr>
                <w:rFonts w:cs="Arial"/>
                <w:b/>
                <w:szCs w:val="18"/>
              </w:rPr>
              <w:t>TOTAL</w:t>
            </w:r>
          </w:p>
        </w:tc>
        <w:tc>
          <w:tcPr>
            <w:tcW w:w="1984" w:type="dxa"/>
            <w:tcBorders>
              <w:right w:val="single" w:sz="4" w:space="0" w:color="808080"/>
            </w:tcBorders>
          </w:tcPr>
          <w:p w:rsidR="00476BAA" w:rsidRPr="007B1D2C" w:rsidRDefault="00476BAA" w:rsidP="00121C5C">
            <w:pPr>
              <w:pStyle w:val="TableText"/>
              <w:keepNext/>
              <w:keepLines/>
              <w:rPr>
                <w:rFonts w:cs="Arial"/>
                <w:szCs w:val="18"/>
              </w:rPr>
            </w:pP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792,400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204,600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476BAA">
              <w:rPr>
                <w:rFonts w:cs="Arial"/>
                <w:b/>
                <w:bCs/>
                <w:color w:val="000000"/>
                <w:szCs w:val="18"/>
              </w:rPr>
              <w:t>583</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121C5C">
            <w:pPr>
              <w:pStyle w:val="TableText"/>
              <w:keepNext/>
              <w:keepLines/>
              <w:jc w:val="right"/>
              <w:rPr>
                <w:rFonts w:cs="Arial"/>
                <w:b/>
                <w:szCs w:val="18"/>
              </w:rPr>
            </w:pPr>
            <w:r w:rsidRPr="000B315F">
              <w:rPr>
                <w:b/>
                <w:color w:val="000000"/>
              </w:rPr>
              <w:t>1,</w:t>
            </w:r>
            <w:r w:rsidRPr="00476BAA">
              <w:rPr>
                <w:rFonts w:cs="Arial"/>
                <w:b/>
                <w:bCs/>
                <w:color w:val="000000"/>
                <w:szCs w:val="18"/>
              </w:rPr>
              <w:t>567</w:t>
            </w:r>
          </w:p>
        </w:tc>
      </w:tr>
    </w:tbl>
    <w:p w:rsidR="00121C5C" w:rsidRPr="00C36C8F" w:rsidRDefault="00121C5C" w:rsidP="00121C5C">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802C9D" w:rsidRPr="00C36C8F" w:rsidRDefault="00802C9D" w:rsidP="007168A0">
      <w:pPr>
        <w:pStyle w:val="ParaIndent"/>
        <w:spacing w:before="240"/>
      </w:pPr>
    </w:p>
    <w:p w:rsidR="00802C9D" w:rsidRPr="00C36C8F" w:rsidRDefault="00B9555F" w:rsidP="006A1B32">
      <w:pPr>
        <w:pStyle w:val="ParaIndent"/>
        <w:keepNext/>
        <w:keepLines/>
        <w:spacing w:before="120"/>
        <w:jc w:val="both"/>
      </w:pPr>
      <w:r w:rsidRPr="00C36C8F">
        <w:fldChar w:fldCharType="begin"/>
      </w:r>
      <w:r w:rsidR="00802C9D" w:rsidRPr="00C36C8F">
        <w:instrText xml:space="preserve"> REF _Ref284593209 \h </w:instrText>
      </w:r>
      <w:r w:rsidRPr="00C36C8F">
        <w:fldChar w:fldCharType="separate"/>
      </w:r>
      <w:r w:rsidR="00AE7E3B" w:rsidRPr="00C36C8F">
        <w:t xml:space="preserve">Table </w:t>
      </w:r>
      <w:r w:rsidR="00AE7E3B">
        <w:rPr>
          <w:noProof/>
        </w:rPr>
        <w:t>4</w:t>
      </w:r>
      <w:r w:rsidR="00AE7E3B" w:rsidRPr="00C36C8F">
        <w:t>-</w:t>
      </w:r>
      <w:r w:rsidR="00AE7E3B">
        <w:rPr>
          <w:noProof/>
        </w:rPr>
        <w:t>39</w:t>
      </w:r>
      <w:r w:rsidRPr="00C36C8F">
        <w:fldChar w:fldCharType="end"/>
      </w:r>
      <w:r w:rsidR="00802C9D" w:rsidRPr="00C36C8F">
        <w:t xml:space="preserve"> presents the total recycling by material for the ACT during 2008–09, in terms of total tonnes, per capita rate and recycling rate. </w:t>
      </w:r>
      <w:r w:rsidR="00DC7392" w:rsidRPr="00C36C8F">
        <w:t>P</w:t>
      </w:r>
      <w:r w:rsidR="007B1D2C">
        <w:t xml:space="preserve">er capita recycling </w:t>
      </w:r>
      <w:r w:rsidR="00802C9D" w:rsidRPr="00C36C8F">
        <w:t>for the ACT is also compared to</w:t>
      </w:r>
      <w:r w:rsidR="00E231FD">
        <w:t xml:space="preserve"> the national average</w:t>
      </w:r>
      <w:r w:rsidR="00802C9D" w:rsidRPr="00C36C8F">
        <w:t>.</w:t>
      </w:r>
    </w:p>
    <w:p w:rsidR="00DE05C7" w:rsidRPr="00C36C8F" w:rsidRDefault="00DE05C7" w:rsidP="00DE05C7">
      <w:pPr>
        <w:pStyle w:val="Caption"/>
        <w:tabs>
          <w:tab w:val="left" w:pos="7275"/>
        </w:tabs>
      </w:pPr>
      <w:bookmarkStart w:id="207" w:name="_Ref284593209"/>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39</w:t>
      </w:r>
      <w:r w:rsidR="00B9555F" w:rsidRPr="00C36C8F">
        <w:rPr>
          <w:noProof/>
        </w:rPr>
        <w:fldChar w:fldCharType="end"/>
      </w:r>
      <w:bookmarkEnd w:id="207"/>
      <w:r w:rsidRPr="00C36C8F">
        <w:tab/>
      </w:r>
      <w:r w:rsidR="00B66BA8" w:rsidRPr="00C36C8F">
        <w:t>ACT r</w:t>
      </w:r>
      <w:r w:rsidRPr="00C36C8F">
        <w:t>ecycling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903DD9" w:rsidRPr="00C36C8F" w:rsidTr="00B66BA8">
        <w:tc>
          <w:tcPr>
            <w:tcW w:w="4111" w:type="dxa"/>
            <w:gridSpan w:val="2"/>
            <w:tcBorders>
              <w:right w:val="single" w:sz="4" w:space="0" w:color="808080"/>
            </w:tcBorders>
            <w:shd w:val="clear" w:color="auto" w:fill="auto"/>
            <w:vAlign w:val="center"/>
          </w:tcPr>
          <w:p w:rsidR="00903DD9" w:rsidRPr="00C36C8F" w:rsidRDefault="00903DD9" w:rsidP="00B66BA8">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903DD9" w:rsidRPr="00C36C8F" w:rsidRDefault="00B66BA8" w:rsidP="00B66BA8">
            <w:pPr>
              <w:pStyle w:val="TableHeading"/>
              <w:keepLines/>
              <w:jc w:val="center"/>
              <w:rPr>
                <w:kern w:val="28"/>
              </w:rPr>
            </w:pPr>
            <w:r w:rsidRPr="00C36C8F">
              <w:rPr>
                <w:kern w:val="28"/>
              </w:rPr>
              <w:t>ACT</w:t>
            </w:r>
            <w:r w:rsidR="00903DD9" w:rsidRPr="00C36C8F">
              <w:rPr>
                <w:kern w:val="28"/>
              </w:rPr>
              <w:t xml:space="preserve"> recycling</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National average</w:t>
            </w:r>
          </w:p>
        </w:tc>
        <w:tc>
          <w:tcPr>
            <w:tcW w:w="1329" w:type="dxa"/>
            <w:tcBorders>
              <w:left w:val="single" w:sz="8" w:space="0" w:color="808080" w:themeColor="background1" w:themeShade="80"/>
            </w:tcBorders>
            <w:shd w:val="clear" w:color="auto" w:fill="auto"/>
            <w:vAlign w:val="center"/>
          </w:tcPr>
          <w:p w:rsidR="00903DD9" w:rsidRPr="00C36C8F" w:rsidRDefault="00B66BA8" w:rsidP="00B66BA8">
            <w:pPr>
              <w:pStyle w:val="TableHeading"/>
              <w:keepLines/>
              <w:jc w:val="center"/>
              <w:rPr>
                <w:kern w:val="28"/>
              </w:rPr>
            </w:pPr>
            <w:r w:rsidRPr="00C36C8F">
              <w:rPr>
                <w:kern w:val="28"/>
              </w:rPr>
              <w:t>ACT</w:t>
            </w:r>
            <w:r w:rsidR="00903DD9" w:rsidRPr="00C36C8F">
              <w:rPr>
                <w:kern w:val="28"/>
              </w:rPr>
              <w:t xml:space="preserve"> recycling rate</w:t>
            </w:r>
          </w:p>
        </w:tc>
      </w:tr>
      <w:tr w:rsidR="00903DD9" w:rsidRPr="00C36C8F" w:rsidTr="008C48A7">
        <w:tc>
          <w:tcPr>
            <w:tcW w:w="2127" w:type="dxa"/>
            <w:tcBorders>
              <w:bottom w:val="single" w:sz="4" w:space="0" w:color="808080"/>
              <w:right w:val="nil"/>
            </w:tcBorders>
            <w:shd w:val="clear" w:color="auto" w:fill="auto"/>
          </w:tcPr>
          <w:p w:rsidR="00903DD9" w:rsidRPr="00C36C8F" w:rsidRDefault="00903DD9" w:rsidP="001635EB">
            <w:pPr>
              <w:pStyle w:val="TableHeading"/>
              <w:keepLines/>
              <w:jc w:val="center"/>
              <w:rPr>
                <w:kern w:val="28"/>
              </w:rPr>
            </w:pPr>
            <w:r w:rsidRPr="00C36C8F">
              <w:rPr>
                <w:kern w:val="28"/>
              </w:rPr>
              <w:t>Ma</w:t>
            </w:r>
            <w:r w:rsidR="001635EB" w:rsidRPr="00C36C8F">
              <w:rPr>
                <w:kern w:val="28"/>
              </w:rPr>
              <w:t>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903DD9" w:rsidRPr="00C36C8F" w:rsidRDefault="001635EB" w:rsidP="00B66BA8">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tcBorders>
            <w:vAlign w:val="center"/>
          </w:tcPr>
          <w:p w:rsidR="00903DD9" w:rsidRPr="00C36C8F" w:rsidRDefault="00903DD9" w:rsidP="00B66BA8">
            <w:pPr>
              <w:pStyle w:val="TableHeading"/>
              <w:keepLines/>
              <w:jc w:val="center"/>
              <w:rPr>
                <w:kern w:val="28"/>
              </w:rPr>
            </w:pPr>
            <w:r w:rsidRPr="00C36C8F">
              <w:rPr>
                <w:kern w:val="28"/>
              </w:rPr>
              <w:t>%</w:t>
            </w:r>
          </w:p>
        </w:tc>
      </w:tr>
      <w:tr w:rsidR="00476BAA" w:rsidRPr="007B1D2C" w:rsidTr="008C48A7">
        <w:tc>
          <w:tcPr>
            <w:tcW w:w="2127" w:type="dxa"/>
          </w:tcPr>
          <w:p w:rsidR="00476BAA" w:rsidRPr="007B1D2C" w:rsidRDefault="00476BAA" w:rsidP="00B66BA8">
            <w:pPr>
              <w:pStyle w:val="TableText"/>
              <w:keepNext/>
              <w:keepLines/>
              <w:rPr>
                <w:rFonts w:cs="Arial"/>
                <w:szCs w:val="18"/>
              </w:rPr>
            </w:pPr>
            <w:r w:rsidRPr="007B1D2C">
              <w:rPr>
                <w:rFonts w:cs="Arial"/>
                <w:szCs w:val="18"/>
              </w:rPr>
              <w:t>Masonry materials</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223,800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637</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462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88</w:t>
            </w:r>
            <w:r w:rsidRPr="000B315F">
              <w:rPr>
                <w:color w:val="000000"/>
              </w:rPr>
              <w:t>%</w:t>
            </w:r>
          </w:p>
        </w:tc>
      </w:tr>
      <w:tr w:rsidR="00476BAA" w:rsidRPr="007B1D2C" w:rsidTr="008C48A7">
        <w:tc>
          <w:tcPr>
            <w:tcW w:w="2127" w:type="dxa"/>
          </w:tcPr>
          <w:p w:rsidR="00476BAA" w:rsidRPr="007B1D2C" w:rsidRDefault="00476BAA" w:rsidP="00B66BA8">
            <w:pPr>
              <w:pStyle w:val="TableText"/>
              <w:keepNext/>
              <w:keepLines/>
              <w:rPr>
                <w:rFonts w:cs="Arial"/>
                <w:szCs w:val="18"/>
              </w:rPr>
            </w:pPr>
            <w:r w:rsidRPr="007B1D2C">
              <w:rPr>
                <w:rFonts w:cs="Arial"/>
                <w:szCs w:val="18"/>
              </w:rPr>
              <w:t>Metals</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37,600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107</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188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87%</w:t>
            </w:r>
          </w:p>
        </w:tc>
      </w:tr>
      <w:tr w:rsidR="00476BAA" w:rsidRPr="007B1D2C" w:rsidTr="008C48A7">
        <w:tc>
          <w:tcPr>
            <w:tcW w:w="2127" w:type="dxa"/>
          </w:tcPr>
          <w:p w:rsidR="00476BAA" w:rsidRPr="007B1D2C" w:rsidRDefault="00476BAA" w:rsidP="00B66BA8">
            <w:pPr>
              <w:pStyle w:val="TableText"/>
              <w:keepNext/>
              <w:keepLines/>
              <w:rPr>
                <w:rFonts w:cs="Arial"/>
                <w:szCs w:val="18"/>
              </w:rPr>
            </w:pPr>
            <w:r w:rsidRPr="007B1D2C">
              <w:rPr>
                <w:rFonts w:cs="Arial"/>
                <w:szCs w:val="18"/>
              </w:rPr>
              <w:t>Organics</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228,400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650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172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72%</w:t>
            </w:r>
          </w:p>
        </w:tc>
      </w:tr>
      <w:tr w:rsidR="00476BAA" w:rsidRPr="007B1D2C" w:rsidTr="008C48A7">
        <w:tc>
          <w:tcPr>
            <w:tcW w:w="2127" w:type="dxa"/>
          </w:tcPr>
          <w:p w:rsidR="00476BAA" w:rsidRPr="007B1D2C" w:rsidRDefault="00476BAA" w:rsidP="00B66BA8">
            <w:pPr>
              <w:pStyle w:val="TableText"/>
              <w:keepNext/>
              <w:keepLines/>
              <w:rPr>
                <w:rFonts w:cs="Arial"/>
                <w:szCs w:val="18"/>
              </w:rPr>
            </w:pPr>
            <w:r w:rsidRPr="007B1D2C">
              <w:rPr>
                <w:rFonts w:cs="Arial"/>
                <w:szCs w:val="18"/>
              </w:rPr>
              <w:t>Paper &amp; cardboard</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56,900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162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178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67</w:t>
            </w:r>
            <w:r w:rsidRPr="000B315F">
              <w:rPr>
                <w:color w:val="000000"/>
              </w:rPr>
              <w:t>%</w:t>
            </w:r>
          </w:p>
        </w:tc>
      </w:tr>
      <w:tr w:rsidR="00476BAA" w:rsidRPr="007B1D2C" w:rsidTr="008C48A7">
        <w:tc>
          <w:tcPr>
            <w:tcW w:w="2127" w:type="dxa"/>
          </w:tcPr>
          <w:p w:rsidR="00476BAA" w:rsidRPr="007B1D2C" w:rsidRDefault="00476BAA" w:rsidP="00B66BA8">
            <w:pPr>
              <w:pStyle w:val="TableText"/>
              <w:keepNext/>
              <w:keepLines/>
              <w:rPr>
                <w:rFonts w:cs="Arial"/>
                <w:szCs w:val="18"/>
              </w:rPr>
            </w:pPr>
            <w:r w:rsidRPr="007B1D2C">
              <w:rPr>
                <w:rFonts w:cs="Arial"/>
                <w:szCs w:val="18"/>
              </w:rPr>
              <w:t>Plastics</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24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5%</w:t>
            </w:r>
          </w:p>
        </w:tc>
      </w:tr>
      <w:tr w:rsidR="00476BAA" w:rsidRPr="007B1D2C" w:rsidTr="008C48A7">
        <w:tc>
          <w:tcPr>
            <w:tcW w:w="2127" w:type="dxa"/>
            <w:vMerge w:val="restart"/>
          </w:tcPr>
          <w:p w:rsidR="00476BAA" w:rsidRPr="007B1D2C" w:rsidRDefault="00476BAA" w:rsidP="00B66BA8">
            <w:pPr>
              <w:pStyle w:val="TableText"/>
              <w:keepNext/>
              <w:keepLines/>
              <w:rPr>
                <w:rFonts w:cs="Arial"/>
                <w:szCs w:val="18"/>
              </w:rPr>
            </w:pPr>
            <w:r w:rsidRPr="007B1D2C">
              <w:rPr>
                <w:rFonts w:cs="Arial"/>
                <w:szCs w:val="18"/>
              </w:rPr>
              <w:t>Other</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r w:rsidRPr="007B1D2C">
              <w:rPr>
                <w:rFonts w:cs="Arial"/>
                <w:szCs w:val="18"/>
              </w:rPr>
              <w:t>Glass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16,000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46</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44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73</w:t>
            </w:r>
            <w:r w:rsidRPr="000B315F">
              <w:rPr>
                <w:color w:val="000000"/>
              </w:rPr>
              <w:t>%</w:t>
            </w:r>
          </w:p>
        </w:tc>
      </w:tr>
      <w:tr w:rsidR="00476BAA" w:rsidRPr="007B1D2C" w:rsidTr="008C48A7">
        <w:tc>
          <w:tcPr>
            <w:tcW w:w="2127" w:type="dxa"/>
            <w:vMerge/>
          </w:tcPr>
          <w:p w:rsidR="00476BAA" w:rsidRPr="007B1D2C" w:rsidRDefault="00476BAA" w:rsidP="00B66BA8">
            <w:pPr>
              <w:pStyle w:val="TableText"/>
              <w:keepNext/>
              <w:keepLines/>
              <w:rPr>
                <w:rFonts w:cs="Arial"/>
                <w:szCs w:val="18"/>
              </w:rPr>
            </w:pPr>
          </w:p>
        </w:tc>
        <w:tc>
          <w:tcPr>
            <w:tcW w:w="1984" w:type="dxa"/>
            <w:tcBorders>
              <w:right w:val="single" w:sz="4" w:space="0" w:color="808080"/>
            </w:tcBorders>
          </w:tcPr>
          <w:p w:rsidR="00476BAA" w:rsidRPr="007B1D2C" w:rsidRDefault="00476BAA" w:rsidP="00B66BA8">
            <w:pPr>
              <w:pStyle w:val="TableText"/>
              <w:keepNext/>
              <w:keepLines/>
              <w:rPr>
                <w:rFonts w:cs="Arial"/>
                <w:szCs w:val="18"/>
              </w:rPr>
            </w:pPr>
            <w:r w:rsidRPr="007B1D2C">
              <w:rPr>
                <w:rFonts w:cs="Arial"/>
                <w:szCs w:val="18"/>
              </w:rPr>
              <w:t>Leather &amp; textiles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6,700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19</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45</w:t>
            </w:r>
            <w:r w:rsidRPr="000B315F">
              <w:rPr>
                <w:color w:val="000000"/>
              </w:rPr>
              <w:t>%</w:t>
            </w:r>
          </w:p>
        </w:tc>
      </w:tr>
      <w:tr w:rsidR="00476BAA" w:rsidRPr="007B1D2C" w:rsidTr="008C48A7">
        <w:tc>
          <w:tcPr>
            <w:tcW w:w="2127" w:type="dxa"/>
            <w:vMerge/>
          </w:tcPr>
          <w:p w:rsidR="00476BAA" w:rsidRPr="007B1D2C" w:rsidRDefault="00476BAA" w:rsidP="00B66BA8">
            <w:pPr>
              <w:pStyle w:val="TableText"/>
              <w:keepNext/>
              <w:keepLines/>
              <w:rPr>
                <w:rFonts w:cs="Arial"/>
                <w:szCs w:val="18"/>
              </w:rPr>
            </w:pPr>
          </w:p>
        </w:tc>
        <w:tc>
          <w:tcPr>
            <w:tcW w:w="1984" w:type="dxa"/>
            <w:tcBorders>
              <w:right w:val="single" w:sz="4" w:space="0" w:color="808080"/>
            </w:tcBorders>
          </w:tcPr>
          <w:p w:rsidR="00476BAA" w:rsidRPr="007B1D2C" w:rsidRDefault="00476BAA" w:rsidP="00B66BA8">
            <w:pPr>
              <w:pStyle w:val="TableText"/>
              <w:keepNext/>
              <w:keepLines/>
              <w:rPr>
                <w:rFonts w:cs="Arial"/>
                <w:szCs w:val="18"/>
              </w:rPr>
            </w:pPr>
            <w:r w:rsidRPr="007B1D2C">
              <w:rPr>
                <w:rFonts w:cs="Arial"/>
                <w:szCs w:val="18"/>
              </w:rPr>
              <w:t>Tyres &amp; other rubber</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4,000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50</w:t>
            </w:r>
            <w:r w:rsidRPr="000B315F">
              <w:rPr>
                <w:color w:val="000000"/>
              </w:rPr>
              <w:t>%</w:t>
            </w:r>
          </w:p>
        </w:tc>
      </w:tr>
      <w:tr w:rsidR="00476BAA" w:rsidRPr="007B1D2C" w:rsidTr="008C48A7">
        <w:tc>
          <w:tcPr>
            <w:tcW w:w="2127" w:type="dxa"/>
            <w:vMerge w:val="restart"/>
          </w:tcPr>
          <w:p w:rsidR="00476BAA" w:rsidRPr="007B1D2C" w:rsidRDefault="00476BAA" w:rsidP="00B66BA8">
            <w:pPr>
              <w:pStyle w:val="TableText"/>
              <w:keepNext/>
              <w:keepLines/>
              <w:rPr>
                <w:rFonts w:cs="Arial"/>
                <w:szCs w:val="18"/>
              </w:rPr>
            </w:pPr>
            <w:r w:rsidRPr="007B1D2C">
              <w:rPr>
                <w:rFonts w:cs="Arial"/>
                <w:szCs w:val="18"/>
              </w:rPr>
              <w:t>Hazardous</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r w:rsidRPr="007B1D2C">
              <w:rPr>
                <w:rFonts w:cs="Arial"/>
                <w:szCs w:val="18"/>
              </w:rPr>
              <w:t>Quarantine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7B1D2C" w:rsidTr="008C48A7">
        <w:tc>
          <w:tcPr>
            <w:tcW w:w="2127" w:type="dxa"/>
            <w:vMerge/>
          </w:tcPr>
          <w:p w:rsidR="00476BAA" w:rsidRPr="007B1D2C" w:rsidRDefault="00476BAA" w:rsidP="00B66BA8">
            <w:pPr>
              <w:pStyle w:val="TableText"/>
              <w:keepNext/>
              <w:keepLines/>
              <w:rPr>
                <w:rFonts w:cs="Arial"/>
                <w:szCs w:val="18"/>
              </w:rPr>
            </w:pPr>
          </w:p>
        </w:tc>
        <w:tc>
          <w:tcPr>
            <w:tcW w:w="1984" w:type="dxa"/>
            <w:tcBorders>
              <w:right w:val="single" w:sz="4" w:space="0" w:color="808080"/>
            </w:tcBorders>
          </w:tcPr>
          <w:p w:rsidR="00476BAA" w:rsidRPr="007B1D2C" w:rsidRDefault="00476BAA" w:rsidP="00B66BA8">
            <w:pPr>
              <w:pStyle w:val="TableText"/>
              <w:keepNext/>
              <w:keepLines/>
              <w:rPr>
                <w:rFonts w:cs="Arial"/>
                <w:szCs w:val="18"/>
              </w:rPr>
            </w:pPr>
            <w:r w:rsidRPr="007B1D2C">
              <w:rPr>
                <w:rFonts w:cs="Arial"/>
                <w:szCs w:val="18"/>
              </w:rPr>
              <w:t>Contaminated soil</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7B1D2C" w:rsidTr="008C48A7">
        <w:tc>
          <w:tcPr>
            <w:tcW w:w="2127" w:type="dxa"/>
            <w:vMerge/>
          </w:tcPr>
          <w:p w:rsidR="00476BAA" w:rsidRPr="007B1D2C" w:rsidRDefault="00476BAA" w:rsidP="00B66BA8">
            <w:pPr>
              <w:pStyle w:val="TableText"/>
              <w:keepNext/>
              <w:keepLines/>
              <w:rPr>
                <w:rFonts w:cs="Arial"/>
                <w:szCs w:val="18"/>
              </w:rPr>
            </w:pPr>
          </w:p>
        </w:tc>
        <w:tc>
          <w:tcPr>
            <w:tcW w:w="1984" w:type="dxa"/>
            <w:tcBorders>
              <w:right w:val="single" w:sz="4" w:space="0" w:color="808080"/>
            </w:tcBorders>
          </w:tcPr>
          <w:p w:rsidR="00476BAA" w:rsidRPr="007B1D2C" w:rsidRDefault="00476BAA" w:rsidP="00B66BA8">
            <w:pPr>
              <w:pStyle w:val="TableText"/>
              <w:keepNext/>
              <w:keepLines/>
              <w:rPr>
                <w:rFonts w:cs="Arial"/>
                <w:szCs w:val="18"/>
              </w:rPr>
            </w:pPr>
            <w:r w:rsidRPr="007B1D2C">
              <w:rPr>
                <w:rFonts w:cs="Arial"/>
                <w:szCs w:val="18"/>
              </w:rPr>
              <w:t>Industrial waste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3,800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11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476BAA">
              <w:rPr>
                <w:rFonts w:cs="Arial"/>
                <w:color w:val="000000"/>
                <w:szCs w:val="18"/>
              </w:rPr>
              <w:t>32</w:t>
            </w:r>
            <w:r w:rsidRPr="000B315F">
              <w:rPr>
                <w:color w:val="000000"/>
              </w:rPr>
              <w:t>%</w:t>
            </w:r>
          </w:p>
        </w:tc>
      </w:tr>
      <w:tr w:rsidR="00476BAA" w:rsidRPr="007B1D2C" w:rsidTr="008C48A7">
        <w:tc>
          <w:tcPr>
            <w:tcW w:w="2127" w:type="dxa"/>
            <w:vMerge/>
          </w:tcPr>
          <w:p w:rsidR="00476BAA" w:rsidRPr="007B1D2C" w:rsidRDefault="00476BAA" w:rsidP="00B66BA8">
            <w:pPr>
              <w:pStyle w:val="TableText"/>
              <w:keepNext/>
              <w:keepLines/>
              <w:rPr>
                <w:rFonts w:cs="Arial"/>
                <w:szCs w:val="18"/>
              </w:rPr>
            </w:pPr>
          </w:p>
        </w:tc>
        <w:tc>
          <w:tcPr>
            <w:tcW w:w="1984" w:type="dxa"/>
            <w:tcBorders>
              <w:right w:val="single" w:sz="4" w:space="0" w:color="808080"/>
            </w:tcBorders>
          </w:tcPr>
          <w:p w:rsidR="00476BAA" w:rsidRPr="007B1D2C" w:rsidRDefault="00476BAA" w:rsidP="00B66BA8">
            <w:pPr>
              <w:pStyle w:val="TableText"/>
              <w:keepNext/>
              <w:keepLines/>
              <w:rPr>
                <w:rFonts w:cs="Arial"/>
                <w:szCs w:val="18"/>
              </w:rPr>
            </w:pPr>
            <w:r w:rsidRPr="007B1D2C">
              <w:rPr>
                <w:rFonts w:cs="Arial"/>
                <w:szCs w:val="18"/>
              </w:rPr>
              <w:t>Asbestos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7B1D2C" w:rsidTr="008C48A7">
        <w:tc>
          <w:tcPr>
            <w:tcW w:w="2127" w:type="dxa"/>
          </w:tcPr>
          <w:p w:rsidR="00476BAA" w:rsidRPr="007B1D2C" w:rsidRDefault="00476BAA" w:rsidP="00B66BA8">
            <w:pPr>
              <w:pStyle w:val="TableText"/>
              <w:keepNext/>
              <w:keepLines/>
              <w:rPr>
                <w:rFonts w:cs="Arial"/>
                <w:szCs w:val="18"/>
              </w:rPr>
            </w:pPr>
            <w:r w:rsidRPr="007B1D2C">
              <w:rPr>
                <w:rFonts w:cs="Arial"/>
                <w:b/>
                <w:szCs w:val="18"/>
              </w:rPr>
              <w:t>SUBTOTAL</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578</w:t>
            </w:r>
            <w:r w:rsidRPr="000B315F">
              <w:rPr>
                <w:b/>
                <w:color w:val="000000"/>
              </w:rPr>
              <w:t>,300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0B315F">
              <w:rPr>
                <w:b/>
                <w:color w:val="000000"/>
              </w:rPr>
              <w:t>1,</w:t>
            </w:r>
            <w:r w:rsidRPr="00476BAA">
              <w:rPr>
                <w:rFonts w:cs="Arial"/>
                <w:b/>
                <w:bCs/>
                <w:color w:val="000000"/>
                <w:szCs w:val="18"/>
              </w:rPr>
              <w:t>647</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0B315F">
              <w:rPr>
                <w:b/>
                <w:color w:val="000000"/>
              </w:rPr>
              <w:t>1,</w:t>
            </w:r>
            <w:r w:rsidRPr="00476BAA">
              <w:rPr>
                <w:rFonts w:cs="Arial"/>
                <w:b/>
                <w:bCs/>
                <w:color w:val="000000"/>
                <w:szCs w:val="18"/>
              </w:rPr>
              <w:t>091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74</w:t>
            </w:r>
            <w:r w:rsidRPr="000B315F">
              <w:rPr>
                <w:b/>
                <w:color w:val="000000"/>
              </w:rPr>
              <w:t>%</w:t>
            </w:r>
          </w:p>
        </w:tc>
      </w:tr>
      <w:tr w:rsidR="00476BAA" w:rsidRPr="007B1D2C" w:rsidTr="008C48A7">
        <w:tc>
          <w:tcPr>
            <w:tcW w:w="2127" w:type="dxa"/>
          </w:tcPr>
          <w:p w:rsidR="00476BAA" w:rsidRPr="007B1D2C" w:rsidRDefault="00476BAA" w:rsidP="00B66BA8">
            <w:pPr>
              <w:pStyle w:val="TableText"/>
              <w:keepNext/>
              <w:keepLines/>
              <w:rPr>
                <w:rFonts w:cs="Arial"/>
                <w:szCs w:val="18"/>
              </w:rPr>
            </w:pPr>
            <w:r w:rsidRPr="007B1D2C">
              <w:rPr>
                <w:rFonts w:cs="Arial"/>
                <w:szCs w:val="18"/>
              </w:rPr>
              <w:t>Fly ash</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110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szCs w:val="18"/>
              </w:rPr>
            </w:pPr>
            <w:r w:rsidRPr="000B315F">
              <w:rPr>
                <w:color w:val="000000"/>
              </w:rPr>
              <w:t>0%</w:t>
            </w:r>
          </w:p>
        </w:tc>
      </w:tr>
      <w:tr w:rsidR="00476BAA" w:rsidRPr="007B1D2C" w:rsidTr="008C48A7">
        <w:tc>
          <w:tcPr>
            <w:tcW w:w="2127" w:type="dxa"/>
          </w:tcPr>
          <w:p w:rsidR="00476BAA" w:rsidRPr="007B1D2C" w:rsidRDefault="00476BAA" w:rsidP="00B66BA8">
            <w:pPr>
              <w:pStyle w:val="TableText"/>
              <w:keepNext/>
              <w:keepLines/>
              <w:rPr>
                <w:rFonts w:cs="Arial"/>
                <w:szCs w:val="18"/>
              </w:rPr>
            </w:pPr>
            <w:r w:rsidRPr="007B1D2C">
              <w:rPr>
                <w:rFonts w:cs="Arial"/>
                <w:b/>
                <w:szCs w:val="18"/>
              </w:rPr>
              <w:t>TOTAL</w:t>
            </w:r>
          </w:p>
        </w:tc>
        <w:tc>
          <w:tcPr>
            <w:tcW w:w="1984" w:type="dxa"/>
            <w:tcBorders>
              <w:right w:val="single" w:sz="4" w:space="0" w:color="808080"/>
            </w:tcBorders>
          </w:tcPr>
          <w:p w:rsidR="00476BAA" w:rsidRPr="007B1D2C" w:rsidRDefault="00476BAA" w:rsidP="00B66BA8">
            <w:pPr>
              <w:pStyle w:val="TableText"/>
              <w:keepNext/>
              <w:keepLines/>
              <w:rPr>
                <w:rFonts w:cs="Arial"/>
                <w:szCs w:val="18"/>
              </w:rPr>
            </w:pP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578</w:t>
            </w:r>
            <w:r w:rsidRPr="000B315F">
              <w:rPr>
                <w:b/>
                <w:color w:val="000000"/>
              </w:rPr>
              <w:t>,300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0B315F">
              <w:rPr>
                <w:b/>
                <w:color w:val="000000"/>
              </w:rPr>
              <w:t>1,</w:t>
            </w:r>
            <w:r w:rsidRPr="00476BAA">
              <w:rPr>
                <w:rFonts w:cs="Arial"/>
                <w:b/>
                <w:bCs/>
                <w:color w:val="000000"/>
                <w:szCs w:val="18"/>
              </w:rPr>
              <w:t>647</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0B315F">
              <w:rPr>
                <w:b/>
                <w:color w:val="000000"/>
              </w:rPr>
              <w:t>1,</w:t>
            </w:r>
            <w:r w:rsidRPr="00476BAA">
              <w:rPr>
                <w:rFonts w:cs="Arial"/>
                <w:b/>
                <w:bCs/>
                <w:color w:val="000000"/>
                <w:szCs w:val="18"/>
              </w:rPr>
              <w:t>201</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476BAA" w:rsidRPr="00476BAA" w:rsidRDefault="00476BAA" w:rsidP="00B66BA8">
            <w:pPr>
              <w:pStyle w:val="TableText"/>
              <w:keepNext/>
              <w:keepLines/>
              <w:jc w:val="right"/>
              <w:rPr>
                <w:rFonts w:cs="Arial"/>
                <w:b/>
                <w:szCs w:val="18"/>
              </w:rPr>
            </w:pPr>
            <w:r w:rsidRPr="00476BAA">
              <w:rPr>
                <w:rFonts w:cs="Arial"/>
                <w:b/>
                <w:bCs/>
                <w:color w:val="000000"/>
                <w:szCs w:val="18"/>
              </w:rPr>
              <w:t>74</w:t>
            </w:r>
            <w:r w:rsidRPr="000B315F">
              <w:rPr>
                <w:b/>
                <w:color w:val="000000"/>
              </w:rPr>
              <w:t>%</w:t>
            </w:r>
          </w:p>
        </w:tc>
      </w:tr>
    </w:tbl>
    <w:p w:rsidR="00903DD9" w:rsidRPr="00C36C8F" w:rsidRDefault="00903DD9" w:rsidP="00903DD9">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EB0688" w:rsidRPr="00C36C8F" w:rsidRDefault="00EB0688" w:rsidP="00690F1F">
      <w:pPr>
        <w:pStyle w:val="ParaIndent"/>
        <w:spacing w:before="240"/>
      </w:pPr>
    </w:p>
    <w:bookmarkStart w:id="208" w:name="_Ref284593248"/>
    <w:p w:rsidR="00EB0688" w:rsidRPr="00C36C8F" w:rsidRDefault="00B9555F" w:rsidP="00E55023">
      <w:pPr>
        <w:pStyle w:val="ParaIndent"/>
        <w:keepNext/>
        <w:keepLines/>
        <w:jc w:val="both"/>
      </w:pPr>
      <w:r w:rsidRPr="00C36C8F">
        <w:fldChar w:fldCharType="begin"/>
      </w:r>
      <w:r w:rsidR="00EB0688" w:rsidRPr="00C36C8F">
        <w:instrText xml:space="preserve"> REF _Ref300763611 \h </w:instrText>
      </w:r>
      <w:r w:rsidRPr="00C36C8F">
        <w:fldChar w:fldCharType="separate"/>
      </w:r>
      <w:r w:rsidR="00AE7E3B" w:rsidRPr="00C36C8F">
        <w:t xml:space="preserve">Table </w:t>
      </w:r>
      <w:r w:rsidR="00AE7E3B">
        <w:rPr>
          <w:noProof/>
        </w:rPr>
        <w:t>4</w:t>
      </w:r>
      <w:r w:rsidR="00AE7E3B" w:rsidRPr="00C36C8F">
        <w:t>-</w:t>
      </w:r>
      <w:r w:rsidR="00AE7E3B">
        <w:rPr>
          <w:noProof/>
        </w:rPr>
        <w:t>40</w:t>
      </w:r>
      <w:r w:rsidRPr="00C36C8F">
        <w:fldChar w:fldCharType="end"/>
      </w:r>
      <w:r w:rsidR="00EB0688" w:rsidRPr="00C36C8F">
        <w:t xml:space="preserve"> details energy recovery by material type for the ACT. Recovery for the jurisdiction is presented in terms of total tonnes, and the per capita rate. The national average per capita recovery rate is also provided.</w:t>
      </w:r>
    </w:p>
    <w:p w:rsidR="00DE05C7" w:rsidRPr="00C36C8F" w:rsidRDefault="00DE05C7" w:rsidP="00DE05C7">
      <w:pPr>
        <w:pStyle w:val="Caption"/>
        <w:tabs>
          <w:tab w:val="left" w:pos="7275"/>
        </w:tabs>
      </w:pPr>
      <w:bookmarkStart w:id="209" w:name="_Ref300763611"/>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40</w:t>
      </w:r>
      <w:r w:rsidR="00B9555F" w:rsidRPr="00C36C8F">
        <w:rPr>
          <w:noProof/>
        </w:rPr>
        <w:fldChar w:fldCharType="end"/>
      </w:r>
      <w:bookmarkEnd w:id="208"/>
      <w:bookmarkEnd w:id="209"/>
      <w:r w:rsidRPr="00C36C8F">
        <w:tab/>
      </w:r>
      <w:r w:rsidR="00B66BA8" w:rsidRPr="00C36C8F">
        <w:t>ACT e</w:t>
      </w:r>
      <w:r w:rsidRPr="00C36C8F">
        <w:t>nergy recovery by material, 2008–09</w:t>
      </w:r>
    </w:p>
    <w:tbl>
      <w:tblPr>
        <w:tblW w:w="8098" w:type="dxa"/>
        <w:jc w:val="right"/>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tblGrid>
      <w:tr w:rsidR="00121C5C" w:rsidRPr="00C36C8F" w:rsidTr="00121C5C">
        <w:trPr>
          <w:jc w:val="right"/>
        </w:trPr>
        <w:tc>
          <w:tcPr>
            <w:tcW w:w="4111" w:type="dxa"/>
            <w:gridSpan w:val="2"/>
            <w:tcBorders>
              <w:right w:val="single" w:sz="4" w:space="0" w:color="808080"/>
            </w:tcBorders>
            <w:shd w:val="clear" w:color="auto" w:fill="auto"/>
            <w:vAlign w:val="center"/>
          </w:tcPr>
          <w:p w:rsidR="00121C5C" w:rsidRPr="00C36C8F" w:rsidRDefault="00121C5C" w:rsidP="00121C5C">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B66BA8" w:rsidP="00121C5C">
            <w:pPr>
              <w:pStyle w:val="TableHeading"/>
              <w:keepLines/>
              <w:jc w:val="center"/>
              <w:rPr>
                <w:kern w:val="28"/>
              </w:rPr>
            </w:pPr>
            <w:r w:rsidRPr="00C36C8F">
              <w:rPr>
                <w:kern w:val="28"/>
              </w:rPr>
              <w:t>ACT</w:t>
            </w:r>
            <w:r w:rsidR="00121C5C" w:rsidRPr="00C36C8F">
              <w:rPr>
                <w:kern w:val="28"/>
              </w:rPr>
              <w:t xml:space="preserve"> energy recovery</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National average</w:t>
            </w:r>
          </w:p>
        </w:tc>
      </w:tr>
      <w:tr w:rsidR="00121C5C" w:rsidRPr="00C36C8F" w:rsidTr="00121C5C">
        <w:trPr>
          <w:jc w:val="right"/>
        </w:trPr>
        <w:tc>
          <w:tcPr>
            <w:tcW w:w="2127" w:type="dxa"/>
            <w:tcBorders>
              <w:bottom w:val="single" w:sz="4" w:space="0" w:color="808080"/>
              <w:right w:val="nil"/>
            </w:tcBorders>
            <w:shd w:val="clear" w:color="auto" w:fill="auto"/>
          </w:tcPr>
          <w:p w:rsidR="00121C5C" w:rsidRPr="00C36C8F" w:rsidRDefault="001635EB" w:rsidP="001635EB">
            <w:pPr>
              <w:pStyle w:val="TableHeading"/>
              <w:keepLines/>
              <w:jc w:val="center"/>
              <w:rPr>
                <w:kern w:val="28"/>
              </w:rPr>
            </w:pPr>
            <w:r w:rsidRPr="00C36C8F">
              <w:rPr>
                <w:kern w:val="28"/>
              </w:rPr>
              <w:t>Material Ca</w:t>
            </w:r>
            <w:r w:rsidR="00121C5C" w:rsidRPr="00C36C8F">
              <w:rPr>
                <w:kern w:val="28"/>
              </w:rPr>
              <w:t>tegory</w:t>
            </w:r>
          </w:p>
        </w:tc>
        <w:tc>
          <w:tcPr>
            <w:tcW w:w="1984" w:type="dxa"/>
            <w:tcBorders>
              <w:left w:val="nil"/>
              <w:bottom w:val="single" w:sz="4" w:space="0" w:color="808080"/>
              <w:right w:val="single" w:sz="4" w:space="0" w:color="808080"/>
            </w:tcBorders>
            <w:shd w:val="clear" w:color="auto" w:fill="auto"/>
          </w:tcPr>
          <w:p w:rsidR="00121C5C" w:rsidRPr="00C36C8F" w:rsidRDefault="001635EB" w:rsidP="00121C5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r>
      <w:tr w:rsidR="00B66BA8"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B66BA8" w:rsidRPr="00C36C8F" w:rsidRDefault="00B66BA8"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B66BA8" w:rsidRPr="00C36C8F" w:rsidRDefault="00B66BA8"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B66BA8" w:rsidRPr="00C36C8F" w:rsidRDefault="00B66BA8"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9,400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27</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15</w:t>
            </w:r>
          </w:p>
        </w:tc>
      </w:tr>
      <w:tr w:rsidR="00B66BA8"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B66BA8" w:rsidRPr="00C36C8F" w:rsidRDefault="00B66BA8"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B66BA8" w:rsidRPr="00C36C8F" w:rsidRDefault="00B66BA8"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B66BA8" w:rsidRPr="00C36C8F" w:rsidRDefault="001635EB" w:rsidP="00121C5C">
            <w:pPr>
              <w:pStyle w:val="TableText"/>
              <w:keepNext/>
              <w:keepLines/>
            </w:pPr>
            <w:r w:rsidRPr="00C36C8F">
              <w:t>Glass</w:t>
            </w:r>
            <w:r w:rsidRPr="00C36C8F" w:rsidDel="001635EB">
              <w:t xml:space="preserve"> </w:t>
            </w:r>
          </w:p>
        </w:tc>
        <w:tc>
          <w:tcPr>
            <w:tcW w:w="1984" w:type="dxa"/>
            <w:tcBorders>
              <w:top w:val="single" w:sz="4" w:space="0" w:color="808080"/>
              <w:left w:val="nil"/>
              <w:bottom w:val="single" w:sz="4" w:space="0" w:color="808080"/>
              <w:right w:val="single" w:sz="4" w:space="0" w:color="808080"/>
            </w:tcBorders>
            <w:vAlign w:val="center"/>
          </w:tcPr>
          <w:p w:rsidR="00B66BA8" w:rsidRPr="00C36C8F" w:rsidRDefault="00B66BA8"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B66BA8" w:rsidRPr="00C36C8F" w:rsidRDefault="001635EB" w:rsidP="00121C5C">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B66BA8" w:rsidRPr="00C36C8F" w:rsidRDefault="00B66BA8" w:rsidP="00121C5C">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B66BA8" w:rsidRPr="00C36C8F" w:rsidRDefault="00B66BA8" w:rsidP="00121C5C">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vMerge w:val="restart"/>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B66BA8" w:rsidRPr="00C36C8F" w:rsidRDefault="00B66BA8" w:rsidP="00121C5C">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B66BA8" w:rsidRPr="00C36C8F" w:rsidRDefault="00B66BA8" w:rsidP="00121C5C">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B66BA8" w:rsidRPr="00C36C8F" w:rsidRDefault="00B66BA8" w:rsidP="00121C5C">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1</w:t>
            </w:r>
          </w:p>
        </w:tc>
      </w:tr>
      <w:tr w:rsidR="00B66BA8" w:rsidRPr="00C36C8F" w:rsidTr="00B66BA8">
        <w:trPr>
          <w:jc w:val="right"/>
        </w:trPr>
        <w:tc>
          <w:tcPr>
            <w:tcW w:w="2127" w:type="dxa"/>
            <w:vMerge/>
            <w:tcBorders>
              <w:top w:val="single" w:sz="4" w:space="0" w:color="808080"/>
              <w:bottom w:val="single" w:sz="4" w:space="0" w:color="808080"/>
              <w:right w:val="nil"/>
            </w:tcBorders>
            <w:shd w:val="clear" w:color="auto" w:fill="auto"/>
            <w:vAlign w:val="center"/>
          </w:tcPr>
          <w:p w:rsidR="00B66BA8" w:rsidRPr="00C36C8F" w:rsidRDefault="00B66BA8"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B66BA8" w:rsidRPr="00C36C8F" w:rsidRDefault="00B66BA8" w:rsidP="00121C5C">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tcBorders>
              <w:top w:val="single" w:sz="4" w:space="0" w:color="808080"/>
              <w:bottom w:val="single" w:sz="18" w:space="0" w:color="808080" w:themeColor="background1" w:themeShade="80"/>
              <w:right w:val="nil"/>
            </w:tcBorders>
            <w:shd w:val="clear" w:color="auto" w:fill="auto"/>
            <w:vAlign w:val="center"/>
          </w:tcPr>
          <w:p w:rsidR="00B66BA8" w:rsidRPr="00C36C8F" w:rsidRDefault="00B66BA8" w:rsidP="00121C5C">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B66BA8" w:rsidRPr="00C36C8F" w:rsidRDefault="00B66BA8" w:rsidP="00121C5C">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b/>
                <w:szCs w:val="18"/>
              </w:rPr>
            </w:pPr>
            <w:r w:rsidRPr="00C36C8F">
              <w:rPr>
                <w:b/>
              </w:rPr>
              <w:t>9,400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b/>
                <w:szCs w:val="18"/>
              </w:rPr>
            </w:pPr>
            <w:r w:rsidRPr="00C36C8F">
              <w:rPr>
                <w:b/>
              </w:rPr>
              <w:t>27</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b/>
                <w:szCs w:val="18"/>
              </w:rPr>
            </w:pPr>
            <w:r w:rsidRPr="00C36C8F">
              <w:rPr>
                <w:b/>
              </w:rPr>
              <w:t>16</w:t>
            </w:r>
          </w:p>
        </w:tc>
      </w:tr>
      <w:tr w:rsidR="00B66BA8" w:rsidRPr="00C36C8F" w:rsidTr="00B66BA8">
        <w:trPr>
          <w:jc w:val="right"/>
        </w:trPr>
        <w:tc>
          <w:tcPr>
            <w:tcW w:w="2127" w:type="dxa"/>
            <w:tcBorders>
              <w:top w:val="single" w:sz="18" w:space="0" w:color="808080" w:themeColor="background1" w:themeShade="80"/>
              <w:bottom w:val="single" w:sz="4" w:space="0" w:color="808080"/>
              <w:right w:val="nil"/>
            </w:tcBorders>
            <w:shd w:val="clear" w:color="auto" w:fill="auto"/>
            <w:vAlign w:val="center"/>
          </w:tcPr>
          <w:p w:rsidR="00B66BA8" w:rsidRPr="00C36C8F" w:rsidRDefault="00B66BA8" w:rsidP="00121C5C">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B66BA8" w:rsidRPr="00C36C8F" w:rsidRDefault="00B66BA8" w:rsidP="00121C5C">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szCs w:val="18"/>
              </w:rPr>
            </w:pPr>
            <w:r w:rsidRPr="00C36C8F">
              <w:t>0</w:t>
            </w:r>
          </w:p>
        </w:tc>
      </w:tr>
      <w:tr w:rsidR="00B66BA8" w:rsidRPr="00C36C8F" w:rsidTr="00B66BA8">
        <w:trPr>
          <w:jc w:val="right"/>
        </w:trPr>
        <w:tc>
          <w:tcPr>
            <w:tcW w:w="2127" w:type="dxa"/>
            <w:tcBorders>
              <w:top w:val="single" w:sz="4" w:space="0" w:color="808080"/>
              <w:bottom w:val="single" w:sz="18" w:space="0" w:color="7F7F7F" w:themeColor="text1" w:themeTint="80"/>
              <w:right w:val="nil"/>
            </w:tcBorders>
            <w:shd w:val="clear" w:color="auto" w:fill="auto"/>
            <w:vAlign w:val="center"/>
          </w:tcPr>
          <w:p w:rsidR="00B66BA8" w:rsidRPr="00C36C8F" w:rsidRDefault="00B66BA8" w:rsidP="00121C5C">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B66BA8" w:rsidRPr="00C36C8F" w:rsidRDefault="00B66BA8" w:rsidP="00121C5C">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b/>
                <w:szCs w:val="18"/>
              </w:rPr>
            </w:pPr>
            <w:r w:rsidRPr="00C36C8F">
              <w:rPr>
                <w:b/>
              </w:rPr>
              <w:t>9,400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b/>
                <w:szCs w:val="18"/>
              </w:rPr>
            </w:pPr>
            <w:r w:rsidRPr="00C36C8F">
              <w:rPr>
                <w:b/>
              </w:rPr>
              <w:t>27</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B66BA8" w:rsidRPr="00C36C8F" w:rsidRDefault="00B66BA8" w:rsidP="00121C5C">
            <w:pPr>
              <w:pStyle w:val="TableText"/>
              <w:keepNext/>
              <w:keepLines/>
              <w:jc w:val="right"/>
              <w:rPr>
                <w:rFonts w:cs="Arial"/>
                <w:b/>
                <w:szCs w:val="18"/>
              </w:rPr>
            </w:pPr>
            <w:r w:rsidRPr="00C36C8F">
              <w:rPr>
                <w:b/>
              </w:rPr>
              <w:t>16</w:t>
            </w:r>
          </w:p>
        </w:tc>
      </w:tr>
    </w:tbl>
    <w:p w:rsidR="00121C5C" w:rsidRPr="00C36C8F" w:rsidRDefault="00121C5C" w:rsidP="00121C5C">
      <w:pPr>
        <w:pStyle w:val="ParaIndent"/>
        <w:spacing w:before="120"/>
        <w:ind w:left="156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09088A" w:rsidRPr="00C36C8F" w:rsidRDefault="0009088A" w:rsidP="0009088A">
      <w:pPr>
        <w:pStyle w:val="ParaIndent"/>
        <w:spacing w:before="120"/>
      </w:pPr>
    </w:p>
    <w:p w:rsidR="0009088A" w:rsidRPr="00C36C8F" w:rsidRDefault="0009088A" w:rsidP="0009088A">
      <w:pPr>
        <w:pStyle w:val="ParaIndent"/>
        <w:spacing w:before="120"/>
      </w:pPr>
    </w:p>
    <w:p w:rsidR="0009088A" w:rsidRPr="00C36C8F" w:rsidRDefault="00B9555F" w:rsidP="00E55023">
      <w:pPr>
        <w:pStyle w:val="ParaIndent"/>
        <w:keepNext/>
        <w:jc w:val="both"/>
      </w:pPr>
      <w:r w:rsidRPr="00C36C8F">
        <w:fldChar w:fldCharType="begin"/>
      </w:r>
      <w:r w:rsidR="00B66BA8" w:rsidRPr="00C36C8F">
        <w:instrText xml:space="preserve"> REF _Ref300771417 \h </w:instrText>
      </w:r>
      <w:r w:rsidRPr="00C36C8F">
        <w:fldChar w:fldCharType="separate"/>
      </w:r>
      <w:r w:rsidR="00AE7E3B" w:rsidRPr="00C36C8F">
        <w:t xml:space="preserve">Figure </w:t>
      </w:r>
      <w:r w:rsidR="00AE7E3B">
        <w:rPr>
          <w:noProof/>
        </w:rPr>
        <w:t>4</w:t>
      </w:r>
      <w:r w:rsidR="00AE7E3B" w:rsidRPr="00C36C8F">
        <w:t>-</w:t>
      </w:r>
      <w:r w:rsidR="00AE7E3B">
        <w:rPr>
          <w:noProof/>
        </w:rPr>
        <w:t>24</w:t>
      </w:r>
      <w:r w:rsidRPr="00C36C8F">
        <w:fldChar w:fldCharType="end"/>
      </w:r>
      <w:r w:rsidR="00B46B2F" w:rsidRPr="00C36C8F">
        <w:t xml:space="preserve"> </w:t>
      </w:r>
      <w:r w:rsidR="0009088A" w:rsidRPr="00C36C8F">
        <w:t>charts waste disposal, recycling and energy recovery, by source sector for the ACT.</w:t>
      </w:r>
      <w:r w:rsidR="006F4D38" w:rsidRPr="00C36C8F">
        <w:t xml:space="preserve"> Insufficient data was available to provide separate estimates for the C&amp;I and C&amp;D waste streams.</w:t>
      </w:r>
    </w:p>
    <w:tbl>
      <w:tblPr>
        <w:tblW w:w="0" w:type="auto"/>
        <w:tblInd w:w="1134" w:type="dxa"/>
        <w:tblLayout w:type="fixed"/>
        <w:tblCellMar>
          <w:left w:w="0" w:type="dxa"/>
          <w:right w:w="0" w:type="dxa"/>
        </w:tblCellMar>
        <w:tblLook w:val="0000"/>
      </w:tblPr>
      <w:tblGrid>
        <w:gridCol w:w="8505"/>
      </w:tblGrid>
      <w:tr w:rsidR="006F6D79" w:rsidRPr="00C36C8F" w:rsidTr="006F6D79">
        <w:trPr>
          <w:cantSplit/>
          <w:trHeight w:val="3486"/>
        </w:trPr>
        <w:tc>
          <w:tcPr>
            <w:tcW w:w="8505" w:type="dxa"/>
          </w:tcPr>
          <w:p w:rsidR="006F6D79" w:rsidRPr="00C36C8F" w:rsidRDefault="00213569" w:rsidP="006F6D79">
            <w:pPr>
              <w:pStyle w:val="ParaIndent"/>
              <w:spacing w:before="120"/>
              <w:ind w:left="0"/>
            </w:pPr>
            <w:bookmarkStart w:id="210" w:name="_Toc284316470"/>
            <w:r>
              <w:rPr>
                <w:noProof/>
                <w:lang w:eastAsia="en-AU"/>
              </w:rPr>
              <w:drawing>
                <wp:inline distT="0" distB="0" distL="0" distR="0">
                  <wp:extent cx="1695449" cy="2871789"/>
                  <wp:effectExtent l="0" t="0" r="63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lang w:eastAsia="en-AU"/>
              </w:rPr>
              <w:drawing>
                <wp:inline distT="0" distB="0" distL="0" distR="0">
                  <wp:extent cx="1733550" cy="2905126"/>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6F6D79" w:rsidRPr="00C36C8F" w:rsidTr="006F6D79">
        <w:trPr>
          <w:cantSplit/>
        </w:trPr>
        <w:tc>
          <w:tcPr>
            <w:tcW w:w="8505" w:type="dxa"/>
          </w:tcPr>
          <w:p w:rsidR="006F6D79" w:rsidRPr="00C36C8F" w:rsidRDefault="006F6D79" w:rsidP="00861566">
            <w:pPr>
              <w:pStyle w:val="Caption"/>
              <w:tabs>
                <w:tab w:val="left" w:pos="7275"/>
              </w:tabs>
            </w:pPr>
            <w:bookmarkStart w:id="211" w:name="_Ref300771417"/>
            <w:r w:rsidRPr="00C36C8F">
              <w:t xml:space="preserve">Figure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Figure \* Arabic </w:instrText>
            </w:r>
            <w:r w:rsidR="00B9555F" w:rsidRPr="00C36C8F">
              <w:fldChar w:fldCharType="separate"/>
            </w:r>
            <w:r w:rsidR="00AE7E3B">
              <w:rPr>
                <w:noProof/>
              </w:rPr>
              <w:t>24</w:t>
            </w:r>
            <w:r w:rsidR="00B9555F" w:rsidRPr="00C36C8F">
              <w:rPr>
                <w:noProof/>
              </w:rPr>
              <w:fldChar w:fldCharType="end"/>
            </w:r>
            <w:bookmarkEnd w:id="211"/>
            <w:r w:rsidRPr="00C36C8F">
              <w:tab/>
            </w:r>
            <w:r w:rsidR="00B66BA8" w:rsidRPr="00C36C8F">
              <w:t>ACT</w:t>
            </w:r>
            <w:r w:rsidRPr="00C36C8F">
              <w:t xml:space="preserve"> waste disposal, recycling and energy </w:t>
            </w:r>
            <w:r w:rsidR="00B66BA8" w:rsidRPr="00C36C8F">
              <w:t>recovery, by source sector 2008</w:t>
            </w:r>
            <w:r w:rsidR="00861566">
              <w:t>–</w:t>
            </w:r>
            <w:r w:rsidRPr="00C36C8F">
              <w:t>09</w:t>
            </w:r>
            <w:r w:rsidR="00C16F94">
              <w:t xml:space="preserve"> subtotals</w:t>
            </w:r>
            <w:r w:rsidR="00AB1315" w:rsidRPr="00C36C8F">
              <w:t>. Units in ‘000 tonnes.</w:t>
            </w:r>
          </w:p>
        </w:tc>
      </w:tr>
    </w:tbl>
    <w:p w:rsidR="0009088A" w:rsidRPr="00C36C8F" w:rsidRDefault="0009088A" w:rsidP="0009088A">
      <w:pPr>
        <w:pStyle w:val="ParaIndent"/>
        <w:spacing w:before="120"/>
      </w:pPr>
    </w:p>
    <w:p w:rsidR="0009088A" w:rsidRPr="00C36C8F" w:rsidRDefault="0009088A" w:rsidP="0009088A">
      <w:pPr>
        <w:pStyle w:val="ParaIndent"/>
        <w:spacing w:before="120"/>
      </w:pPr>
      <w:r w:rsidRPr="00C36C8F">
        <w:br w:type="page"/>
      </w:r>
    </w:p>
    <w:p w:rsidR="00DE05C7" w:rsidRPr="00C36C8F" w:rsidRDefault="00DE05C7" w:rsidP="00DE05C7">
      <w:pPr>
        <w:pStyle w:val="Heading2"/>
      </w:pPr>
      <w:bookmarkStart w:id="212" w:name="_Toc325020112"/>
      <w:bookmarkStart w:id="213" w:name="_Toc305049760"/>
      <w:r w:rsidRPr="00C36C8F">
        <w:t>Northern Territory waste disposal and recovery</w:t>
      </w:r>
      <w:bookmarkEnd w:id="210"/>
      <w:bookmarkEnd w:id="212"/>
      <w:bookmarkEnd w:id="213"/>
    </w:p>
    <w:p w:rsidR="00B66BA8" w:rsidRPr="00C36C8F" w:rsidRDefault="00576C20" w:rsidP="00E55023">
      <w:pPr>
        <w:pStyle w:val="ParaIndent"/>
        <w:jc w:val="both"/>
      </w:pPr>
      <w:r w:rsidRPr="00C36C8F">
        <w:t>NT disposal, recycling and energy recovery data is</w:t>
      </w:r>
      <w:r w:rsidR="00B66BA8" w:rsidRPr="00C36C8F">
        <w:t xml:space="preserve"> for the 2008–09 financial year</w:t>
      </w:r>
      <w:r w:rsidRPr="00C36C8F">
        <w:t>.</w:t>
      </w:r>
      <w:r w:rsidR="00B66BA8" w:rsidRPr="00C36C8F">
        <w:t xml:space="preserve"> Disposal and recycling data for NT is only </w:t>
      </w:r>
      <w:r w:rsidR="0046767E" w:rsidRPr="00C36C8F">
        <w:t xml:space="preserve">available </w:t>
      </w:r>
      <w:r w:rsidR="00B66BA8" w:rsidRPr="00C36C8F">
        <w:t xml:space="preserve">for Darwin. Territory-wide landfill </w:t>
      </w:r>
      <w:r w:rsidR="00313465" w:rsidRPr="00C36C8F">
        <w:t xml:space="preserve">and recycling </w:t>
      </w:r>
      <w:r w:rsidR="00B66BA8" w:rsidRPr="00C36C8F">
        <w:t>data was derived for the purposes of this report by applying a metropolitan to non-metropolitan population ratio to the metropolitan data. The waste disposal composition</w:t>
      </w:r>
      <w:r w:rsidR="00313465" w:rsidRPr="00C36C8F">
        <w:t xml:space="preserve"> was</w:t>
      </w:r>
      <w:r w:rsidR="00B66BA8" w:rsidRPr="00C36C8F">
        <w:t xml:space="preserve"> estimated by applying </w:t>
      </w:r>
      <w:r w:rsidR="00313465" w:rsidRPr="00C36C8F">
        <w:t>average national compositions obtained from audits undertaken in other states</w:t>
      </w:r>
      <w:r w:rsidR="00B66BA8" w:rsidRPr="00C36C8F">
        <w:t>.</w:t>
      </w:r>
    </w:p>
    <w:p w:rsidR="00344252" w:rsidRPr="00C36C8F" w:rsidRDefault="00B9555F" w:rsidP="00E55023">
      <w:pPr>
        <w:pStyle w:val="ParaIndent"/>
        <w:jc w:val="both"/>
      </w:pPr>
      <w:fldSimple w:instr=" REF _Ref286934516 \h  \* MERGEFORMAT ">
        <w:r w:rsidR="00AE7E3B" w:rsidRPr="00C36C8F">
          <w:t xml:space="preserve">Table </w:t>
        </w:r>
        <w:r w:rsidR="00AE7E3B">
          <w:rPr>
            <w:noProof/>
          </w:rPr>
          <w:t>4</w:t>
        </w:r>
        <w:r w:rsidR="00AE7E3B" w:rsidRPr="00C36C8F">
          <w:rPr>
            <w:noProof/>
          </w:rPr>
          <w:t>-</w:t>
        </w:r>
        <w:r w:rsidR="00AE7E3B">
          <w:rPr>
            <w:noProof/>
          </w:rPr>
          <w:t>41</w:t>
        </w:r>
      </w:fldSimple>
      <w:r w:rsidR="00344252" w:rsidRPr="00C36C8F">
        <w:t xml:space="preserve"> provides an overview of the sources of the Northern Territory waste disposal and recovery data, upon which the jurisdictional review and national figures for the 2008</w:t>
      </w:r>
      <w:r w:rsidR="00E7731A">
        <w:rPr>
          <w:rFonts w:cs="Arial"/>
        </w:rPr>
        <w:t>–</w:t>
      </w:r>
      <w:r w:rsidR="00344252" w:rsidRPr="00C36C8F">
        <w:t>09 reporting period are based.</w:t>
      </w:r>
      <w:r w:rsidR="00690F1F" w:rsidRPr="00C36C8F">
        <w:t xml:space="preserve"> </w:t>
      </w:r>
    </w:p>
    <w:p w:rsidR="00DE05C7" w:rsidRPr="00C36C8F" w:rsidRDefault="00DE05C7" w:rsidP="00DE05C7">
      <w:pPr>
        <w:pStyle w:val="Caption"/>
        <w:tabs>
          <w:tab w:val="left" w:pos="7275"/>
        </w:tabs>
      </w:pPr>
      <w:bookmarkStart w:id="214" w:name="_Ref286934516"/>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41</w:t>
      </w:r>
      <w:r w:rsidR="00B9555F" w:rsidRPr="00C36C8F">
        <w:rPr>
          <w:noProof/>
        </w:rPr>
        <w:fldChar w:fldCharType="end"/>
      </w:r>
      <w:bookmarkEnd w:id="214"/>
      <w:r w:rsidRPr="00C36C8F">
        <w:tab/>
        <w:t>Sources of Northern Territory waste disposal and recovery data</w:t>
      </w:r>
    </w:p>
    <w:tbl>
      <w:tblPr>
        <w:tblW w:w="0" w:type="auto"/>
        <w:tblBorders>
          <w:bottom w:val="single" w:sz="18" w:space="0" w:color="808080"/>
          <w:insideH w:val="single" w:sz="4" w:space="0" w:color="808080"/>
        </w:tblBorders>
        <w:tblCellMar>
          <w:left w:w="0" w:type="dxa"/>
          <w:right w:w="0" w:type="dxa"/>
        </w:tblCellMar>
        <w:tblLook w:val="01E0"/>
      </w:tblPr>
      <w:tblGrid>
        <w:gridCol w:w="1272"/>
        <w:gridCol w:w="3149"/>
        <w:gridCol w:w="5360"/>
      </w:tblGrid>
      <w:tr w:rsidR="007715EB" w:rsidRPr="00C36C8F" w:rsidTr="00D71ED7">
        <w:trPr>
          <w:cantSplit/>
          <w:trHeight w:val="393"/>
          <w:tblHeader/>
        </w:trPr>
        <w:tc>
          <w:tcPr>
            <w:tcW w:w="0" w:type="auto"/>
            <w:shd w:val="clear" w:color="auto" w:fill="auto"/>
            <w:tcMar>
              <w:right w:w="142" w:type="dxa"/>
            </w:tcMar>
          </w:tcPr>
          <w:p w:rsidR="007715EB" w:rsidRPr="00C36C8F" w:rsidRDefault="007715EB" w:rsidP="00870C8B">
            <w:pPr>
              <w:pStyle w:val="TableHeading"/>
              <w:rPr>
                <w:rFonts w:cs="Arial"/>
                <w:kern w:val="28"/>
                <w:szCs w:val="18"/>
              </w:rPr>
            </w:pPr>
            <w:r w:rsidRPr="00C36C8F">
              <w:rPr>
                <w:rFonts w:cs="Arial"/>
                <w:kern w:val="28"/>
                <w:szCs w:val="18"/>
              </w:rPr>
              <w:t>Data field</w:t>
            </w:r>
          </w:p>
        </w:tc>
        <w:tc>
          <w:tcPr>
            <w:tcW w:w="0" w:type="auto"/>
            <w:shd w:val="clear" w:color="auto" w:fill="auto"/>
            <w:tcMar>
              <w:right w:w="142" w:type="dxa"/>
            </w:tcMar>
          </w:tcPr>
          <w:p w:rsidR="007715EB" w:rsidRPr="00C36C8F" w:rsidRDefault="007715EB" w:rsidP="00870C8B">
            <w:pPr>
              <w:pStyle w:val="TableHeading"/>
              <w:rPr>
                <w:rFonts w:cs="Arial"/>
                <w:kern w:val="28"/>
                <w:szCs w:val="18"/>
              </w:rPr>
            </w:pPr>
            <w:r w:rsidRPr="00C36C8F">
              <w:rPr>
                <w:rFonts w:cs="Arial"/>
                <w:kern w:val="28"/>
                <w:szCs w:val="18"/>
              </w:rPr>
              <w:t>Source</w:t>
            </w:r>
          </w:p>
        </w:tc>
        <w:tc>
          <w:tcPr>
            <w:tcW w:w="0" w:type="auto"/>
            <w:tcMar>
              <w:right w:w="142" w:type="dxa"/>
            </w:tcMar>
          </w:tcPr>
          <w:p w:rsidR="007715EB" w:rsidRPr="00C36C8F" w:rsidRDefault="007715EB" w:rsidP="00870C8B">
            <w:pPr>
              <w:pStyle w:val="TableHeading"/>
              <w:rPr>
                <w:rFonts w:cs="Arial"/>
                <w:kern w:val="28"/>
                <w:szCs w:val="18"/>
              </w:rPr>
            </w:pPr>
            <w:r w:rsidRPr="00C36C8F">
              <w:rPr>
                <w:rFonts w:cs="Arial"/>
                <w:kern w:val="28"/>
                <w:szCs w:val="18"/>
              </w:rPr>
              <w:t>Data collation assumptions &amp; calculation methods</w:t>
            </w:r>
          </w:p>
        </w:tc>
      </w:tr>
      <w:tr w:rsidR="00870C8B" w:rsidRPr="00C36C8F" w:rsidTr="00D71ED7">
        <w:tblPrEx>
          <w:tblBorders>
            <w:bottom w:val="none" w:sz="0" w:space="0" w:color="auto"/>
            <w:insideH w:val="none" w:sz="0" w:space="0" w:color="auto"/>
          </w:tblBorders>
          <w:tblCellMar>
            <w:left w:w="108" w:type="dxa"/>
            <w:right w:w="108" w:type="dxa"/>
          </w:tblCellMar>
          <w:tblLook w:val="04A0"/>
        </w:tblPrEx>
        <w:trPr>
          <w:cantSplit/>
          <w:trHeight w:val="735"/>
        </w:trPr>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8"/>
              <w:rPr>
                <w:sz w:val="18"/>
              </w:rPr>
            </w:pPr>
            <w:r w:rsidRPr="000B315F">
              <w:rPr>
                <w:sz w:val="18"/>
              </w:rPr>
              <w:t>Population data</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 xml:space="preserve">Australian Bureau of Statistics, ABS Release 3101.04 – </w:t>
            </w:r>
            <w:r w:rsidRPr="000B315F">
              <w:rPr>
                <w:i/>
                <w:sz w:val="18"/>
              </w:rPr>
              <w:t>Estimated Resident Population, States and Territories (Number)</w:t>
            </w:r>
            <w:r w:rsidRPr="000B315F">
              <w:rPr>
                <w:sz w:val="18"/>
              </w:rPr>
              <w:t>, June 2009, Canberra, Australia.</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None.</w:t>
            </w:r>
          </w:p>
        </w:tc>
      </w:tr>
      <w:tr w:rsidR="00870C8B" w:rsidRPr="00C36C8F" w:rsidTr="00D71ED7">
        <w:tblPrEx>
          <w:tblBorders>
            <w:bottom w:val="none" w:sz="0" w:space="0" w:color="auto"/>
            <w:insideH w:val="none" w:sz="0" w:space="0" w:color="auto"/>
          </w:tblBorders>
          <w:tblCellMar>
            <w:left w:w="108" w:type="dxa"/>
            <w:right w:w="108" w:type="dxa"/>
          </w:tblCellMar>
          <w:tblLook w:val="04A0"/>
        </w:tblPrEx>
        <w:trPr>
          <w:cantSplit/>
          <w:trHeight w:val="3375"/>
        </w:trPr>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8"/>
              <w:rPr>
                <w:sz w:val="18"/>
              </w:rPr>
            </w:pPr>
            <w:r w:rsidRPr="000B315F">
              <w:rPr>
                <w:sz w:val="18"/>
              </w:rPr>
              <w:t>Disposal to landfill - total quantity</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 xml:space="preserve">1. Department Natural Resources, Environment, The Arts and Sport (NT), </w:t>
            </w:r>
            <w:r w:rsidR="00E7731A" w:rsidRPr="00C36C8F">
              <w:rPr>
                <w:rFonts w:cs="Arial"/>
                <w:sz w:val="18"/>
                <w:szCs w:val="18"/>
              </w:rPr>
              <w:t>Environment</w:t>
            </w:r>
            <w:r w:rsidRPr="000B315F">
              <w:rPr>
                <w:sz w:val="18"/>
              </w:rPr>
              <w:t xml:space="preserve"> and Heritage Division - personal communication, Darwin, 2010.</w:t>
            </w:r>
            <w:r w:rsidRPr="000B315F">
              <w:rPr>
                <w:sz w:val="18"/>
              </w:rPr>
              <w:br/>
              <w:t xml:space="preserve">2. Hyder Consulting, </w:t>
            </w:r>
            <w:r w:rsidRPr="000B315F">
              <w:rPr>
                <w:i/>
                <w:sz w:val="18"/>
              </w:rPr>
              <w:t>Australian landfill capacities into the future</w:t>
            </w:r>
            <w:r w:rsidRPr="000B315F">
              <w:rPr>
                <w:sz w:val="18"/>
              </w:rPr>
              <w:t>: final report-amended and revised, prepared for the Department of the Environment, Water, Heritage and the Arts, 2009e.</w:t>
            </w:r>
            <w:r w:rsidRPr="000B315F">
              <w:rPr>
                <w:sz w:val="18"/>
              </w:rPr>
              <w:br/>
              <w:t>3. Energy recovery estimates - various sources [Clean Energy Council (2010); Golder (2009); Green Energy Markets for Energy Developments (2008)].</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E7731A">
            <w:pPr>
              <w:spacing w:after="0" w:line="240" w:lineRule="auto"/>
              <w:ind w:left="0"/>
              <w:rPr>
                <w:sz w:val="18"/>
              </w:rPr>
            </w:pPr>
            <w:r w:rsidRPr="000B315F">
              <w:rPr>
                <w:sz w:val="18"/>
              </w:rPr>
              <w:t>1. Total disposal to landfill data for NT during 2008</w:t>
            </w:r>
            <w:r w:rsidR="00412620" w:rsidRPr="000B315F">
              <w:rPr>
                <w:sz w:val="18"/>
              </w:rPr>
              <w:t>–</w:t>
            </w:r>
            <w:r w:rsidRPr="000B315F">
              <w:rPr>
                <w:sz w:val="18"/>
              </w:rPr>
              <w:t>09 was primarily based upon data for the disposal to landfill of Darwin only (DNREAS 2010 and Hyder 2009e). As 2006-07 Darwin only and 2006</w:t>
            </w:r>
            <w:r w:rsidR="00412620" w:rsidRPr="000B315F">
              <w:rPr>
                <w:sz w:val="18"/>
              </w:rPr>
              <w:t>–</w:t>
            </w:r>
            <w:r w:rsidRPr="000B315F">
              <w:rPr>
                <w:sz w:val="18"/>
              </w:rPr>
              <w:t>07 territory-wide disposal data was available</w:t>
            </w:r>
            <w:r w:rsidR="00412620" w:rsidRPr="000B315F">
              <w:rPr>
                <w:sz w:val="18"/>
              </w:rPr>
              <w:t xml:space="preserve"> (DNREAS 2010) t</w:t>
            </w:r>
            <w:r w:rsidRPr="000B315F">
              <w:rPr>
                <w:sz w:val="18"/>
              </w:rPr>
              <w:t>he 2008</w:t>
            </w:r>
            <w:r w:rsidR="00412620" w:rsidRPr="000B315F">
              <w:rPr>
                <w:sz w:val="18"/>
              </w:rPr>
              <w:t>–</w:t>
            </w:r>
            <w:r w:rsidRPr="000B315F">
              <w:rPr>
                <w:sz w:val="18"/>
              </w:rPr>
              <w:t>09 Darwin disposal was scaled up to estimate total NT disposal by multiplying Darwin disposal by the ratio between the 2006</w:t>
            </w:r>
            <w:r w:rsidR="00412620" w:rsidRPr="000B315F">
              <w:rPr>
                <w:sz w:val="18"/>
              </w:rPr>
              <w:t>–</w:t>
            </w:r>
            <w:r w:rsidRPr="000B315F">
              <w:rPr>
                <w:sz w:val="18"/>
              </w:rPr>
              <w:t xml:space="preserve">07 values. </w:t>
            </w:r>
            <w:r w:rsidR="00E7731A">
              <w:rPr>
                <w:rFonts w:cs="Arial"/>
                <w:sz w:val="18"/>
                <w:szCs w:val="18"/>
              </w:rPr>
              <w:t>A</w:t>
            </w:r>
            <w:r w:rsidRPr="000B315F">
              <w:rPr>
                <w:sz w:val="18"/>
              </w:rPr>
              <w:t xml:space="preserve"> per capita extrapolation approach was not used as it gave a distorted result relative to the known 2006</w:t>
            </w:r>
            <w:r w:rsidR="00412620" w:rsidRPr="000B315F">
              <w:rPr>
                <w:sz w:val="18"/>
              </w:rPr>
              <w:t>–</w:t>
            </w:r>
            <w:r w:rsidRPr="000B315F">
              <w:rPr>
                <w:sz w:val="18"/>
              </w:rPr>
              <w:t>07 data.</w:t>
            </w:r>
            <w:r w:rsidRPr="000B315F">
              <w:rPr>
                <w:sz w:val="18"/>
              </w:rPr>
              <w:br/>
              <w:t>2. An exception to point 1 above was the relatively small quantity of organic material recovered through energy recovery, which was subtracted from NT disposal to landfill in 2008-09. See Section 3.1 (Recommendation 6) for a detailed outline of the method applied to determine the total quantity of waste recovered through energy recovery processes.</w:t>
            </w:r>
          </w:p>
        </w:tc>
      </w:tr>
      <w:tr w:rsidR="00870C8B" w:rsidRPr="00C36C8F" w:rsidTr="00D71ED7">
        <w:tblPrEx>
          <w:tblBorders>
            <w:bottom w:val="none" w:sz="0" w:space="0" w:color="auto"/>
            <w:insideH w:val="none" w:sz="0" w:space="0" w:color="auto"/>
          </w:tblBorders>
          <w:tblCellMar>
            <w:left w:w="108" w:type="dxa"/>
            <w:right w:w="108" w:type="dxa"/>
          </w:tblCellMar>
          <w:tblLook w:val="04A0"/>
        </w:tblPrEx>
        <w:trPr>
          <w:cantSplit/>
          <w:trHeight w:val="1935"/>
        </w:trPr>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8"/>
              <w:rPr>
                <w:sz w:val="18"/>
              </w:rPr>
            </w:pPr>
            <w:r w:rsidRPr="000B315F">
              <w:rPr>
                <w:sz w:val="18"/>
              </w:rPr>
              <w:t>Recycling - total quantity</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1. Environment Protection and Heritage Council, 2008</w:t>
            </w:r>
            <w:r w:rsidR="00412620" w:rsidRPr="000B315F">
              <w:rPr>
                <w:sz w:val="18"/>
              </w:rPr>
              <w:t>–</w:t>
            </w:r>
            <w:r w:rsidRPr="000B315F">
              <w:rPr>
                <w:sz w:val="18"/>
              </w:rPr>
              <w:t xml:space="preserve">09 </w:t>
            </w:r>
            <w:r w:rsidRPr="000B315F">
              <w:rPr>
                <w:i/>
                <w:sz w:val="18"/>
              </w:rPr>
              <w:t>NEPC Annual Report</w:t>
            </w:r>
            <w:r w:rsidRPr="000B315F">
              <w:rPr>
                <w:sz w:val="18"/>
              </w:rPr>
              <w:t>, NEPC Service Corporation, Canberra, ACT, 2010.</w:t>
            </w:r>
            <w:r w:rsidRPr="000B315F">
              <w:rPr>
                <w:sz w:val="18"/>
              </w:rPr>
              <w:br/>
              <w:t>2. Hyder Consulting, Waste and Recycling in Australia, Amended Report, prepared for the Department of the Environment, Water, Heritage and the Arts, 19 November 2009c.</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1. Total recycling data for NT during 2008</w:t>
            </w:r>
            <w:r w:rsidR="00412620" w:rsidRPr="000B315F">
              <w:rPr>
                <w:sz w:val="18"/>
              </w:rPr>
              <w:t>–</w:t>
            </w:r>
            <w:r w:rsidRPr="000B315F">
              <w:rPr>
                <w:sz w:val="18"/>
              </w:rPr>
              <w:t>09 was primarily based upon data for recycling recovery of Darwin only (EPHC 2010). As 2006-07 Darwin only and 2006</w:t>
            </w:r>
            <w:r w:rsidR="00412620" w:rsidRPr="000B315F">
              <w:rPr>
                <w:sz w:val="18"/>
              </w:rPr>
              <w:t>–</w:t>
            </w:r>
            <w:r w:rsidRPr="000B315F">
              <w:rPr>
                <w:sz w:val="18"/>
              </w:rPr>
              <w:t>07 territory-wide recycling estimates were available (Hyder 2009c), the 2008</w:t>
            </w:r>
            <w:r w:rsidR="00412620" w:rsidRPr="000B315F">
              <w:rPr>
                <w:sz w:val="18"/>
              </w:rPr>
              <w:t>–</w:t>
            </w:r>
            <w:r w:rsidRPr="000B315F">
              <w:rPr>
                <w:sz w:val="18"/>
              </w:rPr>
              <w:t>09 Darwin recycling was scaled up to estimate total NT recycling by multiplying 2008</w:t>
            </w:r>
            <w:r w:rsidR="00412620" w:rsidRPr="000B315F">
              <w:rPr>
                <w:sz w:val="18"/>
              </w:rPr>
              <w:t>–</w:t>
            </w:r>
            <w:r w:rsidRPr="000B315F">
              <w:rPr>
                <w:sz w:val="18"/>
              </w:rPr>
              <w:t>09 Darwin recycling by the ratio between the 2006</w:t>
            </w:r>
            <w:r w:rsidR="00412620" w:rsidRPr="000B315F">
              <w:rPr>
                <w:sz w:val="18"/>
              </w:rPr>
              <w:t>–</w:t>
            </w:r>
            <w:r w:rsidRPr="000B315F">
              <w:rPr>
                <w:sz w:val="18"/>
              </w:rPr>
              <w:t>07 values. Using a per capita extrapolation approach was not used as it gave a distorted result relative to the 2006</w:t>
            </w:r>
            <w:r w:rsidR="00412620" w:rsidRPr="000B315F">
              <w:rPr>
                <w:sz w:val="18"/>
              </w:rPr>
              <w:t>–</w:t>
            </w:r>
            <w:r w:rsidRPr="000B315F">
              <w:rPr>
                <w:sz w:val="18"/>
              </w:rPr>
              <w:t>07 data.</w:t>
            </w:r>
          </w:p>
        </w:tc>
      </w:tr>
      <w:tr w:rsidR="00870C8B" w:rsidRPr="00C36C8F" w:rsidTr="00D71ED7">
        <w:tblPrEx>
          <w:tblBorders>
            <w:bottom w:val="none" w:sz="0" w:space="0" w:color="auto"/>
            <w:insideH w:val="none" w:sz="0" w:space="0" w:color="auto"/>
          </w:tblBorders>
          <w:tblCellMar>
            <w:left w:w="108" w:type="dxa"/>
            <w:right w:w="108" w:type="dxa"/>
          </w:tblCellMar>
          <w:tblLook w:val="04A0"/>
        </w:tblPrEx>
        <w:trPr>
          <w:cantSplit/>
          <w:trHeight w:val="1215"/>
        </w:trPr>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8"/>
              <w:rPr>
                <w:sz w:val="18"/>
              </w:rPr>
            </w:pPr>
            <w:r w:rsidRPr="000B315F">
              <w:rPr>
                <w:sz w:val="18"/>
              </w:rPr>
              <w:t>Energy recovery - total quantity</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1. Landfill energy recovery estimates - various sources [Clean Energy Council (2010); Golder (2009); Green Energy Markets for Energy Developments (2008)].</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1. The total quantity of waste recovered through energy recovery processes was calculated using the method outlined in detail in Section 3.1 (Recommendation 6). All energy recovery, relating to waste generated in the NT during 2008</w:t>
            </w:r>
            <w:r w:rsidR="00412620" w:rsidRPr="000B315F">
              <w:rPr>
                <w:sz w:val="18"/>
              </w:rPr>
              <w:t>–</w:t>
            </w:r>
            <w:r w:rsidRPr="000B315F">
              <w:rPr>
                <w:sz w:val="18"/>
              </w:rPr>
              <w:t>09, was through methane capture at landfills.</w:t>
            </w:r>
          </w:p>
        </w:tc>
      </w:tr>
      <w:tr w:rsidR="00870C8B" w:rsidRPr="00C36C8F" w:rsidTr="00D71ED7">
        <w:tblPrEx>
          <w:tblBorders>
            <w:bottom w:val="none" w:sz="0" w:space="0" w:color="auto"/>
            <w:insideH w:val="none" w:sz="0" w:space="0" w:color="auto"/>
          </w:tblBorders>
          <w:tblCellMar>
            <w:left w:w="108" w:type="dxa"/>
            <w:right w:w="108" w:type="dxa"/>
          </w:tblCellMar>
          <w:tblLook w:val="04A0"/>
        </w:tblPrEx>
        <w:trPr>
          <w:cantSplit/>
          <w:trHeight w:val="1455"/>
        </w:trPr>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8"/>
              <w:rPr>
                <w:sz w:val="18"/>
              </w:rPr>
            </w:pPr>
            <w:r w:rsidRPr="000B315F">
              <w:rPr>
                <w:sz w:val="18"/>
              </w:rPr>
              <w:t>Disposal to landfill - waste stream splits</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 xml:space="preserve">1. Hyder Consulting, </w:t>
            </w:r>
            <w:r w:rsidRPr="000B315F">
              <w:rPr>
                <w:i/>
                <w:sz w:val="18"/>
              </w:rPr>
              <w:t>Australian landfill capacities into the future</w:t>
            </w:r>
            <w:r w:rsidRPr="000B315F">
              <w:rPr>
                <w:sz w:val="18"/>
              </w:rPr>
              <w:t>: final report-amended and revised, prepared for the Department of the Environment, Water, Heritage and the Arts, 2009e.</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1. Data for the disposal to landfill by waste stream in NT were calculated using percentage estimates calculated from Hyder (2009e), and the "Disposal to landfill - total quantity" value previously estimated. The C&amp;I and C&amp;D waste streams are reported as an aggregated figure as insufficient information was available to allow the estimation of the separate values.</w:t>
            </w:r>
          </w:p>
        </w:tc>
      </w:tr>
      <w:tr w:rsidR="00870C8B" w:rsidRPr="00C36C8F" w:rsidTr="00D71ED7">
        <w:tblPrEx>
          <w:tblBorders>
            <w:bottom w:val="none" w:sz="0" w:space="0" w:color="auto"/>
            <w:insideH w:val="none" w:sz="0" w:space="0" w:color="auto"/>
          </w:tblBorders>
          <w:tblCellMar>
            <w:left w:w="108" w:type="dxa"/>
            <w:right w:w="108" w:type="dxa"/>
          </w:tblCellMar>
          <w:tblLook w:val="04A0"/>
        </w:tblPrEx>
        <w:trPr>
          <w:cantSplit/>
          <w:trHeight w:val="495"/>
        </w:trPr>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8"/>
              <w:rPr>
                <w:sz w:val="18"/>
              </w:rPr>
            </w:pPr>
            <w:r w:rsidRPr="000B315F">
              <w:rPr>
                <w:sz w:val="18"/>
              </w:rPr>
              <w:t>Recycling - waste stream splits</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 xml:space="preserve">1. Environment Protection and Heritage Council, 2008-09 </w:t>
            </w:r>
            <w:r w:rsidRPr="000B315F">
              <w:rPr>
                <w:i/>
                <w:sz w:val="18"/>
              </w:rPr>
              <w:t>NEPC Annual Report</w:t>
            </w:r>
            <w:r w:rsidRPr="000B315F">
              <w:rPr>
                <w:sz w:val="18"/>
              </w:rPr>
              <w:t>, NEPC Service Corporation, Canberra, ACT, 2010.</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1. All available recycling data for NT during 2008</w:t>
            </w:r>
            <w:r w:rsidR="00412620" w:rsidRPr="000B315F">
              <w:rPr>
                <w:sz w:val="18"/>
              </w:rPr>
              <w:t>–</w:t>
            </w:r>
            <w:r w:rsidRPr="000B315F">
              <w:rPr>
                <w:sz w:val="18"/>
              </w:rPr>
              <w:t>09 (EPHC 2010) related to the MSW waste stream only.</w:t>
            </w:r>
          </w:p>
        </w:tc>
      </w:tr>
      <w:tr w:rsidR="00870C8B" w:rsidRPr="00C36C8F" w:rsidTr="00D71ED7">
        <w:trPr>
          <w:cantSplit/>
          <w:trHeight w:val="1215"/>
        </w:trPr>
        <w:tc>
          <w:tcPr>
            <w:tcW w:w="0" w:type="auto"/>
            <w:tcBorders>
              <w:top w:val="single" w:sz="8" w:space="0" w:color="808080"/>
            </w:tcBorders>
            <w:tcMar>
              <w:right w:w="142" w:type="dxa"/>
            </w:tcMar>
            <w:hideMark/>
          </w:tcPr>
          <w:p w:rsidR="00870C8B" w:rsidRPr="000B315F" w:rsidRDefault="00870C8B" w:rsidP="00870C8B">
            <w:pPr>
              <w:spacing w:after="0" w:line="240" w:lineRule="auto"/>
              <w:ind w:left="0"/>
              <w:rPr>
                <w:sz w:val="18"/>
              </w:rPr>
            </w:pPr>
            <w:r w:rsidRPr="000B315F">
              <w:rPr>
                <w:sz w:val="18"/>
              </w:rPr>
              <w:t>Energy recovery - waste stream splits</w:t>
            </w:r>
          </w:p>
        </w:tc>
        <w:tc>
          <w:tcPr>
            <w:tcW w:w="0" w:type="auto"/>
            <w:tcBorders>
              <w:top w:val="single" w:sz="8" w:space="0" w:color="808080"/>
            </w:tcBorders>
            <w:tcMar>
              <w:right w:w="142" w:type="dxa"/>
            </w:tcMar>
            <w:hideMark/>
          </w:tcPr>
          <w:p w:rsidR="00870C8B" w:rsidRPr="000B315F" w:rsidRDefault="00870C8B" w:rsidP="00870C8B">
            <w:pPr>
              <w:spacing w:after="0" w:line="240" w:lineRule="auto"/>
              <w:ind w:left="0"/>
              <w:rPr>
                <w:sz w:val="18"/>
              </w:rPr>
            </w:pPr>
            <w:r w:rsidRPr="000B315F">
              <w:rPr>
                <w:sz w:val="18"/>
              </w:rPr>
              <w:t>1. Landfill energy recovery estimates - various sources [Clean Energy Council (2010); Golder (2009); Green Energy Markets for Energy Developments (2008)].</w:t>
            </w:r>
          </w:p>
        </w:tc>
        <w:tc>
          <w:tcPr>
            <w:tcW w:w="0" w:type="auto"/>
            <w:tcBorders>
              <w:top w:val="single" w:sz="8" w:space="0" w:color="808080"/>
            </w:tcBorders>
            <w:tcMar>
              <w:right w:w="142" w:type="dxa"/>
            </w:tcMar>
            <w:hideMark/>
          </w:tcPr>
          <w:p w:rsidR="00870C8B" w:rsidRPr="000B315F" w:rsidRDefault="00870C8B" w:rsidP="00D71ED7">
            <w:pPr>
              <w:spacing w:after="0" w:line="240" w:lineRule="auto"/>
              <w:ind w:left="93"/>
              <w:rPr>
                <w:sz w:val="18"/>
              </w:rPr>
            </w:pPr>
            <w:r w:rsidRPr="000B315F">
              <w:rPr>
                <w:sz w:val="18"/>
              </w:rPr>
              <w:t>1. Energy recovery by waste stream was calculated using the data sources identified here and the method outlined in detail in Section 3.1 (Recommendation 6). The C&amp;I and C&amp;D waste streams are reported as an aggregated figure as insufficient information was available to allow the estimation of the separate values.</w:t>
            </w:r>
          </w:p>
        </w:tc>
      </w:tr>
      <w:tr w:rsidR="00870C8B" w:rsidRPr="00C36C8F" w:rsidTr="00D71ED7">
        <w:tblPrEx>
          <w:tblBorders>
            <w:bottom w:val="none" w:sz="0" w:space="0" w:color="auto"/>
            <w:insideH w:val="none" w:sz="0" w:space="0" w:color="auto"/>
          </w:tblBorders>
          <w:tblCellMar>
            <w:left w:w="108" w:type="dxa"/>
            <w:right w:w="108" w:type="dxa"/>
          </w:tblCellMar>
          <w:tblLook w:val="04A0"/>
        </w:tblPrEx>
        <w:trPr>
          <w:cantSplit/>
          <w:trHeight w:val="5295"/>
        </w:trPr>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8"/>
              <w:rPr>
                <w:sz w:val="18"/>
              </w:rPr>
            </w:pPr>
            <w:r w:rsidRPr="000B315F">
              <w:rPr>
                <w:sz w:val="18"/>
              </w:rPr>
              <w:t>Disposal to landfill - material splits</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4"/>
              <w:rPr>
                <w:sz w:val="18"/>
              </w:rPr>
            </w:pPr>
            <w:r w:rsidRPr="000B315F">
              <w:rPr>
                <w:sz w:val="18"/>
              </w:rPr>
              <w:t>1. Various MSW waste audits [APC (2007); DECC (2004); Hyder (2008); Murdoch (1999); WACS and Golder (2005); ZWSA (2007)].</w:t>
            </w:r>
            <w:r w:rsidRPr="000B315F">
              <w:rPr>
                <w:sz w:val="18"/>
              </w:rPr>
              <w:br/>
              <w:t>2. Various C&amp;I waste audits [DEC NSW (2003); Golder and WACS (2007); WACS and Golder (2005); ZWSA (2007)].</w:t>
            </w:r>
            <w:r w:rsidRPr="000B315F">
              <w:rPr>
                <w:sz w:val="18"/>
              </w:rPr>
              <w:br/>
              <w:t>3. Various C&amp;D waste audits [DECC (2007); Golder and WACS (2007); WACS and Golder (2005); ZWSA (2007)].</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1. The material splits for disposal to landfill in NT during 2008</w:t>
            </w:r>
            <w:r w:rsidR="00412620" w:rsidRPr="000B315F">
              <w:rPr>
                <w:sz w:val="18"/>
              </w:rPr>
              <w:t>–</w:t>
            </w:r>
            <w:r w:rsidRPr="000B315F">
              <w:rPr>
                <w:sz w:val="18"/>
              </w:rPr>
              <w:t xml:space="preserve">09 were calculated separately for MSW and aggregated C&amp;I and C&amp;D. This was done using the waste stream split quantifications determined as previously outlined. The estimated material quantities for each waste stream were calculated using the available audit data (described in points 2 to 4 immediately below), which were then aggregated to calculate disposal to landfill, by material type, for the </w:t>
            </w:r>
            <w:r w:rsidR="00E7731A" w:rsidRPr="00C36C8F">
              <w:rPr>
                <w:rFonts w:cs="Arial"/>
                <w:sz w:val="18"/>
                <w:szCs w:val="18"/>
              </w:rPr>
              <w:t>jurisdiction</w:t>
            </w:r>
            <w:r w:rsidRPr="00C36C8F">
              <w:rPr>
                <w:rFonts w:cs="Arial"/>
                <w:sz w:val="18"/>
                <w:szCs w:val="18"/>
              </w:rPr>
              <w:t>.</w:t>
            </w:r>
            <w:r w:rsidRPr="000B315F">
              <w:rPr>
                <w:sz w:val="18"/>
              </w:rPr>
              <w:br/>
              <w:t>2. The material splits for the MSW waste stream were estimated based on the available large-scale MSW audit data. The available MSW audit data was weighted against the size of the audits that were undertaken, and then aggregated to generate default (average) material splits in percentage terms.</w:t>
            </w:r>
            <w:r w:rsidRPr="000B315F">
              <w:rPr>
                <w:sz w:val="18"/>
              </w:rPr>
              <w:br/>
              <w:t>3. The material splits for the C&amp;I waste stream were estimated based on the available large-scale C&amp;I audit data. The available C&amp;I audit data was weighted against the size of the audits that were undertaken, and then aggregated to generate default (average) material splits in percentage terms.</w:t>
            </w:r>
            <w:r w:rsidRPr="000B315F">
              <w:rPr>
                <w:sz w:val="18"/>
              </w:rPr>
              <w:br/>
              <w:t>4. The material splits for the C&amp;D waste stream were estimated based on the available large-scale C&amp;D audit data. The available C&amp;D audit data was weighted against the size of the audits that were undertaken, and then aggregated to generate default (average) material splits in percentage terms.</w:t>
            </w:r>
          </w:p>
        </w:tc>
      </w:tr>
      <w:tr w:rsidR="00870C8B" w:rsidRPr="00C36C8F" w:rsidTr="00D71ED7">
        <w:tblPrEx>
          <w:tblBorders>
            <w:bottom w:val="none" w:sz="0" w:space="0" w:color="auto"/>
            <w:insideH w:val="none" w:sz="0" w:space="0" w:color="auto"/>
          </w:tblBorders>
          <w:tblCellMar>
            <w:left w:w="108" w:type="dxa"/>
            <w:right w:w="108" w:type="dxa"/>
          </w:tblCellMar>
          <w:tblLook w:val="04A0"/>
        </w:tblPrEx>
        <w:trPr>
          <w:cantSplit/>
          <w:trHeight w:val="1935"/>
        </w:trPr>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8"/>
              <w:rPr>
                <w:sz w:val="18"/>
              </w:rPr>
            </w:pPr>
            <w:r w:rsidRPr="000B315F">
              <w:rPr>
                <w:sz w:val="18"/>
              </w:rPr>
              <w:t>Recycling - material splits</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4"/>
              <w:rPr>
                <w:sz w:val="18"/>
              </w:rPr>
            </w:pPr>
            <w:r w:rsidRPr="000B315F">
              <w:rPr>
                <w:sz w:val="18"/>
              </w:rPr>
              <w:t>1. Environment Protection and Heritage Council, 2008</w:t>
            </w:r>
            <w:r w:rsidR="00412620" w:rsidRPr="000B315F">
              <w:rPr>
                <w:sz w:val="18"/>
              </w:rPr>
              <w:t>–</w:t>
            </w:r>
            <w:r w:rsidRPr="000B315F">
              <w:rPr>
                <w:sz w:val="18"/>
              </w:rPr>
              <w:t xml:space="preserve">09 </w:t>
            </w:r>
            <w:r w:rsidRPr="000B315F">
              <w:rPr>
                <w:i/>
                <w:sz w:val="18"/>
              </w:rPr>
              <w:t>NEPC Annual Report</w:t>
            </w:r>
            <w:r w:rsidRPr="000B315F">
              <w:rPr>
                <w:sz w:val="18"/>
              </w:rPr>
              <w:t>, NEPC Service Corporation, Canberra, ACT, 2010.</w:t>
            </w:r>
            <w:r w:rsidRPr="000B315F">
              <w:rPr>
                <w:sz w:val="18"/>
              </w:rPr>
              <w:br/>
              <w:t>2. Hyder Consulting, Waste and Recycling in Australia, Amended Report, prepared for the Department of the Environment, Water, Heritage and the Arts, 19 November 2009c.</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1. Recycling data by material type for NT during 2008</w:t>
            </w:r>
            <w:r w:rsidR="00412620" w:rsidRPr="000B315F">
              <w:rPr>
                <w:sz w:val="18"/>
              </w:rPr>
              <w:t>–</w:t>
            </w:r>
            <w:r w:rsidRPr="000B315F">
              <w:rPr>
                <w:sz w:val="18"/>
              </w:rPr>
              <w:t>09 was primarily based upon material specific data for recycling recovery of Darwin only (EPHC 2010). As 2006</w:t>
            </w:r>
            <w:r w:rsidR="00412620" w:rsidRPr="000B315F">
              <w:rPr>
                <w:sz w:val="18"/>
              </w:rPr>
              <w:t>–</w:t>
            </w:r>
            <w:r w:rsidRPr="000B315F">
              <w:rPr>
                <w:sz w:val="18"/>
              </w:rPr>
              <w:t>07 Darwin only and 2006-07 territory-wide recycling estimates were available (Hyder 2009c), the 2008</w:t>
            </w:r>
            <w:r w:rsidR="00412620" w:rsidRPr="000B315F">
              <w:rPr>
                <w:sz w:val="18"/>
              </w:rPr>
              <w:t>–</w:t>
            </w:r>
            <w:r w:rsidRPr="000B315F">
              <w:rPr>
                <w:sz w:val="18"/>
              </w:rPr>
              <w:t>09 Darwin recycling by material type was scaled up to estimate total NT recycling by multiplying 2008</w:t>
            </w:r>
            <w:r w:rsidR="00412620" w:rsidRPr="000B315F">
              <w:rPr>
                <w:sz w:val="18"/>
              </w:rPr>
              <w:t>–</w:t>
            </w:r>
            <w:r w:rsidRPr="000B315F">
              <w:rPr>
                <w:sz w:val="18"/>
              </w:rPr>
              <w:t>09 Darwin recycling by the ratio between the 2006-07 values. Using a per capita extrapolation approach was not used as it gave a distorted result relative to the 2006</w:t>
            </w:r>
            <w:r w:rsidR="00412620" w:rsidRPr="000B315F">
              <w:rPr>
                <w:sz w:val="18"/>
              </w:rPr>
              <w:t>–</w:t>
            </w:r>
            <w:r w:rsidRPr="000B315F">
              <w:rPr>
                <w:sz w:val="18"/>
              </w:rPr>
              <w:t>07 data.</w:t>
            </w:r>
          </w:p>
        </w:tc>
      </w:tr>
      <w:tr w:rsidR="00870C8B" w:rsidRPr="00C36C8F" w:rsidTr="00D71ED7">
        <w:tblPrEx>
          <w:tblBorders>
            <w:bottom w:val="none" w:sz="0" w:space="0" w:color="auto"/>
            <w:insideH w:val="none" w:sz="0" w:space="0" w:color="auto"/>
          </w:tblBorders>
          <w:tblCellMar>
            <w:left w:w="108" w:type="dxa"/>
            <w:right w:w="108" w:type="dxa"/>
          </w:tblCellMar>
          <w:tblLook w:val="04A0"/>
        </w:tblPrEx>
        <w:trPr>
          <w:cantSplit/>
          <w:trHeight w:val="270"/>
        </w:trPr>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8"/>
              <w:rPr>
                <w:sz w:val="18"/>
              </w:rPr>
            </w:pPr>
            <w:r w:rsidRPr="000B315F">
              <w:rPr>
                <w:sz w:val="18"/>
              </w:rPr>
              <w:t>Energy recovery - material splits</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D71ED7">
            <w:pPr>
              <w:spacing w:after="0" w:line="240" w:lineRule="auto"/>
              <w:ind w:left="-104"/>
              <w:rPr>
                <w:sz w:val="18"/>
              </w:rPr>
            </w:pPr>
            <w:r w:rsidRPr="000B315F">
              <w:rPr>
                <w:sz w:val="18"/>
              </w:rPr>
              <w:t>See sources against "Energy recovery - total quantity" above.</w:t>
            </w:r>
          </w:p>
        </w:tc>
        <w:tc>
          <w:tcPr>
            <w:tcW w:w="0" w:type="auto"/>
            <w:tcBorders>
              <w:top w:val="nil"/>
              <w:left w:val="nil"/>
              <w:bottom w:val="single" w:sz="8" w:space="0" w:color="808080"/>
              <w:right w:val="nil"/>
            </w:tcBorders>
            <w:shd w:val="clear" w:color="auto" w:fill="auto"/>
            <w:tcMar>
              <w:right w:w="142" w:type="dxa"/>
            </w:tcMar>
            <w:hideMark/>
          </w:tcPr>
          <w:p w:rsidR="00870C8B" w:rsidRPr="000B315F" w:rsidRDefault="00870C8B" w:rsidP="00870C8B">
            <w:pPr>
              <w:spacing w:after="0" w:line="240" w:lineRule="auto"/>
              <w:ind w:left="0"/>
              <w:rPr>
                <w:sz w:val="18"/>
              </w:rPr>
            </w:pPr>
            <w:r w:rsidRPr="000B315F">
              <w:rPr>
                <w:sz w:val="18"/>
              </w:rPr>
              <w:t>See comments against "Energy recovery - total quantity" above.</w:t>
            </w:r>
          </w:p>
        </w:tc>
      </w:tr>
    </w:tbl>
    <w:p w:rsidR="00313465" w:rsidRPr="00C36C8F" w:rsidRDefault="00313465" w:rsidP="00E55023">
      <w:pPr>
        <w:pStyle w:val="ParaIndent"/>
      </w:pPr>
    </w:p>
    <w:p w:rsidR="00DE05C7" w:rsidRPr="00C36C8F" w:rsidRDefault="00B9555F" w:rsidP="00E55023">
      <w:pPr>
        <w:pStyle w:val="ParaIndent"/>
        <w:keepNext/>
        <w:jc w:val="both"/>
      </w:pPr>
      <w:r w:rsidRPr="00C36C8F">
        <w:fldChar w:fldCharType="begin"/>
      </w:r>
      <w:r w:rsidR="00DE05C7" w:rsidRPr="00C36C8F">
        <w:instrText xml:space="preserve"> REF _Ref284600999 \h </w:instrText>
      </w:r>
      <w:r w:rsidRPr="00C36C8F">
        <w:fldChar w:fldCharType="separate"/>
      </w:r>
      <w:r w:rsidR="00AE7E3B" w:rsidRPr="00C36C8F">
        <w:t xml:space="preserve">Figure </w:t>
      </w:r>
      <w:r w:rsidR="00AE7E3B">
        <w:rPr>
          <w:noProof/>
        </w:rPr>
        <w:t>4</w:t>
      </w:r>
      <w:r w:rsidR="00AE7E3B" w:rsidRPr="00C36C8F">
        <w:t>-</w:t>
      </w:r>
      <w:r w:rsidR="00AE7E3B">
        <w:rPr>
          <w:noProof/>
        </w:rPr>
        <w:t>25</w:t>
      </w:r>
      <w:r w:rsidRPr="00C36C8F">
        <w:fldChar w:fldCharType="end"/>
      </w:r>
      <w:r w:rsidR="00DE05C7" w:rsidRPr="00C36C8F">
        <w:t xml:space="preserve"> charts the Northe</w:t>
      </w:r>
      <w:r w:rsidR="00313465" w:rsidRPr="00C36C8F">
        <w:t>rn Territory’s waste</w:t>
      </w:r>
      <w:r w:rsidR="000B3D2A" w:rsidRPr="00C36C8F">
        <w:t xml:space="preserve"> disposal, recycling and energy recovery</w:t>
      </w:r>
      <w:r w:rsidR="00DE05C7" w:rsidRPr="00C36C8F">
        <w:t>, ove</w:t>
      </w:r>
      <w:r w:rsidR="00313465" w:rsidRPr="00C36C8F">
        <w:t>r</w:t>
      </w:r>
      <w:r w:rsidR="00DE05C7" w:rsidRPr="00C36C8F">
        <w:t xml:space="preserve"> 2006–07 and 2008–09.</w:t>
      </w:r>
      <w:r w:rsidR="000A4EE3" w:rsidRPr="00C36C8F">
        <w:t xml:space="preserve"> No earlier data </w:t>
      </w:r>
      <w:r w:rsidR="00C579F2" w:rsidRPr="00C36C8F">
        <w:t xml:space="preserve">was </w:t>
      </w:r>
      <w:r w:rsidR="000A4EE3" w:rsidRPr="00C36C8F">
        <w:t>available.</w:t>
      </w:r>
    </w:p>
    <w:tbl>
      <w:tblPr>
        <w:tblW w:w="0" w:type="auto"/>
        <w:tblInd w:w="1242" w:type="dxa"/>
        <w:tblLayout w:type="fixed"/>
        <w:tblCellMar>
          <w:left w:w="0" w:type="dxa"/>
          <w:right w:w="0" w:type="dxa"/>
        </w:tblCellMar>
        <w:tblLook w:val="0000"/>
      </w:tblPr>
      <w:tblGrid>
        <w:gridCol w:w="8505"/>
      </w:tblGrid>
      <w:tr w:rsidR="00DE05C7" w:rsidRPr="00C36C8F" w:rsidTr="000B315F">
        <w:tc>
          <w:tcPr>
            <w:tcW w:w="8505" w:type="dxa"/>
          </w:tcPr>
          <w:p w:rsidR="00DE05C7" w:rsidRPr="00C36C8F" w:rsidRDefault="00A11246" w:rsidP="00D77275">
            <w:pPr>
              <w:pStyle w:val="ParaIndent"/>
              <w:spacing w:before="120"/>
              <w:ind w:left="142"/>
            </w:pPr>
            <w:r>
              <w:rPr>
                <w:noProof/>
                <w:lang w:eastAsia="en-AU"/>
              </w:rPr>
              <w:drawing>
                <wp:inline distT="0" distB="0" distL="0" distR="0">
                  <wp:extent cx="5167842" cy="2871083"/>
                  <wp:effectExtent l="0" t="0" r="0" b="571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DE05C7" w:rsidRPr="00C36C8F" w:rsidTr="000B315F">
        <w:tblPrEx>
          <w:tblCellMar>
            <w:left w:w="108" w:type="dxa"/>
            <w:right w:w="108" w:type="dxa"/>
          </w:tblCellMar>
        </w:tblPrEx>
        <w:tc>
          <w:tcPr>
            <w:tcW w:w="8505" w:type="dxa"/>
          </w:tcPr>
          <w:p w:rsidR="00DE05C7" w:rsidRPr="00C36C8F" w:rsidRDefault="00DE05C7" w:rsidP="00FB78E7">
            <w:pPr>
              <w:pStyle w:val="Caption"/>
              <w:keepNext w:val="0"/>
              <w:tabs>
                <w:tab w:val="left" w:pos="7275"/>
              </w:tabs>
            </w:pPr>
            <w:bookmarkStart w:id="215" w:name="_Ref284600999"/>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25</w:t>
            </w:r>
            <w:r w:rsidR="00B9555F" w:rsidRPr="00C36C8F">
              <w:rPr>
                <w:noProof/>
              </w:rPr>
              <w:fldChar w:fldCharType="end"/>
            </w:r>
            <w:bookmarkEnd w:id="215"/>
            <w:r w:rsidRPr="00C36C8F">
              <w:tab/>
            </w:r>
            <w:r w:rsidR="000B3D2A" w:rsidRPr="00C36C8F">
              <w:t>NT t</w:t>
            </w:r>
            <w:r w:rsidRPr="00C36C8F">
              <w:t>otal waste generation, disposal, recycling energy recovery, 2006–07 &amp; 2008–09</w:t>
            </w:r>
          </w:p>
        </w:tc>
      </w:tr>
    </w:tbl>
    <w:p w:rsidR="000B3D2A" w:rsidRPr="00C36C8F" w:rsidRDefault="000B3D2A" w:rsidP="005B65D5">
      <w:pPr>
        <w:pStyle w:val="TableText"/>
        <w:spacing w:line="240" w:lineRule="auto"/>
        <w:ind w:left="1134"/>
        <w:rPr>
          <w:sz w:val="16"/>
          <w:szCs w:val="16"/>
        </w:rPr>
      </w:pPr>
      <w:r w:rsidRPr="00C36C8F">
        <w:rPr>
          <w:sz w:val="16"/>
          <w:szCs w:val="16"/>
        </w:rPr>
        <w:t>2006</w:t>
      </w:r>
      <w:r w:rsidR="00AD2B9E">
        <w:rPr>
          <w:sz w:val="16"/>
          <w:szCs w:val="16"/>
        </w:rPr>
        <w:t>–</w:t>
      </w:r>
      <w:r w:rsidRPr="00C36C8F">
        <w:rPr>
          <w:sz w:val="16"/>
          <w:szCs w:val="16"/>
        </w:rPr>
        <w:t xml:space="preserve">07 data sources are </w:t>
      </w:r>
      <w:r w:rsidR="00DC4A9E" w:rsidRPr="00052333">
        <w:rPr>
          <w:i/>
          <w:sz w:val="16"/>
          <w:szCs w:val="16"/>
        </w:rPr>
        <w:t>Waste and Recycling in Australia</w:t>
      </w:r>
      <w:r w:rsidRPr="00C36C8F">
        <w:rPr>
          <w:sz w:val="16"/>
          <w:szCs w:val="16"/>
        </w:rPr>
        <w:t xml:space="preserve"> </w:t>
      </w:r>
      <w:r w:rsidRPr="00D71ED7">
        <w:rPr>
          <w:i/>
          <w:sz w:val="16"/>
          <w:szCs w:val="16"/>
        </w:rPr>
        <w:t>2009</w:t>
      </w:r>
      <w:r w:rsidRPr="00C36C8F">
        <w:rPr>
          <w:sz w:val="16"/>
          <w:szCs w:val="16"/>
        </w:rPr>
        <w:t>.</w:t>
      </w:r>
    </w:p>
    <w:p w:rsidR="000B3D2A" w:rsidRPr="00C36C8F" w:rsidRDefault="000B3D2A" w:rsidP="005B65D5">
      <w:pPr>
        <w:pStyle w:val="TableText"/>
        <w:spacing w:line="240" w:lineRule="auto"/>
        <w:ind w:left="1134"/>
        <w:rPr>
          <w:sz w:val="16"/>
          <w:szCs w:val="16"/>
        </w:rPr>
      </w:pPr>
      <w:r w:rsidRPr="00C36C8F">
        <w:rPr>
          <w:sz w:val="16"/>
          <w:szCs w:val="16"/>
        </w:rPr>
        <w:t>2008</w:t>
      </w:r>
      <w:r w:rsidR="00AD2B9E">
        <w:rPr>
          <w:rFonts w:cs="Arial"/>
          <w:sz w:val="16"/>
          <w:szCs w:val="16"/>
        </w:rPr>
        <w:t>–</w:t>
      </w:r>
      <w:r w:rsidRPr="00C36C8F">
        <w:rPr>
          <w:sz w:val="16"/>
          <w:szCs w:val="16"/>
        </w:rPr>
        <w:t>09 “Subtotal” excludes fly ash data.</w:t>
      </w:r>
    </w:p>
    <w:p w:rsidR="00EB0688" w:rsidRPr="00C36C8F" w:rsidRDefault="000B3D2A" w:rsidP="005B65D5">
      <w:pPr>
        <w:spacing w:before="60" w:after="60" w:line="240" w:lineRule="auto"/>
        <w:ind w:left="1134"/>
      </w:pPr>
      <w:r w:rsidRPr="00C36C8F">
        <w:rPr>
          <w:sz w:val="16"/>
          <w:szCs w:val="16"/>
        </w:rPr>
        <w:t>2008</w:t>
      </w:r>
      <w:r w:rsidR="00AD2B9E">
        <w:rPr>
          <w:rFonts w:cs="Arial"/>
          <w:sz w:val="16"/>
          <w:szCs w:val="16"/>
        </w:rPr>
        <w:t>–</w:t>
      </w:r>
      <w:r w:rsidRPr="00C36C8F">
        <w:rPr>
          <w:sz w:val="16"/>
          <w:szCs w:val="16"/>
        </w:rPr>
        <w:t>09 “Total” include fly ash data.</w:t>
      </w:r>
    </w:p>
    <w:p w:rsidR="000B3D2A" w:rsidRPr="00C36C8F" w:rsidRDefault="000B3D2A" w:rsidP="000B3D2A">
      <w:pPr>
        <w:pStyle w:val="ParaIndent"/>
        <w:spacing w:before="120"/>
      </w:pPr>
      <w:bookmarkStart w:id="216" w:name="_Ref284601305"/>
      <w:bookmarkStart w:id="217" w:name="_Ref284601297"/>
    </w:p>
    <w:p w:rsidR="005C6EA4" w:rsidRPr="00C36C8F" w:rsidRDefault="00B9555F" w:rsidP="00E55023">
      <w:pPr>
        <w:keepNext/>
        <w:ind w:left="1134"/>
        <w:jc w:val="both"/>
      </w:pPr>
      <w:r w:rsidRPr="00C36C8F">
        <w:fldChar w:fldCharType="begin"/>
      </w:r>
      <w:r w:rsidR="005C6EA4" w:rsidRPr="00C36C8F">
        <w:instrText xml:space="preserve"> REF _Ref300772988 \h </w:instrText>
      </w:r>
      <w:r w:rsidRPr="00C36C8F">
        <w:fldChar w:fldCharType="separate"/>
      </w:r>
      <w:r w:rsidR="00AE7E3B" w:rsidRPr="00C36C8F">
        <w:t xml:space="preserve">Table </w:t>
      </w:r>
      <w:r w:rsidR="00AE7E3B">
        <w:rPr>
          <w:noProof/>
        </w:rPr>
        <w:t>4</w:t>
      </w:r>
      <w:r w:rsidR="00AE7E3B" w:rsidRPr="00C36C8F">
        <w:t>-</w:t>
      </w:r>
      <w:r w:rsidR="00AE7E3B">
        <w:rPr>
          <w:noProof/>
        </w:rPr>
        <w:t>42</w:t>
      </w:r>
      <w:r w:rsidRPr="00C36C8F">
        <w:fldChar w:fldCharType="end"/>
      </w:r>
      <w:r w:rsidR="005C6EA4" w:rsidRPr="00C36C8F">
        <w:t xml:space="preserve"> details the NT’s waste generation and disposal data by material for 2008</w:t>
      </w:r>
      <w:r w:rsidR="00AD2B9E">
        <w:t>–</w:t>
      </w:r>
      <w:r w:rsidR="005C6EA4" w:rsidRPr="00C36C8F">
        <w:t>09, and compares the associated per capita disposal (kg) for NT with the national average for all jurisdictions.</w:t>
      </w:r>
    </w:p>
    <w:p w:rsidR="005C6EA4" w:rsidRPr="00C36C8F" w:rsidRDefault="005C6EA4" w:rsidP="005C6EA4">
      <w:pPr>
        <w:pStyle w:val="Caption"/>
        <w:tabs>
          <w:tab w:val="left" w:pos="7275"/>
        </w:tabs>
      </w:pPr>
      <w:bookmarkStart w:id="218" w:name="_Ref300772988"/>
      <w:r w:rsidRPr="00C36C8F">
        <w:t xml:space="preserve">Table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Table \* Arabic </w:instrText>
      </w:r>
      <w:r w:rsidR="00B9555F" w:rsidRPr="00C36C8F">
        <w:fldChar w:fldCharType="separate"/>
      </w:r>
      <w:r w:rsidR="00AE7E3B">
        <w:rPr>
          <w:noProof/>
        </w:rPr>
        <w:t>42</w:t>
      </w:r>
      <w:r w:rsidR="00B9555F" w:rsidRPr="00C36C8F">
        <w:rPr>
          <w:noProof/>
        </w:rPr>
        <w:fldChar w:fldCharType="end"/>
      </w:r>
      <w:bookmarkEnd w:id="218"/>
      <w:r w:rsidRPr="00C36C8F">
        <w:tab/>
        <w:t>NT waste generation and disposal data by material, 2008–09</w:t>
      </w:r>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5C6EA4" w:rsidRPr="00C36C8F" w:rsidTr="00AA476C">
        <w:tc>
          <w:tcPr>
            <w:tcW w:w="4111" w:type="dxa"/>
            <w:gridSpan w:val="2"/>
            <w:tcBorders>
              <w:right w:val="single" w:sz="4" w:space="0" w:color="808080"/>
            </w:tcBorders>
            <w:shd w:val="clear" w:color="auto" w:fill="auto"/>
            <w:vAlign w:val="center"/>
          </w:tcPr>
          <w:p w:rsidR="005C6EA4" w:rsidRPr="00C36C8F" w:rsidRDefault="005C6EA4" w:rsidP="00AA476C">
            <w:pPr>
              <w:pStyle w:val="TableHeading"/>
              <w:keepLines/>
              <w:jc w:val="center"/>
              <w:rPr>
                <w:kern w:val="28"/>
              </w:rPr>
            </w:pPr>
          </w:p>
        </w:tc>
        <w:tc>
          <w:tcPr>
            <w:tcW w:w="1329" w:type="dxa"/>
            <w:tcBorders>
              <w:top w:val="nil"/>
              <w:left w:val="single" w:sz="4" w:space="0" w:color="808080"/>
              <w:bottom w:val="single" w:sz="4" w:space="0" w:color="808080"/>
              <w:right w:val="single" w:sz="8" w:space="0" w:color="808080" w:themeColor="background1" w:themeShade="80"/>
            </w:tcBorders>
            <w:shd w:val="clear" w:color="auto" w:fill="auto"/>
            <w:vAlign w:val="center"/>
          </w:tcPr>
          <w:p w:rsidR="005C6EA4" w:rsidRPr="00C36C8F" w:rsidRDefault="005C6EA4" w:rsidP="00AA476C">
            <w:pPr>
              <w:pStyle w:val="TableHeading"/>
              <w:keepLines/>
              <w:jc w:val="center"/>
              <w:rPr>
                <w:kern w:val="28"/>
              </w:rPr>
            </w:pPr>
            <w:r w:rsidRPr="00C36C8F">
              <w:rPr>
                <w:kern w:val="28"/>
              </w:rPr>
              <w:t>NT waste generation</w:t>
            </w:r>
          </w:p>
        </w:tc>
        <w:tc>
          <w:tcPr>
            <w:tcW w:w="2658" w:type="dxa"/>
            <w:gridSpan w:val="2"/>
            <w:tcBorders>
              <w:top w:val="nil"/>
              <w:left w:val="single" w:sz="8" w:space="0" w:color="808080" w:themeColor="background1" w:themeShade="80"/>
              <w:right w:val="single" w:sz="8" w:space="0" w:color="808080" w:themeColor="background1" w:themeShade="80"/>
            </w:tcBorders>
            <w:shd w:val="clear" w:color="auto" w:fill="auto"/>
            <w:vAlign w:val="center"/>
          </w:tcPr>
          <w:p w:rsidR="005C6EA4" w:rsidRPr="00C36C8F" w:rsidRDefault="005C6EA4" w:rsidP="00AA476C">
            <w:pPr>
              <w:pStyle w:val="TableHeading"/>
              <w:keepLines/>
              <w:jc w:val="center"/>
              <w:rPr>
                <w:kern w:val="28"/>
              </w:rPr>
            </w:pPr>
            <w:r w:rsidRPr="00C36C8F">
              <w:rPr>
                <w:kern w:val="28"/>
              </w:rPr>
              <w:t>NT waste disposal</w:t>
            </w:r>
          </w:p>
        </w:tc>
        <w:tc>
          <w:tcPr>
            <w:tcW w:w="1329" w:type="dxa"/>
            <w:tcBorders>
              <w:left w:val="single" w:sz="8" w:space="0" w:color="808080" w:themeColor="background1" w:themeShade="80"/>
            </w:tcBorders>
            <w:shd w:val="clear" w:color="auto" w:fill="auto"/>
            <w:vAlign w:val="center"/>
          </w:tcPr>
          <w:p w:rsidR="005C6EA4" w:rsidRPr="00C36C8F" w:rsidRDefault="005C6EA4" w:rsidP="00AA476C">
            <w:pPr>
              <w:pStyle w:val="TableHeading"/>
              <w:keepLines/>
              <w:jc w:val="center"/>
              <w:rPr>
                <w:kern w:val="28"/>
              </w:rPr>
            </w:pPr>
            <w:r w:rsidRPr="00C36C8F">
              <w:rPr>
                <w:kern w:val="28"/>
              </w:rPr>
              <w:t>National average disposal</w:t>
            </w:r>
          </w:p>
        </w:tc>
      </w:tr>
      <w:tr w:rsidR="005C6EA4" w:rsidRPr="00C36C8F" w:rsidTr="00D71ED7">
        <w:tc>
          <w:tcPr>
            <w:tcW w:w="2127" w:type="dxa"/>
            <w:tcBorders>
              <w:bottom w:val="single" w:sz="4" w:space="0" w:color="808080"/>
              <w:right w:val="nil"/>
            </w:tcBorders>
            <w:shd w:val="clear" w:color="auto" w:fill="auto"/>
          </w:tcPr>
          <w:p w:rsidR="005C6EA4" w:rsidRPr="00C36C8F" w:rsidRDefault="005C6EA4" w:rsidP="00E63558">
            <w:pPr>
              <w:pStyle w:val="TableHeading"/>
              <w:keepLines/>
              <w:jc w:val="center"/>
              <w:rPr>
                <w:kern w:val="28"/>
              </w:rPr>
            </w:pPr>
            <w:r w:rsidRPr="00C36C8F">
              <w:rPr>
                <w:kern w:val="28"/>
              </w:rPr>
              <w:t>Ma</w:t>
            </w:r>
            <w:r w:rsidR="00E63558" w:rsidRPr="00C36C8F">
              <w:rPr>
                <w:kern w:val="28"/>
              </w:rPr>
              <w:t>terial Cat</w:t>
            </w:r>
            <w:r w:rsidRPr="00C36C8F">
              <w:rPr>
                <w:kern w:val="28"/>
              </w:rPr>
              <w:t>egory</w:t>
            </w:r>
          </w:p>
        </w:tc>
        <w:tc>
          <w:tcPr>
            <w:tcW w:w="1984" w:type="dxa"/>
            <w:tcBorders>
              <w:left w:val="nil"/>
              <w:bottom w:val="single" w:sz="4" w:space="0" w:color="808080"/>
              <w:right w:val="single" w:sz="4" w:space="0" w:color="808080"/>
            </w:tcBorders>
            <w:shd w:val="clear" w:color="auto" w:fill="auto"/>
          </w:tcPr>
          <w:p w:rsidR="005C6EA4" w:rsidRPr="00C36C8F" w:rsidRDefault="00E63558" w:rsidP="00AA476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5C6EA4" w:rsidRPr="00C36C8F" w:rsidRDefault="005C6EA4" w:rsidP="00AA476C">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5C6EA4" w:rsidRPr="00C36C8F" w:rsidRDefault="005C6EA4" w:rsidP="00AA476C">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5C6EA4" w:rsidRPr="00C36C8F" w:rsidRDefault="005C6EA4" w:rsidP="00AA476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tcBorders>
            <w:vAlign w:val="center"/>
          </w:tcPr>
          <w:p w:rsidR="005C6EA4" w:rsidRPr="00C36C8F" w:rsidRDefault="005C6EA4" w:rsidP="00AA476C">
            <w:pPr>
              <w:pStyle w:val="TableHeading"/>
              <w:keepLines/>
              <w:jc w:val="center"/>
              <w:rPr>
                <w:kern w:val="28"/>
              </w:rPr>
            </w:pPr>
            <w:r w:rsidRPr="00C36C8F">
              <w:rPr>
                <w:kern w:val="28"/>
              </w:rPr>
              <w:t>kg per capita</w:t>
            </w:r>
          </w:p>
        </w:tc>
      </w:tr>
      <w:tr w:rsidR="00213569" w:rsidRPr="007B1D2C" w:rsidTr="00D71ED7">
        <w:tc>
          <w:tcPr>
            <w:tcW w:w="2127" w:type="dxa"/>
          </w:tcPr>
          <w:p w:rsidR="00213569" w:rsidRPr="007B1D2C" w:rsidRDefault="00213569" w:rsidP="00AA476C">
            <w:pPr>
              <w:pStyle w:val="TableText"/>
              <w:keepNext/>
              <w:keepLines/>
              <w:rPr>
                <w:rFonts w:cs="Arial"/>
                <w:szCs w:val="18"/>
              </w:rPr>
            </w:pPr>
            <w:r w:rsidRPr="007B1D2C">
              <w:rPr>
                <w:rFonts w:cs="Arial"/>
                <w:szCs w:val="18"/>
              </w:rPr>
              <w:t>Masonry materials</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88,</w:t>
            </w:r>
            <w:r w:rsidRPr="00A11246">
              <w:rPr>
                <w:rFonts w:cs="Arial"/>
                <w:color w:val="000000"/>
                <w:szCs w:val="18"/>
              </w:rPr>
              <w:t>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88,</w:t>
            </w:r>
            <w:r w:rsidRPr="00A11246">
              <w:rPr>
                <w:rFonts w:cs="Arial"/>
                <w:color w:val="000000"/>
                <w:szCs w:val="18"/>
              </w:rPr>
              <w:t>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394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312</w:t>
            </w:r>
          </w:p>
        </w:tc>
      </w:tr>
      <w:tr w:rsidR="00213569" w:rsidRPr="007B1D2C" w:rsidTr="00D71ED7">
        <w:tc>
          <w:tcPr>
            <w:tcW w:w="2127" w:type="dxa"/>
          </w:tcPr>
          <w:p w:rsidR="00213569" w:rsidRPr="007B1D2C" w:rsidRDefault="00213569" w:rsidP="00AA476C">
            <w:pPr>
              <w:pStyle w:val="TableText"/>
              <w:keepNext/>
              <w:keepLines/>
              <w:rPr>
                <w:rFonts w:cs="Arial"/>
                <w:szCs w:val="18"/>
              </w:rPr>
            </w:pPr>
            <w:r w:rsidRPr="007B1D2C">
              <w:rPr>
                <w:rFonts w:cs="Arial"/>
                <w:szCs w:val="18"/>
              </w:rPr>
              <w:t>Metals</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10,000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9,200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41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24</w:t>
            </w:r>
          </w:p>
        </w:tc>
      </w:tr>
      <w:tr w:rsidR="00213569" w:rsidRPr="007B1D2C" w:rsidTr="00D71ED7">
        <w:tc>
          <w:tcPr>
            <w:tcW w:w="2127" w:type="dxa"/>
          </w:tcPr>
          <w:p w:rsidR="00213569" w:rsidRPr="007B1D2C" w:rsidRDefault="00213569" w:rsidP="00AA476C">
            <w:pPr>
              <w:pStyle w:val="TableText"/>
              <w:keepNext/>
              <w:keepLines/>
              <w:rPr>
                <w:rFonts w:cs="Arial"/>
                <w:szCs w:val="18"/>
              </w:rPr>
            </w:pPr>
            <w:r w:rsidRPr="007B1D2C">
              <w:rPr>
                <w:rFonts w:cs="Arial"/>
                <w:szCs w:val="18"/>
              </w:rPr>
              <w:t>Organics</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132,600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130,</w:t>
            </w:r>
            <w:r w:rsidRPr="00A11246">
              <w:rPr>
                <w:rFonts w:cs="Arial"/>
                <w:color w:val="000000"/>
                <w:szCs w:val="18"/>
              </w:rPr>
              <w:t>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582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332</w:t>
            </w:r>
          </w:p>
        </w:tc>
      </w:tr>
      <w:tr w:rsidR="00213569" w:rsidRPr="007B1D2C" w:rsidTr="00D71ED7">
        <w:tc>
          <w:tcPr>
            <w:tcW w:w="2127" w:type="dxa"/>
          </w:tcPr>
          <w:p w:rsidR="00213569" w:rsidRPr="007B1D2C" w:rsidRDefault="00213569" w:rsidP="00AA476C">
            <w:pPr>
              <w:pStyle w:val="TableText"/>
              <w:keepNext/>
              <w:keepLines/>
              <w:rPr>
                <w:rFonts w:cs="Arial"/>
                <w:szCs w:val="18"/>
              </w:rPr>
            </w:pPr>
            <w:r w:rsidRPr="007B1D2C">
              <w:rPr>
                <w:rFonts w:cs="Arial"/>
                <w:szCs w:val="18"/>
              </w:rPr>
              <w:t>Paper &amp; cardboard</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47,</w:t>
            </w:r>
            <w:r w:rsidRPr="00A11246">
              <w:rPr>
                <w:rFonts w:cs="Arial"/>
                <w:color w:val="000000"/>
                <w:szCs w:val="18"/>
              </w:rPr>
              <w:t>500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36,</w:t>
            </w:r>
            <w:r w:rsidRPr="00A11246">
              <w:rPr>
                <w:rFonts w:cs="Arial"/>
                <w:color w:val="000000"/>
                <w:szCs w:val="18"/>
              </w:rPr>
              <w:t>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162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113</w:t>
            </w:r>
          </w:p>
        </w:tc>
      </w:tr>
      <w:tr w:rsidR="00213569" w:rsidRPr="007B1D2C" w:rsidTr="00D71ED7">
        <w:tc>
          <w:tcPr>
            <w:tcW w:w="2127" w:type="dxa"/>
          </w:tcPr>
          <w:p w:rsidR="00213569" w:rsidRPr="007B1D2C" w:rsidRDefault="00213569" w:rsidP="00AA476C">
            <w:pPr>
              <w:pStyle w:val="TableText"/>
              <w:keepNext/>
              <w:keepLines/>
              <w:rPr>
                <w:rFonts w:cs="Arial"/>
                <w:szCs w:val="18"/>
              </w:rPr>
            </w:pPr>
            <w:r w:rsidRPr="007B1D2C">
              <w:rPr>
                <w:rFonts w:cs="Arial"/>
                <w:szCs w:val="18"/>
              </w:rPr>
              <w:t>Plastics</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29,</w:t>
            </w:r>
            <w:r w:rsidRPr="00A11246">
              <w:rPr>
                <w:rFonts w:cs="Arial"/>
                <w:color w:val="000000"/>
                <w:szCs w:val="18"/>
              </w:rPr>
              <w:t>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28,</w:t>
            </w:r>
            <w:r w:rsidRPr="00A11246">
              <w:rPr>
                <w:rFonts w:cs="Arial"/>
                <w:color w:val="000000"/>
                <w:szCs w:val="18"/>
              </w:rPr>
              <w:t>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128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80</w:t>
            </w:r>
          </w:p>
        </w:tc>
      </w:tr>
      <w:tr w:rsidR="00213569" w:rsidRPr="007B1D2C" w:rsidTr="00D71ED7">
        <w:tc>
          <w:tcPr>
            <w:tcW w:w="2127" w:type="dxa"/>
            <w:vMerge w:val="restart"/>
          </w:tcPr>
          <w:p w:rsidR="00213569" w:rsidRPr="007B1D2C" w:rsidRDefault="00213569" w:rsidP="00AA476C">
            <w:pPr>
              <w:pStyle w:val="TableText"/>
              <w:keepNext/>
              <w:keepLines/>
              <w:rPr>
                <w:rFonts w:cs="Arial"/>
                <w:szCs w:val="18"/>
              </w:rPr>
            </w:pPr>
            <w:r w:rsidRPr="007B1D2C">
              <w:rPr>
                <w:rFonts w:cs="Arial"/>
                <w:szCs w:val="18"/>
              </w:rPr>
              <w:t>Other</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r w:rsidRPr="007B1D2C">
              <w:rPr>
                <w:rFonts w:cs="Arial"/>
                <w:szCs w:val="18"/>
              </w:rPr>
              <w:t>Glass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11,000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7,000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31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21</w:t>
            </w:r>
          </w:p>
        </w:tc>
      </w:tr>
      <w:tr w:rsidR="00213569" w:rsidRPr="007B1D2C" w:rsidTr="00D71ED7">
        <w:tc>
          <w:tcPr>
            <w:tcW w:w="2127" w:type="dxa"/>
            <w:vMerge/>
          </w:tcPr>
          <w:p w:rsidR="00213569" w:rsidRPr="007B1D2C" w:rsidRDefault="00213569" w:rsidP="00AA476C">
            <w:pPr>
              <w:pStyle w:val="TableText"/>
              <w:keepNext/>
              <w:keepLines/>
              <w:rPr>
                <w:rFonts w:cs="Arial"/>
                <w:szCs w:val="18"/>
              </w:rPr>
            </w:pPr>
          </w:p>
        </w:tc>
        <w:tc>
          <w:tcPr>
            <w:tcW w:w="1984" w:type="dxa"/>
            <w:tcBorders>
              <w:right w:val="single" w:sz="4" w:space="0" w:color="808080"/>
            </w:tcBorders>
          </w:tcPr>
          <w:p w:rsidR="00213569" w:rsidRPr="007B1D2C" w:rsidRDefault="00213569" w:rsidP="00AA476C">
            <w:pPr>
              <w:pStyle w:val="TableText"/>
              <w:keepNext/>
              <w:keepLines/>
              <w:rPr>
                <w:rFonts w:cs="Arial"/>
                <w:szCs w:val="18"/>
              </w:rPr>
            </w:pPr>
            <w:r w:rsidRPr="007B1D2C">
              <w:rPr>
                <w:rFonts w:cs="Arial"/>
                <w:szCs w:val="18"/>
              </w:rPr>
              <w:t>Leather &amp; textiles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9,100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9,100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41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22</w:t>
            </w:r>
          </w:p>
        </w:tc>
      </w:tr>
      <w:tr w:rsidR="00213569" w:rsidRPr="007B1D2C" w:rsidTr="00D71ED7">
        <w:tc>
          <w:tcPr>
            <w:tcW w:w="2127" w:type="dxa"/>
            <w:vMerge/>
          </w:tcPr>
          <w:p w:rsidR="00213569" w:rsidRPr="007B1D2C" w:rsidRDefault="00213569" w:rsidP="00AA476C">
            <w:pPr>
              <w:pStyle w:val="TableText"/>
              <w:keepNext/>
              <w:keepLines/>
              <w:rPr>
                <w:rFonts w:cs="Arial"/>
                <w:szCs w:val="18"/>
              </w:rPr>
            </w:pPr>
          </w:p>
        </w:tc>
        <w:tc>
          <w:tcPr>
            <w:tcW w:w="1984" w:type="dxa"/>
            <w:tcBorders>
              <w:right w:val="single" w:sz="4" w:space="0" w:color="808080"/>
            </w:tcBorders>
          </w:tcPr>
          <w:p w:rsidR="00213569" w:rsidRPr="007B1D2C" w:rsidRDefault="00213569" w:rsidP="00AA476C">
            <w:pPr>
              <w:pStyle w:val="TableText"/>
              <w:keepNext/>
              <w:keepLines/>
              <w:rPr>
                <w:rFonts w:cs="Arial"/>
                <w:szCs w:val="18"/>
              </w:rPr>
            </w:pPr>
            <w:r w:rsidRPr="007B1D2C">
              <w:rPr>
                <w:rFonts w:cs="Arial"/>
                <w:szCs w:val="18"/>
              </w:rPr>
              <w:t>Tyres &amp; other rubber</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5,</w:t>
            </w:r>
            <w:r w:rsidRPr="00A11246">
              <w:rPr>
                <w:rFonts w:cs="Arial"/>
                <w:color w:val="000000"/>
                <w:szCs w:val="18"/>
              </w:rPr>
              <w:t>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5,</w:t>
            </w:r>
            <w:r w:rsidRPr="00A11246">
              <w:rPr>
                <w:rFonts w:cs="Arial"/>
                <w:color w:val="000000"/>
                <w:szCs w:val="18"/>
              </w:rPr>
              <w:t>900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26</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12</w:t>
            </w:r>
          </w:p>
        </w:tc>
      </w:tr>
      <w:tr w:rsidR="00213569" w:rsidRPr="007B1D2C" w:rsidTr="00D71ED7">
        <w:tc>
          <w:tcPr>
            <w:tcW w:w="2127" w:type="dxa"/>
            <w:vMerge w:val="restart"/>
          </w:tcPr>
          <w:p w:rsidR="00213569" w:rsidRPr="007B1D2C" w:rsidRDefault="00213569" w:rsidP="00AA476C">
            <w:pPr>
              <w:pStyle w:val="TableText"/>
              <w:keepNext/>
              <w:keepLines/>
              <w:rPr>
                <w:rFonts w:cs="Arial"/>
                <w:szCs w:val="18"/>
              </w:rPr>
            </w:pPr>
            <w:r w:rsidRPr="007B1D2C">
              <w:rPr>
                <w:rFonts w:cs="Arial"/>
                <w:szCs w:val="18"/>
              </w:rPr>
              <w:t>Hazardous</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r w:rsidRPr="007B1D2C">
              <w:rPr>
                <w:rFonts w:cs="Arial"/>
                <w:szCs w:val="18"/>
              </w:rPr>
              <w:t>Quarantine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0B315F">
              <w:rPr>
                <w:color w:val="000000"/>
              </w:rPr>
              <w:t>1</w:t>
            </w:r>
          </w:p>
        </w:tc>
      </w:tr>
      <w:tr w:rsidR="00213569" w:rsidRPr="007B1D2C" w:rsidTr="00D71ED7">
        <w:tc>
          <w:tcPr>
            <w:tcW w:w="2127" w:type="dxa"/>
            <w:vMerge/>
          </w:tcPr>
          <w:p w:rsidR="00213569" w:rsidRPr="007B1D2C" w:rsidRDefault="00213569" w:rsidP="00AA476C">
            <w:pPr>
              <w:pStyle w:val="TableText"/>
              <w:keepNext/>
              <w:keepLines/>
              <w:rPr>
                <w:rFonts w:cs="Arial"/>
                <w:szCs w:val="18"/>
              </w:rPr>
            </w:pPr>
          </w:p>
        </w:tc>
        <w:tc>
          <w:tcPr>
            <w:tcW w:w="1984" w:type="dxa"/>
            <w:tcBorders>
              <w:right w:val="single" w:sz="4" w:space="0" w:color="808080"/>
            </w:tcBorders>
          </w:tcPr>
          <w:p w:rsidR="00213569" w:rsidRPr="007B1D2C" w:rsidRDefault="00213569" w:rsidP="00AA476C">
            <w:pPr>
              <w:pStyle w:val="TableText"/>
              <w:keepNext/>
              <w:keepLines/>
              <w:rPr>
                <w:rFonts w:cs="Arial"/>
                <w:szCs w:val="18"/>
              </w:rPr>
            </w:pPr>
            <w:r w:rsidRPr="007B1D2C">
              <w:rPr>
                <w:rFonts w:cs="Arial"/>
                <w:szCs w:val="18"/>
              </w:rPr>
              <w:t>Contaminated soil</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20,700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20,700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92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57</w:t>
            </w:r>
          </w:p>
        </w:tc>
      </w:tr>
      <w:tr w:rsidR="00213569" w:rsidRPr="007B1D2C" w:rsidTr="00D71ED7">
        <w:tc>
          <w:tcPr>
            <w:tcW w:w="2127" w:type="dxa"/>
            <w:vMerge/>
          </w:tcPr>
          <w:p w:rsidR="00213569" w:rsidRPr="007B1D2C" w:rsidRDefault="00213569" w:rsidP="00AA476C">
            <w:pPr>
              <w:pStyle w:val="TableText"/>
              <w:keepNext/>
              <w:keepLines/>
              <w:rPr>
                <w:rFonts w:cs="Arial"/>
                <w:szCs w:val="18"/>
              </w:rPr>
            </w:pPr>
          </w:p>
        </w:tc>
        <w:tc>
          <w:tcPr>
            <w:tcW w:w="1984" w:type="dxa"/>
            <w:tcBorders>
              <w:right w:val="single" w:sz="4" w:space="0" w:color="808080"/>
            </w:tcBorders>
          </w:tcPr>
          <w:p w:rsidR="00213569" w:rsidRPr="007B1D2C" w:rsidRDefault="00213569" w:rsidP="00AA476C">
            <w:pPr>
              <w:pStyle w:val="TableText"/>
              <w:keepNext/>
              <w:keepLines/>
              <w:rPr>
                <w:rFonts w:cs="Arial"/>
                <w:szCs w:val="18"/>
              </w:rPr>
            </w:pPr>
            <w:r w:rsidRPr="007B1D2C">
              <w:rPr>
                <w:rFonts w:cs="Arial"/>
                <w:szCs w:val="18"/>
              </w:rPr>
              <w:t>Industrial waste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11,300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11,300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A11246">
              <w:rPr>
                <w:rFonts w:cs="Arial"/>
                <w:color w:val="000000"/>
                <w:szCs w:val="18"/>
              </w:rPr>
              <w:t>50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34</w:t>
            </w:r>
          </w:p>
        </w:tc>
      </w:tr>
      <w:tr w:rsidR="00213569" w:rsidRPr="007B1D2C" w:rsidTr="00D71ED7">
        <w:tc>
          <w:tcPr>
            <w:tcW w:w="2127" w:type="dxa"/>
            <w:vMerge/>
          </w:tcPr>
          <w:p w:rsidR="00213569" w:rsidRPr="007B1D2C" w:rsidRDefault="00213569" w:rsidP="00AA476C">
            <w:pPr>
              <w:pStyle w:val="TableText"/>
              <w:keepNext/>
              <w:keepLines/>
              <w:rPr>
                <w:rFonts w:cs="Arial"/>
                <w:szCs w:val="18"/>
              </w:rPr>
            </w:pPr>
          </w:p>
        </w:tc>
        <w:tc>
          <w:tcPr>
            <w:tcW w:w="1984" w:type="dxa"/>
            <w:tcBorders>
              <w:right w:val="single" w:sz="4" w:space="0" w:color="808080"/>
            </w:tcBorders>
          </w:tcPr>
          <w:p w:rsidR="00213569" w:rsidRPr="007B1D2C" w:rsidRDefault="00213569" w:rsidP="00AA476C">
            <w:pPr>
              <w:pStyle w:val="TableText"/>
              <w:keepNext/>
              <w:keepLines/>
              <w:rPr>
                <w:rFonts w:cs="Arial"/>
                <w:szCs w:val="18"/>
              </w:rPr>
            </w:pPr>
            <w:r w:rsidRPr="007B1D2C">
              <w:rPr>
                <w:rFonts w:cs="Arial"/>
                <w:szCs w:val="18"/>
              </w:rPr>
              <w:t>Asbestos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14,600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14,600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65</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213569">
              <w:rPr>
                <w:rFonts w:cs="Arial"/>
                <w:color w:val="000000"/>
                <w:szCs w:val="18"/>
              </w:rPr>
              <w:t>25</w:t>
            </w:r>
          </w:p>
        </w:tc>
      </w:tr>
      <w:tr w:rsidR="00213569" w:rsidRPr="007B1D2C" w:rsidTr="00D71ED7">
        <w:tc>
          <w:tcPr>
            <w:tcW w:w="2127" w:type="dxa"/>
          </w:tcPr>
          <w:p w:rsidR="00213569" w:rsidRPr="007B1D2C" w:rsidRDefault="00213569" w:rsidP="00AA476C">
            <w:pPr>
              <w:pStyle w:val="TableText"/>
              <w:keepNext/>
              <w:keepLines/>
              <w:rPr>
                <w:rFonts w:cs="Arial"/>
                <w:szCs w:val="18"/>
              </w:rPr>
            </w:pPr>
            <w:r w:rsidRPr="007B1D2C">
              <w:rPr>
                <w:rFonts w:cs="Arial"/>
                <w:b/>
                <w:szCs w:val="18"/>
              </w:rPr>
              <w:t>SUBTOTAL</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b/>
                <w:szCs w:val="18"/>
              </w:rPr>
            </w:pPr>
            <w:r w:rsidRPr="000B315F">
              <w:rPr>
                <w:b/>
                <w:color w:val="000000"/>
              </w:rPr>
              <w:t>380,</w:t>
            </w:r>
            <w:r w:rsidRPr="00A11246">
              <w:rPr>
                <w:rFonts w:cs="Arial"/>
                <w:b/>
                <w:bCs/>
                <w:color w:val="000000"/>
                <w:szCs w:val="18"/>
              </w:rPr>
              <w:t>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b/>
                <w:szCs w:val="18"/>
              </w:rPr>
            </w:pPr>
            <w:r w:rsidRPr="00A11246">
              <w:rPr>
                <w:rFonts w:cs="Arial"/>
                <w:b/>
                <w:bCs/>
                <w:color w:val="000000"/>
                <w:szCs w:val="18"/>
              </w:rPr>
              <w:t>362,400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b/>
                <w:szCs w:val="18"/>
              </w:rPr>
            </w:pPr>
            <w:r w:rsidRPr="000B315F">
              <w:rPr>
                <w:b/>
                <w:color w:val="000000"/>
              </w:rPr>
              <w:t>1,</w:t>
            </w:r>
            <w:r w:rsidRPr="00A11246">
              <w:rPr>
                <w:rFonts w:cs="Arial"/>
                <w:b/>
                <w:bCs/>
                <w:color w:val="000000"/>
                <w:szCs w:val="18"/>
              </w:rPr>
              <w:t>612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b/>
                <w:szCs w:val="18"/>
              </w:rPr>
            </w:pPr>
            <w:r w:rsidRPr="000B315F">
              <w:rPr>
                <w:b/>
                <w:color w:val="000000"/>
              </w:rPr>
              <w:t>1,</w:t>
            </w:r>
            <w:r w:rsidRPr="00213569">
              <w:rPr>
                <w:rFonts w:cs="Arial"/>
                <w:b/>
                <w:bCs/>
                <w:color w:val="000000"/>
                <w:szCs w:val="18"/>
              </w:rPr>
              <w:t>035</w:t>
            </w:r>
          </w:p>
        </w:tc>
      </w:tr>
      <w:tr w:rsidR="00213569" w:rsidRPr="007B1D2C" w:rsidTr="00D71ED7">
        <w:tc>
          <w:tcPr>
            <w:tcW w:w="2127" w:type="dxa"/>
          </w:tcPr>
          <w:p w:rsidR="00213569" w:rsidRPr="007B1D2C" w:rsidRDefault="00213569" w:rsidP="00AA476C">
            <w:pPr>
              <w:pStyle w:val="TableText"/>
              <w:keepNext/>
              <w:keepLines/>
              <w:rPr>
                <w:rFonts w:cs="Arial"/>
                <w:szCs w:val="18"/>
              </w:rPr>
            </w:pPr>
            <w:r w:rsidRPr="007B1D2C">
              <w:rPr>
                <w:rFonts w:cs="Arial"/>
                <w:szCs w:val="18"/>
              </w:rPr>
              <w:t>Fly ash</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szCs w:val="18"/>
              </w:rPr>
            </w:pPr>
            <w:r w:rsidRPr="000B315F">
              <w:rPr>
                <w:color w:val="000000"/>
              </w:rPr>
              <w:t>532</w:t>
            </w:r>
          </w:p>
        </w:tc>
      </w:tr>
      <w:tr w:rsidR="00213569" w:rsidRPr="007B1D2C" w:rsidTr="00D71ED7">
        <w:tc>
          <w:tcPr>
            <w:tcW w:w="2127" w:type="dxa"/>
          </w:tcPr>
          <w:p w:rsidR="00213569" w:rsidRPr="007B1D2C" w:rsidRDefault="00213569" w:rsidP="00AA476C">
            <w:pPr>
              <w:pStyle w:val="TableText"/>
              <w:keepNext/>
              <w:keepLines/>
              <w:rPr>
                <w:rFonts w:cs="Arial"/>
                <w:szCs w:val="18"/>
              </w:rPr>
            </w:pPr>
            <w:r w:rsidRPr="007B1D2C">
              <w:rPr>
                <w:rFonts w:cs="Arial"/>
                <w:b/>
                <w:szCs w:val="18"/>
              </w:rPr>
              <w:t>TOTAL</w:t>
            </w:r>
          </w:p>
        </w:tc>
        <w:tc>
          <w:tcPr>
            <w:tcW w:w="1984" w:type="dxa"/>
            <w:tcBorders>
              <w:right w:val="single" w:sz="4" w:space="0" w:color="808080"/>
            </w:tcBorders>
          </w:tcPr>
          <w:p w:rsidR="00213569" w:rsidRPr="007B1D2C" w:rsidRDefault="00213569" w:rsidP="00AA476C">
            <w:pPr>
              <w:pStyle w:val="TableText"/>
              <w:keepNext/>
              <w:keepLines/>
              <w:rPr>
                <w:rFonts w:cs="Arial"/>
                <w:szCs w:val="18"/>
              </w:rPr>
            </w:pP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b/>
                <w:szCs w:val="18"/>
              </w:rPr>
            </w:pPr>
            <w:r w:rsidRPr="000B315F">
              <w:rPr>
                <w:b/>
                <w:color w:val="000000"/>
              </w:rPr>
              <w:t>380,</w:t>
            </w:r>
            <w:r w:rsidRPr="00A11246">
              <w:rPr>
                <w:rFonts w:cs="Arial"/>
                <w:b/>
                <w:bCs/>
                <w:color w:val="000000"/>
                <w:szCs w:val="18"/>
              </w:rPr>
              <w:t>800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b/>
                <w:szCs w:val="18"/>
              </w:rPr>
            </w:pPr>
            <w:r w:rsidRPr="00A11246">
              <w:rPr>
                <w:rFonts w:cs="Arial"/>
                <w:b/>
                <w:bCs/>
                <w:color w:val="000000"/>
                <w:szCs w:val="18"/>
              </w:rPr>
              <w:t>362,400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213569" w:rsidRPr="00A11246" w:rsidRDefault="00213569" w:rsidP="00AA476C">
            <w:pPr>
              <w:pStyle w:val="TableText"/>
              <w:keepNext/>
              <w:keepLines/>
              <w:jc w:val="right"/>
              <w:rPr>
                <w:rFonts w:cs="Arial"/>
                <w:b/>
                <w:szCs w:val="18"/>
              </w:rPr>
            </w:pPr>
            <w:r w:rsidRPr="000B315F">
              <w:rPr>
                <w:b/>
                <w:color w:val="000000"/>
              </w:rPr>
              <w:t>1,</w:t>
            </w:r>
            <w:r w:rsidRPr="00A11246">
              <w:rPr>
                <w:rFonts w:cs="Arial"/>
                <w:b/>
                <w:bCs/>
                <w:color w:val="000000"/>
                <w:szCs w:val="18"/>
              </w:rPr>
              <w:t>612</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213569" w:rsidRPr="00213569" w:rsidRDefault="00213569" w:rsidP="00AA476C">
            <w:pPr>
              <w:pStyle w:val="TableText"/>
              <w:keepNext/>
              <w:keepLines/>
              <w:jc w:val="right"/>
              <w:rPr>
                <w:rFonts w:cs="Arial"/>
                <w:b/>
                <w:szCs w:val="18"/>
              </w:rPr>
            </w:pPr>
            <w:r w:rsidRPr="000B315F">
              <w:rPr>
                <w:b/>
                <w:color w:val="000000"/>
              </w:rPr>
              <w:t>1,</w:t>
            </w:r>
            <w:r w:rsidRPr="00213569">
              <w:rPr>
                <w:rFonts w:cs="Arial"/>
                <w:b/>
                <w:bCs/>
                <w:color w:val="000000"/>
                <w:szCs w:val="18"/>
              </w:rPr>
              <w:t>567</w:t>
            </w:r>
          </w:p>
        </w:tc>
      </w:tr>
    </w:tbl>
    <w:p w:rsidR="005C6EA4" w:rsidRPr="00C36C8F" w:rsidRDefault="005C6EA4" w:rsidP="005C6EA4">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5C6EA4" w:rsidRPr="00C36C8F" w:rsidRDefault="005C6EA4" w:rsidP="005C6EA4">
      <w:pPr>
        <w:pStyle w:val="ParaIndent"/>
        <w:spacing w:before="240"/>
      </w:pPr>
    </w:p>
    <w:p w:rsidR="005C6EA4" w:rsidRPr="00C36C8F" w:rsidRDefault="005C6EA4" w:rsidP="000B3D2A">
      <w:pPr>
        <w:pStyle w:val="ParaIndent"/>
        <w:spacing w:before="120"/>
      </w:pPr>
    </w:p>
    <w:p w:rsidR="00EB0688" w:rsidRPr="00C36C8F" w:rsidRDefault="00B9555F" w:rsidP="00870C8B">
      <w:pPr>
        <w:pStyle w:val="ParaIndent"/>
        <w:keepNext/>
        <w:keepLines/>
        <w:jc w:val="both"/>
      </w:pPr>
      <w:r w:rsidRPr="00C36C8F">
        <w:fldChar w:fldCharType="begin"/>
      </w:r>
      <w:r w:rsidR="00EB0688" w:rsidRPr="00C36C8F">
        <w:instrText xml:space="preserve"> REF _Ref300763157 \h </w:instrText>
      </w:r>
      <w:r w:rsidRPr="00C36C8F">
        <w:fldChar w:fldCharType="separate"/>
      </w:r>
      <w:r w:rsidR="00AE7E3B" w:rsidRPr="00C36C8F">
        <w:t xml:space="preserve">Table </w:t>
      </w:r>
      <w:r w:rsidR="00AE7E3B">
        <w:rPr>
          <w:noProof/>
        </w:rPr>
        <w:t>4</w:t>
      </w:r>
      <w:r w:rsidR="00AE7E3B" w:rsidRPr="00C36C8F">
        <w:t>-</w:t>
      </w:r>
      <w:r w:rsidR="00AE7E3B">
        <w:rPr>
          <w:noProof/>
        </w:rPr>
        <w:t>43</w:t>
      </w:r>
      <w:r w:rsidRPr="00C36C8F">
        <w:fldChar w:fldCharType="end"/>
      </w:r>
      <w:r w:rsidR="00EB0688" w:rsidRPr="00C36C8F">
        <w:t xml:space="preserve"> presents the total recycling by material for the Northern Territory during 2008–09, in terms of total tonnes, per capita </w:t>
      </w:r>
      <w:r w:rsidR="00412620" w:rsidRPr="00C36C8F">
        <w:t>recycling,</w:t>
      </w:r>
      <w:r w:rsidR="00EB0688" w:rsidRPr="00C36C8F">
        <w:t xml:space="preserve"> and recycling rate. </w:t>
      </w:r>
      <w:r w:rsidR="00DC7392" w:rsidRPr="00C36C8F">
        <w:t>P</w:t>
      </w:r>
      <w:r w:rsidR="00EB0688" w:rsidRPr="00C36C8F">
        <w:t>er capita recycling rate for the Northern Territory is also compared to the national average per capita recycling rate.</w:t>
      </w:r>
    </w:p>
    <w:p w:rsidR="00DE05C7" w:rsidRPr="00C36C8F" w:rsidRDefault="00DE05C7" w:rsidP="00DE05C7">
      <w:pPr>
        <w:pStyle w:val="Caption"/>
      </w:pPr>
      <w:bookmarkStart w:id="219" w:name="_Ref300763157"/>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43</w:t>
      </w:r>
      <w:r w:rsidR="00B9555F" w:rsidRPr="00C36C8F">
        <w:rPr>
          <w:noProof/>
        </w:rPr>
        <w:fldChar w:fldCharType="end"/>
      </w:r>
      <w:bookmarkEnd w:id="216"/>
      <w:bookmarkEnd w:id="219"/>
      <w:r w:rsidRPr="00C36C8F">
        <w:tab/>
      </w:r>
      <w:r w:rsidR="000B3D2A" w:rsidRPr="00C36C8F">
        <w:t>NT r</w:t>
      </w:r>
      <w:r w:rsidRPr="00C36C8F">
        <w:t>ecycling,</w:t>
      </w:r>
      <w:r w:rsidR="00412620" w:rsidRPr="00C36C8F">
        <w:t xml:space="preserve"> by material</w:t>
      </w:r>
      <w:r w:rsidRPr="00C36C8F">
        <w:t>, 2008–09</w:t>
      </w:r>
      <w:bookmarkEnd w:id="217"/>
    </w:p>
    <w:tbl>
      <w:tblPr>
        <w:tblW w:w="9427" w:type="dxa"/>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gridCol w:w="1329"/>
      </w:tblGrid>
      <w:tr w:rsidR="00903DD9" w:rsidRPr="00C36C8F" w:rsidTr="00B66BA8">
        <w:tc>
          <w:tcPr>
            <w:tcW w:w="4111" w:type="dxa"/>
            <w:gridSpan w:val="2"/>
            <w:tcBorders>
              <w:right w:val="single" w:sz="4" w:space="0" w:color="808080"/>
            </w:tcBorders>
            <w:shd w:val="clear" w:color="auto" w:fill="auto"/>
            <w:vAlign w:val="center"/>
          </w:tcPr>
          <w:p w:rsidR="00903DD9" w:rsidRPr="00C36C8F" w:rsidRDefault="00903DD9" w:rsidP="00B66BA8">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903DD9" w:rsidRPr="00C36C8F" w:rsidRDefault="005C6EA4" w:rsidP="00B66BA8">
            <w:pPr>
              <w:pStyle w:val="TableHeading"/>
              <w:keepLines/>
              <w:jc w:val="center"/>
              <w:rPr>
                <w:kern w:val="28"/>
              </w:rPr>
            </w:pPr>
            <w:r w:rsidRPr="00C36C8F">
              <w:rPr>
                <w:kern w:val="28"/>
              </w:rPr>
              <w:t>NT</w:t>
            </w:r>
            <w:r w:rsidR="00903DD9" w:rsidRPr="00C36C8F">
              <w:rPr>
                <w:kern w:val="28"/>
              </w:rPr>
              <w:t xml:space="preserve"> recycling</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National average</w:t>
            </w:r>
          </w:p>
        </w:tc>
        <w:tc>
          <w:tcPr>
            <w:tcW w:w="1329" w:type="dxa"/>
            <w:tcBorders>
              <w:left w:val="single" w:sz="8" w:space="0" w:color="808080" w:themeColor="background1" w:themeShade="80"/>
            </w:tcBorders>
            <w:shd w:val="clear" w:color="auto" w:fill="auto"/>
            <w:vAlign w:val="center"/>
          </w:tcPr>
          <w:p w:rsidR="00903DD9" w:rsidRPr="00C36C8F" w:rsidRDefault="005C6EA4" w:rsidP="00B66BA8">
            <w:pPr>
              <w:pStyle w:val="TableHeading"/>
              <w:keepLines/>
              <w:jc w:val="center"/>
              <w:rPr>
                <w:kern w:val="28"/>
              </w:rPr>
            </w:pPr>
            <w:r w:rsidRPr="00C36C8F">
              <w:rPr>
                <w:kern w:val="28"/>
              </w:rPr>
              <w:t>NT</w:t>
            </w:r>
            <w:r w:rsidR="00903DD9" w:rsidRPr="00C36C8F">
              <w:rPr>
                <w:kern w:val="28"/>
              </w:rPr>
              <w:t xml:space="preserve"> recycling rate</w:t>
            </w:r>
          </w:p>
        </w:tc>
      </w:tr>
      <w:tr w:rsidR="00903DD9" w:rsidRPr="00C36C8F" w:rsidTr="00D71ED7">
        <w:tc>
          <w:tcPr>
            <w:tcW w:w="2127" w:type="dxa"/>
            <w:tcBorders>
              <w:bottom w:val="single" w:sz="4" w:space="0" w:color="808080"/>
              <w:right w:val="nil"/>
            </w:tcBorders>
            <w:shd w:val="clear" w:color="auto" w:fill="auto"/>
          </w:tcPr>
          <w:p w:rsidR="00903DD9" w:rsidRPr="00C36C8F" w:rsidRDefault="00AB54FD" w:rsidP="00AB54FD">
            <w:pPr>
              <w:pStyle w:val="TableHeading"/>
              <w:keepLines/>
              <w:jc w:val="center"/>
              <w:rPr>
                <w:kern w:val="28"/>
              </w:rPr>
            </w:pPr>
            <w:r w:rsidRPr="00C36C8F">
              <w:rPr>
                <w:kern w:val="28"/>
              </w:rPr>
              <w:t>Material C</w:t>
            </w:r>
            <w:r w:rsidR="00903DD9" w:rsidRPr="00C36C8F">
              <w:rPr>
                <w:kern w:val="28"/>
              </w:rPr>
              <w:t>ategory</w:t>
            </w:r>
          </w:p>
        </w:tc>
        <w:tc>
          <w:tcPr>
            <w:tcW w:w="1984" w:type="dxa"/>
            <w:tcBorders>
              <w:left w:val="nil"/>
              <w:bottom w:val="single" w:sz="4" w:space="0" w:color="808080"/>
              <w:right w:val="single" w:sz="4" w:space="0" w:color="808080"/>
            </w:tcBorders>
            <w:shd w:val="clear" w:color="auto" w:fill="auto"/>
          </w:tcPr>
          <w:p w:rsidR="00903DD9" w:rsidRPr="00C36C8F" w:rsidRDefault="00AB54FD" w:rsidP="00B66BA8">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tonnes</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vAlign w:val="center"/>
          </w:tcPr>
          <w:p w:rsidR="00903DD9" w:rsidRPr="00C36C8F" w:rsidRDefault="00903DD9" w:rsidP="00B66BA8">
            <w:pPr>
              <w:pStyle w:val="TableHeading"/>
              <w:keepLines/>
              <w:jc w:val="center"/>
              <w:rPr>
                <w:kern w:val="28"/>
              </w:rPr>
            </w:pPr>
            <w:r w:rsidRPr="00C36C8F">
              <w:rPr>
                <w:kern w:val="28"/>
              </w:rPr>
              <w:t>kg per capita</w:t>
            </w:r>
          </w:p>
        </w:tc>
        <w:tc>
          <w:tcPr>
            <w:tcW w:w="1329" w:type="dxa"/>
            <w:tcBorders>
              <w:left w:val="single" w:sz="8" w:space="0" w:color="808080" w:themeColor="background1" w:themeShade="80"/>
              <w:bottom w:val="single" w:sz="4" w:space="0" w:color="808080"/>
            </w:tcBorders>
            <w:vAlign w:val="center"/>
          </w:tcPr>
          <w:p w:rsidR="00903DD9" w:rsidRPr="00C36C8F" w:rsidRDefault="00903DD9" w:rsidP="00B66BA8">
            <w:pPr>
              <w:pStyle w:val="TableHeading"/>
              <w:keepLines/>
              <w:jc w:val="center"/>
              <w:rPr>
                <w:kern w:val="28"/>
              </w:rPr>
            </w:pPr>
            <w:r w:rsidRPr="00C36C8F">
              <w:rPr>
                <w:kern w:val="28"/>
              </w:rPr>
              <w:t>%</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szCs w:val="18"/>
              </w:rPr>
              <w:t>Masonry materials</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A11246">
              <w:rPr>
                <w:rFonts w:cs="Arial"/>
                <w:color w:val="000000"/>
                <w:szCs w:val="18"/>
              </w:rPr>
              <w:t>462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szCs w:val="18"/>
              </w:rPr>
              <w:t>Metals</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A11246">
              <w:rPr>
                <w:rFonts w:cs="Arial"/>
                <w:color w:val="000000"/>
                <w:szCs w:val="18"/>
              </w:rPr>
              <w:t>188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8%</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szCs w:val="18"/>
              </w:rPr>
              <w:t>Organics</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172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szCs w:val="18"/>
              </w:rPr>
              <w:t>Paper &amp; cardboard</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11,100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49</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A11246">
              <w:rPr>
                <w:rFonts w:cs="Arial"/>
                <w:color w:val="000000"/>
                <w:szCs w:val="18"/>
              </w:rPr>
              <w:t>178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23%</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szCs w:val="18"/>
              </w:rPr>
              <w:t>Plastics</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A11246">
              <w:rPr>
                <w:rFonts w:cs="Arial"/>
                <w:color w:val="000000"/>
                <w:szCs w:val="18"/>
              </w:rPr>
              <w:t>800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A11246">
              <w:rPr>
                <w:rFonts w:cs="Arial"/>
                <w:color w:val="000000"/>
                <w:szCs w:val="18"/>
              </w:rPr>
              <w:t>24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3%</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szCs w:val="18"/>
              </w:rPr>
              <w:t>Glass</w:t>
            </w:r>
            <w:r w:rsidRPr="007B1D2C" w:rsidDel="00AB54FD">
              <w:rPr>
                <w:rFonts w:cs="Arial"/>
                <w:szCs w:val="18"/>
              </w:rPr>
              <w:t xml:space="preserve"> </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4,000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18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A11246">
              <w:rPr>
                <w:rFonts w:cs="Arial"/>
                <w:color w:val="000000"/>
                <w:szCs w:val="18"/>
              </w:rPr>
              <w:t>44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36%</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szCs w:val="18"/>
              </w:rPr>
              <w:t>Other</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r w:rsidRPr="007B1D2C">
              <w:rPr>
                <w:rFonts w:cs="Arial"/>
                <w:szCs w:val="18"/>
              </w:rPr>
              <w:t>Leather &amp; textiles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A11246">
              <w:rPr>
                <w:rFonts w:cs="Arial"/>
                <w:color w:val="000000"/>
                <w:szCs w:val="18"/>
              </w:rPr>
              <w:t>3</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r>
      <w:tr w:rsidR="00A11246" w:rsidRPr="007B1D2C" w:rsidTr="00D71ED7">
        <w:tc>
          <w:tcPr>
            <w:tcW w:w="2127" w:type="dxa"/>
          </w:tcPr>
          <w:p w:rsidR="00A11246" w:rsidRPr="007B1D2C" w:rsidRDefault="00A11246" w:rsidP="00B66BA8">
            <w:pPr>
              <w:pStyle w:val="TableText"/>
              <w:keepNext/>
              <w:keepLines/>
              <w:rPr>
                <w:rFonts w:cs="Arial"/>
                <w:szCs w:val="18"/>
              </w:rPr>
            </w:pPr>
          </w:p>
        </w:tc>
        <w:tc>
          <w:tcPr>
            <w:tcW w:w="1984" w:type="dxa"/>
            <w:tcBorders>
              <w:right w:val="single" w:sz="4" w:space="0" w:color="808080"/>
            </w:tcBorders>
          </w:tcPr>
          <w:p w:rsidR="00A11246" w:rsidRPr="007B1D2C" w:rsidRDefault="00A11246" w:rsidP="00B66BA8">
            <w:pPr>
              <w:pStyle w:val="TableText"/>
              <w:keepNext/>
              <w:keepLines/>
              <w:rPr>
                <w:rFonts w:cs="Arial"/>
                <w:szCs w:val="18"/>
              </w:rPr>
            </w:pPr>
            <w:r w:rsidRPr="007B1D2C">
              <w:rPr>
                <w:rFonts w:cs="Arial"/>
                <w:szCs w:val="18"/>
              </w:rPr>
              <w:t>Tyres &amp; other rubber</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2</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r>
      <w:tr w:rsidR="00A11246" w:rsidRPr="007B1D2C" w:rsidTr="00D71ED7">
        <w:tc>
          <w:tcPr>
            <w:tcW w:w="2127" w:type="dxa"/>
            <w:vMerge w:val="restart"/>
          </w:tcPr>
          <w:p w:rsidR="00A11246" w:rsidRPr="007B1D2C" w:rsidRDefault="00A11246" w:rsidP="00B66BA8">
            <w:pPr>
              <w:pStyle w:val="TableText"/>
              <w:keepNext/>
              <w:keepLines/>
              <w:rPr>
                <w:rFonts w:cs="Arial"/>
                <w:szCs w:val="18"/>
              </w:rPr>
            </w:pPr>
            <w:r w:rsidRPr="007B1D2C">
              <w:rPr>
                <w:rFonts w:cs="Arial"/>
                <w:szCs w:val="18"/>
              </w:rPr>
              <w:t>Hazardous</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r w:rsidRPr="007B1D2C">
              <w:rPr>
                <w:rFonts w:cs="Arial"/>
                <w:szCs w:val="18"/>
              </w:rPr>
              <w:t>Quarantine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r>
      <w:tr w:rsidR="00A11246" w:rsidRPr="007B1D2C" w:rsidTr="00D71ED7">
        <w:tc>
          <w:tcPr>
            <w:tcW w:w="2127" w:type="dxa"/>
            <w:vMerge/>
          </w:tcPr>
          <w:p w:rsidR="00A11246" w:rsidRPr="007B1D2C" w:rsidRDefault="00A11246" w:rsidP="00B66BA8">
            <w:pPr>
              <w:pStyle w:val="TableText"/>
              <w:keepNext/>
              <w:keepLines/>
              <w:rPr>
                <w:rFonts w:cs="Arial"/>
                <w:szCs w:val="18"/>
              </w:rPr>
            </w:pPr>
          </w:p>
        </w:tc>
        <w:tc>
          <w:tcPr>
            <w:tcW w:w="1984" w:type="dxa"/>
            <w:tcBorders>
              <w:right w:val="single" w:sz="4" w:space="0" w:color="808080"/>
            </w:tcBorders>
          </w:tcPr>
          <w:p w:rsidR="00A11246" w:rsidRPr="007B1D2C" w:rsidRDefault="00A11246" w:rsidP="00B66BA8">
            <w:pPr>
              <w:pStyle w:val="TableText"/>
              <w:keepNext/>
              <w:keepLines/>
              <w:rPr>
                <w:rFonts w:cs="Arial"/>
                <w:szCs w:val="18"/>
              </w:rPr>
            </w:pPr>
            <w:r w:rsidRPr="007B1D2C">
              <w:rPr>
                <w:rFonts w:cs="Arial"/>
                <w:szCs w:val="18"/>
              </w:rPr>
              <w:t>Contaminated soil</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8</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r>
      <w:tr w:rsidR="00A11246" w:rsidRPr="007B1D2C" w:rsidTr="00D71ED7">
        <w:tc>
          <w:tcPr>
            <w:tcW w:w="2127" w:type="dxa"/>
            <w:vMerge/>
          </w:tcPr>
          <w:p w:rsidR="00A11246" w:rsidRPr="007B1D2C" w:rsidRDefault="00A11246" w:rsidP="00B66BA8">
            <w:pPr>
              <w:pStyle w:val="TableText"/>
              <w:keepNext/>
              <w:keepLines/>
              <w:rPr>
                <w:rFonts w:cs="Arial"/>
                <w:szCs w:val="18"/>
              </w:rPr>
            </w:pPr>
          </w:p>
        </w:tc>
        <w:tc>
          <w:tcPr>
            <w:tcW w:w="1984" w:type="dxa"/>
            <w:tcBorders>
              <w:right w:val="single" w:sz="4" w:space="0" w:color="808080"/>
            </w:tcBorders>
          </w:tcPr>
          <w:p w:rsidR="00A11246" w:rsidRPr="007B1D2C" w:rsidRDefault="00A11246" w:rsidP="00B66BA8">
            <w:pPr>
              <w:pStyle w:val="TableText"/>
              <w:keepNext/>
              <w:keepLines/>
              <w:rPr>
                <w:rFonts w:cs="Arial"/>
                <w:szCs w:val="18"/>
              </w:rPr>
            </w:pPr>
            <w:r w:rsidRPr="007B1D2C">
              <w:rPr>
                <w:rFonts w:cs="Arial"/>
                <w:szCs w:val="18"/>
              </w:rPr>
              <w:t>Industrial waste</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r>
      <w:tr w:rsidR="00A11246" w:rsidRPr="007B1D2C" w:rsidTr="00D71ED7">
        <w:tc>
          <w:tcPr>
            <w:tcW w:w="2127" w:type="dxa"/>
            <w:vMerge/>
          </w:tcPr>
          <w:p w:rsidR="00A11246" w:rsidRPr="007B1D2C" w:rsidRDefault="00A11246" w:rsidP="00B66BA8">
            <w:pPr>
              <w:pStyle w:val="TableText"/>
              <w:keepNext/>
              <w:keepLines/>
              <w:rPr>
                <w:rFonts w:cs="Arial"/>
                <w:szCs w:val="18"/>
              </w:rPr>
            </w:pPr>
          </w:p>
        </w:tc>
        <w:tc>
          <w:tcPr>
            <w:tcW w:w="1984" w:type="dxa"/>
            <w:tcBorders>
              <w:right w:val="single" w:sz="4" w:space="0" w:color="808080"/>
            </w:tcBorders>
          </w:tcPr>
          <w:p w:rsidR="00A11246" w:rsidRPr="007B1D2C" w:rsidRDefault="00A11246" w:rsidP="00B66BA8">
            <w:pPr>
              <w:pStyle w:val="TableText"/>
              <w:keepNext/>
              <w:keepLines/>
              <w:rPr>
                <w:rFonts w:cs="Arial"/>
                <w:szCs w:val="18"/>
              </w:rPr>
            </w:pPr>
            <w:r w:rsidRPr="007B1D2C">
              <w:rPr>
                <w:rFonts w:cs="Arial"/>
                <w:szCs w:val="18"/>
              </w:rPr>
              <w:t>Asbestos</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b/>
                <w:szCs w:val="18"/>
              </w:rPr>
              <w:t>SUBTOTAL</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b/>
                <w:szCs w:val="18"/>
              </w:rPr>
            </w:pPr>
            <w:r w:rsidRPr="000B315F">
              <w:rPr>
                <w:b/>
                <w:color w:val="000000"/>
              </w:rPr>
              <w:t>16,700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b/>
                <w:szCs w:val="18"/>
              </w:rPr>
            </w:pPr>
            <w:r w:rsidRPr="000B315F">
              <w:rPr>
                <w:b/>
                <w:color w:val="000000"/>
              </w:rPr>
              <w:t>74</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b/>
                <w:szCs w:val="18"/>
              </w:rPr>
            </w:pPr>
            <w:r w:rsidRPr="000B315F">
              <w:rPr>
                <w:b/>
                <w:color w:val="000000"/>
              </w:rPr>
              <w:t>1,</w:t>
            </w:r>
            <w:r w:rsidRPr="00A11246">
              <w:rPr>
                <w:rFonts w:cs="Arial"/>
                <w:b/>
                <w:bCs/>
                <w:color w:val="000000"/>
                <w:szCs w:val="18"/>
              </w:rPr>
              <w:t>091</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b/>
                <w:szCs w:val="18"/>
              </w:rPr>
            </w:pPr>
            <w:r w:rsidRPr="000B315F">
              <w:rPr>
                <w:b/>
                <w:color w:val="000000"/>
              </w:rPr>
              <w:t>4%</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szCs w:val="18"/>
              </w:rPr>
              <w:t>Fly ash</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110</w:t>
            </w:r>
          </w:p>
        </w:tc>
        <w:tc>
          <w:tcPr>
            <w:tcW w:w="1329" w:type="dxa"/>
            <w:tcBorders>
              <w:top w:val="single" w:sz="4" w:space="0" w:color="808080"/>
              <w:left w:val="single" w:sz="4" w:space="0" w:color="808080"/>
              <w:bottom w:val="single" w:sz="4"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szCs w:val="18"/>
              </w:rPr>
            </w:pPr>
            <w:r w:rsidRPr="000B315F">
              <w:rPr>
                <w:color w:val="000000"/>
              </w:rPr>
              <w:t>0%</w:t>
            </w:r>
          </w:p>
        </w:tc>
      </w:tr>
      <w:tr w:rsidR="00A11246" w:rsidRPr="007B1D2C" w:rsidTr="00D71ED7">
        <w:tc>
          <w:tcPr>
            <w:tcW w:w="2127" w:type="dxa"/>
          </w:tcPr>
          <w:p w:rsidR="00A11246" w:rsidRPr="007B1D2C" w:rsidRDefault="00A11246" w:rsidP="00B66BA8">
            <w:pPr>
              <w:pStyle w:val="TableText"/>
              <w:keepNext/>
              <w:keepLines/>
              <w:rPr>
                <w:rFonts w:cs="Arial"/>
                <w:szCs w:val="18"/>
              </w:rPr>
            </w:pPr>
            <w:r w:rsidRPr="007B1D2C">
              <w:rPr>
                <w:rFonts w:cs="Arial"/>
                <w:b/>
                <w:szCs w:val="18"/>
              </w:rPr>
              <w:t>TOTAL</w:t>
            </w:r>
          </w:p>
        </w:tc>
        <w:tc>
          <w:tcPr>
            <w:tcW w:w="1984" w:type="dxa"/>
            <w:tcBorders>
              <w:right w:val="single" w:sz="4" w:space="0" w:color="808080"/>
            </w:tcBorders>
          </w:tcPr>
          <w:p w:rsidR="00A11246" w:rsidRPr="007B1D2C" w:rsidRDefault="00A11246" w:rsidP="00B66BA8">
            <w:pPr>
              <w:pStyle w:val="TableText"/>
              <w:keepNext/>
              <w:keepLines/>
              <w:rPr>
                <w:rFonts w:cs="Arial"/>
                <w:szCs w:val="18"/>
              </w:rPr>
            </w:pP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b/>
                <w:szCs w:val="18"/>
              </w:rPr>
            </w:pPr>
            <w:r w:rsidRPr="000B315F">
              <w:rPr>
                <w:b/>
                <w:color w:val="000000"/>
              </w:rPr>
              <w:t>16,700</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b/>
                <w:szCs w:val="18"/>
              </w:rPr>
            </w:pPr>
            <w:r w:rsidRPr="000B315F">
              <w:rPr>
                <w:b/>
                <w:color w:val="000000"/>
              </w:rPr>
              <w:t>74</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b/>
                <w:szCs w:val="18"/>
              </w:rPr>
            </w:pPr>
            <w:r w:rsidRPr="000B315F">
              <w:rPr>
                <w:b/>
                <w:color w:val="000000"/>
              </w:rPr>
              <w:t>1,</w:t>
            </w:r>
            <w:r w:rsidRPr="00A11246">
              <w:rPr>
                <w:rFonts w:cs="Arial"/>
                <w:b/>
                <w:bCs/>
                <w:color w:val="000000"/>
                <w:szCs w:val="18"/>
              </w:rPr>
              <w:t>201</w:t>
            </w:r>
          </w:p>
        </w:tc>
        <w:tc>
          <w:tcPr>
            <w:tcW w:w="1329" w:type="dxa"/>
            <w:tcBorders>
              <w:top w:val="single" w:sz="4" w:space="0" w:color="808080"/>
              <w:left w:val="single" w:sz="4" w:space="0" w:color="808080"/>
              <w:bottom w:val="single" w:sz="18" w:space="0" w:color="808080"/>
              <w:right w:val="single" w:sz="4" w:space="0" w:color="808080"/>
            </w:tcBorders>
            <w:tcMar>
              <w:right w:w="142" w:type="dxa"/>
            </w:tcMar>
            <w:vAlign w:val="center"/>
          </w:tcPr>
          <w:p w:rsidR="00A11246" w:rsidRPr="00A11246" w:rsidRDefault="00A11246" w:rsidP="00B66BA8">
            <w:pPr>
              <w:pStyle w:val="TableText"/>
              <w:keepNext/>
              <w:keepLines/>
              <w:jc w:val="right"/>
              <w:rPr>
                <w:rFonts w:cs="Arial"/>
                <w:b/>
                <w:szCs w:val="18"/>
              </w:rPr>
            </w:pPr>
            <w:r w:rsidRPr="000B315F">
              <w:rPr>
                <w:b/>
                <w:color w:val="000000"/>
              </w:rPr>
              <w:t>4%</w:t>
            </w:r>
          </w:p>
        </w:tc>
      </w:tr>
    </w:tbl>
    <w:p w:rsidR="00903DD9" w:rsidRPr="00C36C8F" w:rsidRDefault="00903DD9" w:rsidP="00903DD9">
      <w:pPr>
        <w:pStyle w:val="ParaIndent"/>
        <w:spacing w:before="12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5C6EA4" w:rsidRPr="00C36C8F" w:rsidRDefault="005C6EA4" w:rsidP="005C6EA4">
      <w:pPr>
        <w:pStyle w:val="ParaIndent"/>
      </w:pPr>
    </w:p>
    <w:p w:rsidR="005C6EA4" w:rsidRPr="00C36C8F" w:rsidRDefault="00B9555F" w:rsidP="00870C8B">
      <w:pPr>
        <w:pStyle w:val="ParaIndent"/>
        <w:keepNext/>
        <w:keepLines/>
        <w:jc w:val="both"/>
      </w:pPr>
      <w:r w:rsidRPr="00C36C8F">
        <w:fldChar w:fldCharType="begin"/>
      </w:r>
      <w:r w:rsidR="005C6EA4" w:rsidRPr="00C36C8F">
        <w:instrText xml:space="preserve"> REF _Ref300773299 \h </w:instrText>
      </w:r>
      <w:r w:rsidRPr="00C36C8F">
        <w:fldChar w:fldCharType="separate"/>
      </w:r>
      <w:r w:rsidR="00AE7E3B" w:rsidRPr="00C36C8F">
        <w:t xml:space="preserve">Table </w:t>
      </w:r>
      <w:r w:rsidR="00AE7E3B">
        <w:rPr>
          <w:noProof/>
        </w:rPr>
        <w:t>4</w:t>
      </w:r>
      <w:r w:rsidR="00AE7E3B" w:rsidRPr="00C36C8F">
        <w:t>-</w:t>
      </w:r>
      <w:r w:rsidR="00AE7E3B">
        <w:rPr>
          <w:noProof/>
        </w:rPr>
        <w:t>44</w:t>
      </w:r>
      <w:r w:rsidRPr="00C36C8F">
        <w:fldChar w:fldCharType="end"/>
      </w:r>
      <w:r w:rsidR="005C6EA4" w:rsidRPr="00C36C8F">
        <w:t xml:space="preserve"> details energy recovery by material type for the Northern Territory. Recovery for the jurisdiction is presented in terms of total tonnes, and the per capita rate. The national average per capita recovery rate is also provided.</w:t>
      </w:r>
    </w:p>
    <w:p w:rsidR="005C6EA4" w:rsidRPr="00C36C8F" w:rsidRDefault="005C6EA4" w:rsidP="005C6EA4">
      <w:pPr>
        <w:pStyle w:val="Caption"/>
        <w:tabs>
          <w:tab w:val="left" w:pos="7275"/>
        </w:tabs>
      </w:pPr>
      <w:bookmarkStart w:id="220" w:name="_Ref300773299"/>
      <w:r w:rsidRPr="00C36C8F">
        <w:t xml:space="preserve">Table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Table \* Arabic </w:instrText>
      </w:r>
      <w:r w:rsidR="00B9555F" w:rsidRPr="00C36C8F">
        <w:fldChar w:fldCharType="separate"/>
      </w:r>
      <w:r w:rsidR="00AE7E3B">
        <w:rPr>
          <w:noProof/>
        </w:rPr>
        <w:t>44</w:t>
      </w:r>
      <w:r w:rsidR="00B9555F" w:rsidRPr="00C36C8F">
        <w:rPr>
          <w:noProof/>
        </w:rPr>
        <w:fldChar w:fldCharType="end"/>
      </w:r>
      <w:bookmarkEnd w:id="220"/>
      <w:r w:rsidRPr="00C36C8F">
        <w:tab/>
        <w:t>NT energy recovery by material, 2008–09</w:t>
      </w:r>
    </w:p>
    <w:tbl>
      <w:tblPr>
        <w:tblW w:w="8098" w:type="dxa"/>
        <w:jc w:val="right"/>
        <w:tblBorders>
          <w:bottom w:val="single" w:sz="18" w:space="0" w:color="808080"/>
          <w:insideH w:val="single" w:sz="4" w:space="0" w:color="808080"/>
        </w:tblBorders>
        <w:tblLayout w:type="fixed"/>
        <w:tblCellMar>
          <w:left w:w="0" w:type="dxa"/>
          <w:right w:w="0" w:type="dxa"/>
        </w:tblCellMar>
        <w:tblLook w:val="01E0"/>
      </w:tblPr>
      <w:tblGrid>
        <w:gridCol w:w="2127"/>
        <w:gridCol w:w="1984"/>
        <w:gridCol w:w="1329"/>
        <w:gridCol w:w="1329"/>
        <w:gridCol w:w="1329"/>
      </w:tblGrid>
      <w:tr w:rsidR="00121C5C" w:rsidRPr="00C36C8F" w:rsidTr="00121C5C">
        <w:trPr>
          <w:jc w:val="right"/>
        </w:trPr>
        <w:tc>
          <w:tcPr>
            <w:tcW w:w="4111" w:type="dxa"/>
            <w:gridSpan w:val="2"/>
            <w:tcBorders>
              <w:right w:val="single" w:sz="4" w:space="0" w:color="808080"/>
            </w:tcBorders>
            <w:shd w:val="clear" w:color="auto" w:fill="auto"/>
            <w:vAlign w:val="center"/>
          </w:tcPr>
          <w:p w:rsidR="00121C5C" w:rsidRPr="00C36C8F" w:rsidRDefault="00121C5C" w:rsidP="00121C5C">
            <w:pPr>
              <w:pStyle w:val="TableHeading"/>
              <w:keepLines/>
              <w:jc w:val="center"/>
              <w:rPr>
                <w:kern w:val="28"/>
              </w:rPr>
            </w:pPr>
          </w:p>
        </w:tc>
        <w:tc>
          <w:tcPr>
            <w:tcW w:w="2658" w:type="dxa"/>
            <w:gridSpan w:val="2"/>
            <w:tcBorders>
              <w:top w:val="nil"/>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5C6EA4" w:rsidP="00121C5C">
            <w:pPr>
              <w:pStyle w:val="TableHeading"/>
              <w:keepLines/>
              <w:jc w:val="center"/>
              <w:rPr>
                <w:kern w:val="28"/>
              </w:rPr>
            </w:pPr>
            <w:r w:rsidRPr="00C36C8F">
              <w:rPr>
                <w:kern w:val="28"/>
              </w:rPr>
              <w:t>NT</w:t>
            </w:r>
            <w:r w:rsidR="00121C5C" w:rsidRPr="00C36C8F">
              <w:rPr>
                <w:kern w:val="28"/>
              </w:rPr>
              <w:t xml:space="preserve"> energy recovery</w:t>
            </w:r>
          </w:p>
        </w:tc>
        <w:tc>
          <w:tcPr>
            <w:tcW w:w="1329" w:type="dxa"/>
            <w:tcBorders>
              <w:top w:val="nil"/>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National average</w:t>
            </w:r>
          </w:p>
        </w:tc>
      </w:tr>
      <w:tr w:rsidR="00121C5C" w:rsidRPr="00C36C8F" w:rsidTr="00121C5C">
        <w:trPr>
          <w:jc w:val="right"/>
        </w:trPr>
        <w:tc>
          <w:tcPr>
            <w:tcW w:w="2127" w:type="dxa"/>
            <w:tcBorders>
              <w:bottom w:val="single" w:sz="4" w:space="0" w:color="808080"/>
              <w:right w:val="nil"/>
            </w:tcBorders>
            <w:shd w:val="clear" w:color="auto" w:fill="auto"/>
          </w:tcPr>
          <w:p w:rsidR="00121C5C" w:rsidRPr="00C36C8F" w:rsidRDefault="00121C5C" w:rsidP="00AB54FD">
            <w:pPr>
              <w:pStyle w:val="TableHeading"/>
              <w:keepLines/>
              <w:jc w:val="center"/>
              <w:rPr>
                <w:kern w:val="28"/>
              </w:rPr>
            </w:pPr>
            <w:r w:rsidRPr="00C36C8F">
              <w:rPr>
                <w:kern w:val="28"/>
              </w:rPr>
              <w:t>M</w:t>
            </w:r>
            <w:r w:rsidR="00AB54FD" w:rsidRPr="00C36C8F">
              <w:rPr>
                <w:kern w:val="28"/>
              </w:rPr>
              <w:t>aterial C</w:t>
            </w:r>
            <w:r w:rsidRPr="00C36C8F">
              <w:rPr>
                <w:kern w:val="28"/>
              </w:rPr>
              <w:t>ategory</w:t>
            </w:r>
          </w:p>
        </w:tc>
        <w:tc>
          <w:tcPr>
            <w:tcW w:w="1984" w:type="dxa"/>
            <w:tcBorders>
              <w:left w:val="nil"/>
              <w:bottom w:val="single" w:sz="4" w:space="0" w:color="808080"/>
              <w:right w:val="single" w:sz="4" w:space="0" w:color="808080"/>
            </w:tcBorders>
            <w:shd w:val="clear" w:color="auto" w:fill="auto"/>
          </w:tcPr>
          <w:p w:rsidR="00121C5C" w:rsidRPr="00C36C8F" w:rsidRDefault="00AB54FD" w:rsidP="00121C5C">
            <w:pPr>
              <w:pStyle w:val="TableHeading"/>
              <w:keepLines/>
              <w:jc w:val="center"/>
              <w:rPr>
                <w:kern w:val="28"/>
              </w:rPr>
            </w:pPr>
            <w:r w:rsidRPr="00C36C8F">
              <w:rPr>
                <w:kern w:val="28"/>
              </w:rPr>
              <w:t>Material Type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tonnes</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c>
          <w:tcPr>
            <w:tcW w:w="1329" w:type="dxa"/>
            <w:tcBorders>
              <w:left w:val="single" w:sz="8" w:space="0" w:color="808080" w:themeColor="background1" w:themeShade="80"/>
              <w:right w:val="single" w:sz="8" w:space="0" w:color="808080" w:themeColor="background1" w:themeShade="80"/>
            </w:tcBorders>
            <w:shd w:val="clear" w:color="auto" w:fill="auto"/>
            <w:vAlign w:val="center"/>
          </w:tcPr>
          <w:p w:rsidR="00121C5C" w:rsidRPr="00C36C8F" w:rsidRDefault="00121C5C" w:rsidP="00121C5C">
            <w:pPr>
              <w:pStyle w:val="TableHeading"/>
              <w:keepLines/>
              <w:jc w:val="center"/>
              <w:rPr>
                <w:kern w:val="28"/>
              </w:rPr>
            </w:pPr>
            <w:r w:rsidRPr="00C36C8F">
              <w:rPr>
                <w:kern w:val="28"/>
              </w:rPr>
              <w:t>kg per capita</w:t>
            </w:r>
          </w:p>
        </w:tc>
      </w:tr>
      <w:tr w:rsidR="005C6EA4" w:rsidRPr="00C36C8F" w:rsidTr="00AA476C">
        <w:trPr>
          <w:jc w:val="right"/>
        </w:trPr>
        <w:tc>
          <w:tcPr>
            <w:tcW w:w="2127" w:type="dxa"/>
            <w:tcBorders>
              <w:top w:val="single" w:sz="4" w:space="0" w:color="808080"/>
              <w:bottom w:val="single" w:sz="4" w:space="0" w:color="808080"/>
              <w:right w:val="nil"/>
            </w:tcBorders>
            <w:shd w:val="clear" w:color="auto" w:fill="auto"/>
            <w:vAlign w:val="center"/>
          </w:tcPr>
          <w:p w:rsidR="005C6EA4" w:rsidRPr="00C36C8F" w:rsidRDefault="005C6EA4" w:rsidP="00121C5C">
            <w:pPr>
              <w:pStyle w:val="TableText"/>
              <w:keepNext/>
              <w:keepLines/>
            </w:pPr>
            <w:r w:rsidRPr="00C36C8F">
              <w:t>Masonry materials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5C6EA4" w:rsidRPr="00C36C8F" w:rsidRDefault="005C6EA4"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r>
      <w:tr w:rsidR="005C6EA4" w:rsidRPr="00C36C8F" w:rsidTr="00AA476C">
        <w:trPr>
          <w:jc w:val="right"/>
        </w:trPr>
        <w:tc>
          <w:tcPr>
            <w:tcW w:w="2127" w:type="dxa"/>
            <w:tcBorders>
              <w:top w:val="single" w:sz="4" w:space="0" w:color="808080"/>
              <w:bottom w:val="single" w:sz="4" w:space="0" w:color="808080"/>
              <w:right w:val="nil"/>
            </w:tcBorders>
            <w:shd w:val="clear" w:color="auto" w:fill="auto"/>
            <w:vAlign w:val="center"/>
          </w:tcPr>
          <w:p w:rsidR="005C6EA4" w:rsidRPr="00C36C8F" w:rsidRDefault="005C6EA4" w:rsidP="00121C5C">
            <w:pPr>
              <w:pStyle w:val="TableText"/>
              <w:keepNext/>
              <w:keepLines/>
            </w:pPr>
            <w:r w:rsidRPr="00C36C8F">
              <w:t>Metals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5C6EA4" w:rsidRPr="00C36C8F" w:rsidRDefault="005C6EA4"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r>
      <w:tr w:rsidR="005C6EA4" w:rsidRPr="00C36C8F" w:rsidTr="00AA476C">
        <w:trPr>
          <w:jc w:val="right"/>
        </w:trPr>
        <w:tc>
          <w:tcPr>
            <w:tcW w:w="2127" w:type="dxa"/>
            <w:tcBorders>
              <w:top w:val="single" w:sz="4" w:space="0" w:color="808080"/>
              <w:bottom w:val="single" w:sz="4" w:space="0" w:color="808080"/>
              <w:right w:val="nil"/>
            </w:tcBorders>
            <w:shd w:val="clear" w:color="auto" w:fill="auto"/>
            <w:vAlign w:val="center"/>
          </w:tcPr>
          <w:p w:rsidR="005C6EA4" w:rsidRPr="00C36C8F" w:rsidRDefault="005C6EA4" w:rsidP="00121C5C">
            <w:pPr>
              <w:pStyle w:val="TableText"/>
              <w:keepNext/>
              <w:keepLines/>
            </w:pPr>
            <w:r w:rsidRPr="00C36C8F">
              <w:t>Organics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5C6EA4" w:rsidRPr="00C36C8F" w:rsidRDefault="005C6EA4"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1,700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8</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15</w:t>
            </w:r>
          </w:p>
        </w:tc>
      </w:tr>
      <w:tr w:rsidR="005C6EA4" w:rsidRPr="00C36C8F" w:rsidTr="00AA476C">
        <w:trPr>
          <w:jc w:val="right"/>
        </w:trPr>
        <w:tc>
          <w:tcPr>
            <w:tcW w:w="2127" w:type="dxa"/>
            <w:tcBorders>
              <w:top w:val="single" w:sz="4" w:space="0" w:color="808080"/>
              <w:bottom w:val="single" w:sz="4" w:space="0" w:color="808080"/>
              <w:right w:val="nil"/>
            </w:tcBorders>
            <w:shd w:val="clear" w:color="auto" w:fill="auto"/>
            <w:vAlign w:val="center"/>
          </w:tcPr>
          <w:p w:rsidR="005C6EA4" w:rsidRPr="00C36C8F" w:rsidRDefault="005C6EA4" w:rsidP="00121C5C">
            <w:pPr>
              <w:pStyle w:val="TableText"/>
              <w:keepNext/>
              <w:keepLines/>
            </w:pPr>
            <w:r w:rsidRPr="00C36C8F">
              <w:t>Paper &amp; cardboard</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5C6EA4" w:rsidRPr="00C36C8F" w:rsidRDefault="005C6EA4"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r>
      <w:tr w:rsidR="005C6EA4" w:rsidRPr="00C36C8F" w:rsidTr="00AA476C">
        <w:trPr>
          <w:jc w:val="right"/>
        </w:trPr>
        <w:tc>
          <w:tcPr>
            <w:tcW w:w="2127" w:type="dxa"/>
            <w:tcBorders>
              <w:top w:val="single" w:sz="4" w:space="0" w:color="808080"/>
              <w:bottom w:val="single" w:sz="4" w:space="0" w:color="808080"/>
              <w:right w:val="nil"/>
            </w:tcBorders>
            <w:shd w:val="clear" w:color="auto" w:fill="auto"/>
            <w:vAlign w:val="center"/>
          </w:tcPr>
          <w:p w:rsidR="005C6EA4" w:rsidRPr="00C36C8F" w:rsidRDefault="005C6EA4" w:rsidP="00121C5C">
            <w:pPr>
              <w:pStyle w:val="TableText"/>
              <w:keepNext/>
              <w:keepLines/>
            </w:pPr>
            <w:r w:rsidRPr="00C36C8F">
              <w:t>Plastics</w:t>
            </w:r>
          </w:p>
        </w:tc>
        <w:tc>
          <w:tcPr>
            <w:tcW w:w="1984" w:type="dxa"/>
            <w:tcBorders>
              <w:top w:val="single" w:sz="4" w:space="0" w:color="808080"/>
              <w:left w:val="nil"/>
              <w:bottom w:val="single" w:sz="4" w:space="0" w:color="808080"/>
              <w:right w:val="single" w:sz="4" w:space="0" w:color="808080"/>
            </w:tcBorders>
            <w:shd w:val="clear" w:color="auto" w:fill="auto"/>
            <w:vAlign w:val="center"/>
          </w:tcPr>
          <w:p w:rsidR="005C6EA4" w:rsidRPr="00C36C8F" w:rsidRDefault="005C6EA4"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r>
      <w:tr w:rsidR="005C6EA4" w:rsidRPr="00C36C8F" w:rsidTr="00AA476C">
        <w:trPr>
          <w:jc w:val="right"/>
        </w:trPr>
        <w:tc>
          <w:tcPr>
            <w:tcW w:w="2127" w:type="dxa"/>
            <w:tcBorders>
              <w:top w:val="single" w:sz="4" w:space="0" w:color="808080"/>
              <w:bottom w:val="single" w:sz="4" w:space="0" w:color="808080"/>
              <w:right w:val="nil"/>
            </w:tcBorders>
            <w:shd w:val="clear" w:color="auto" w:fill="auto"/>
            <w:vAlign w:val="center"/>
          </w:tcPr>
          <w:p w:rsidR="005C6EA4" w:rsidRPr="00C36C8F" w:rsidRDefault="00AB54FD" w:rsidP="00121C5C">
            <w:pPr>
              <w:pStyle w:val="TableText"/>
              <w:keepNext/>
              <w:keepLines/>
            </w:pPr>
            <w:r w:rsidRPr="00C36C8F">
              <w:t>Glass</w:t>
            </w:r>
            <w:r w:rsidRPr="00C36C8F" w:rsidDel="00AB54FD">
              <w:t xml:space="preserve"> </w:t>
            </w:r>
          </w:p>
        </w:tc>
        <w:tc>
          <w:tcPr>
            <w:tcW w:w="1984" w:type="dxa"/>
            <w:tcBorders>
              <w:top w:val="single" w:sz="4" w:space="0" w:color="808080"/>
              <w:left w:val="nil"/>
              <w:bottom w:val="single" w:sz="4" w:space="0" w:color="808080"/>
              <w:right w:val="single" w:sz="4" w:space="0" w:color="808080"/>
            </w:tcBorders>
            <w:vAlign w:val="center"/>
          </w:tcPr>
          <w:p w:rsidR="005C6EA4" w:rsidRPr="00C36C8F" w:rsidRDefault="005C6EA4" w:rsidP="00121C5C">
            <w:pPr>
              <w:pStyle w:val="TableText"/>
              <w:keepNext/>
              <w:keepLines/>
            </w:pP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r>
      <w:tr w:rsidR="00AB54FD" w:rsidRPr="00C36C8F" w:rsidTr="00D93F23">
        <w:trPr>
          <w:jc w:val="right"/>
        </w:trPr>
        <w:tc>
          <w:tcPr>
            <w:tcW w:w="2127" w:type="dxa"/>
            <w:vMerge w:val="restart"/>
            <w:tcBorders>
              <w:top w:val="single" w:sz="4" w:space="0" w:color="808080"/>
              <w:right w:val="nil"/>
            </w:tcBorders>
            <w:shd w:val="clear" w:color="auto" w:fill="auto"/>
            <w:vAlign w:val="center"/>
          </w:tcPr>
          <w:p w:rsidR="00AB54FD" w:rsidRPr="00C36C8F" w:rsidRDefault="00AB54FD" w:rsidP="00121C5C">
            <w:pPr>
              <w:pStyle w:val="TableText"/>
              <w:keepNext/>
              <w:keepLines/>
            </w:pPr>
            <w:r w:rsidRPr="00C36C8F">
              <w:t>Other</w:t>
            </w:r>
          </w:p>
        </w:tc>
        <w:tc>
          <w:tcPr>
            <w:tcW w:w="1984" w:type="dxa"/>
            <w:tcBorders>
              <w:top w:val="single" w:sz="4" w:space="0" w:color="808080"/>
              <w:left w:val="nil"/>
              <w:bottom w:val="single" w:sz="4" w:space="0" w:color="808080"/>
              <w:right w:val="single" w:sz="4" w:space="0" w:color="808080"/>
            </w:tcBorders>
            <w:vAlign w:val="center"/>
          </w:tcPr>
          <w:p w:rsidR="00AB54FD" w:rsidRPr="00C36C8F" w:rsidRDefault="00AB54FD" w:rsidP="00121C5C">
            <w:pPr>
              <w:pStyle w:val="TableText"/>
              <w:keepNext/>
              <w:keepLines/>
            </w:pPr>
            <w:r w:rsidRPr="00C36C8F">
              <w:t>Leather &amp; textiles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AB54FD" w:rsidRPr="00C36C8F" w:rsidRDefault="00AB54F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AB54FD" w:rsidRPr="00C36C8F" w:rsidRDefault="00AB54F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AB54FD" w:rsidRPr="00C36C8F" w:rsidRDefault="00AB54FD" w:rsidP="00121C5C">
            <w:pPr>
              <w:pStyle w:val="TableText"/>
              <w:keepNext/>
              <w:keepLines/>
              <w:jc w:val="right"/>
              <w:rPr>
                <w:rFonts w:cs="Arial"/>
                <w:szCs w:val="18"/>
              </w:rPr>
            </w:pPr>
            <w:r w:rsidRPr="00C36C8F">
              <w:t>0</w:t>
            </w:r>
          </w:p>
        </w:tc>
      </w:tr>
      <w:tr w:rsidR="00AB54FD" w:rsidRPr="00C36C8F" w:rsidTr="00D93F23">
        <w:trPr>
          <w:jc w:val="right"/>
        </w:trPr>
        <w:tc>
          <w:tcPr>
            <w:tcW w:w="2127" w:type="dxa"/>
            <w:vMerge/>
            <w:tcBorders>
              <w:bottom w:val="single" w:sz="4" w:space="0" w:color="808080"/>
              <w:right w:val="nil"/>
            </w:tcBorders>
            <w:shd w:val="clear" w:color="auto" w:fill="auto"/>
            <w:vAlign w:val="center"/>
          </w:tcPr>
          <w:p w:rsidR="00AB54FD" w:rsidRPr="00C36C8F" w:rsidRDefault="00AB54FD"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AB54FD" w:rsidRPr="00C36C8F" w:rsidRDefault="00AB54FD" w:rsidP="00121C5C">
            <w:pPr>
              <w:pStyle w:val="TableText"/>
              <w:keepNext/>
              <w:keepLines/>
            </w:pPr>
            <w:r w:rsidRPr="00C36C8F">
              <w:t>Tyres &amp; other rubber</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AB54FD" w:rsidRPr="00C36C8F" w:rsidRDefault="00AB54F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AB54FD" w:rsidRPr="00C36C8F" w:rsidRDefault="00AB54FD"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AB54FD" w:rsidRPr="00C36C8F" w:rsidRDefault="00AB54FD" w:rsidP="00121C5C">
            <w:pPr>
              <w:pStyle w:val="TableText"/>
              <w:keepNext/>
              <w:keepLines/>
              <w:jc w:val="right"/>
              <w:rPr>
                <w:rFonts w:cs="Arial"/>
                <w:szCs w:val="18"/>
              </w:rPr>
            </w:pPr>
            <w:r w:rsidRPr="00C36C8F">
              <w:t>0</w:t>
            </w:r>
          </w:p>
        </w:tc>
      </w:tr>
      <w:tr w:rsidR="005C6EA4" w:rsidRPr="00C36C8F" w:rsidTr="00AA476C">
        <w:trPr>
          <w:jc w:val="right"/>
        </w:trPr>
        <w:tc>
          <w:tcPr>
            <w:tcW w:w="2127" w:type="dxa"/>
            <w:vMerge w:val="restart"/>
            <w:tcBorders>
              <w:top w:val="single" w:sz="4" w:space="0" w:color="808080"/>
              <w:bottom w:val="single" w:sz="4" w:space="0" w:color="808080"/>
              <w:right w:val="nil"/>
            </w:tcBorders>
            <w:shd w:val="clear" w:color="auto" w:fill="auto"/>
            <w:vAlign w:val="center"/>
          </w:tcPr>
          <w:p w:rsidR="005C6EA4" w:rsidRPr="00C36C8F" w:rsidRDefault="005C6EA4" w:rsidP="00121C5C">
            <w:pPr>
              <w:pStyle w:val="TableText"/>
              <w:keepNext/>
              <w:keepLines/>
            </w:pPr>
            <w:r w:rsidRPr="00C36C8F">
              <w:t>Hazardous</w:t>
            </w:r>
          </w:p>
        </w:tc>
        <w:tc>
          <w:tcPr>
            <w:tcW w:w="1984" w:type="dxa"/>
            <w:tcBorders>
              <w:top w:val="single" w:sz="4" w:space="0" w:color="808080"/>
              <w:left w:val="nil"/>
              <w:bottom w:val="single" w:sz="4" w:space="0" w:color="808080"/>
              <w:right w:val="single" w:sz="4" w:space="0" w:color="808080"/>
            </w:tcBorders>
            <w:vAlign w:val="center"/>
          </w:tcPr>
          <w:p w:rsidR="005C6EA4" w:rsidRPr="00C36C8F" w:rsidRDefault="005C6EA4" w:rsidP="00121C5C">
            <w:pPr>
              <w:pStyle w:val="TableText"/>
              <w:keepNext/>
              <w:keepLines/>
            </w:pPr>
            <w:r w:rsidRPr="00C36C8F">
              <w:t>Quarantine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r>
      <w:tr w:rsidR="005C6EA4" w:rsidRPr="00C36C8F" w:rsidTr="00AA476C">
        <w:trPr>
          <w:jc w:val="right"/>
        </w:trPr>
        <w:tc>
          <w:tcPr>
            <w:tcW w:w="2127" w:type="dxa"/>
            <w:vMerge/>
            <w:tcBorders>
              <w:top w:val="single" w:sz="4" w:space="0" w:color="808080"/>
              <w:bottom w:val="single" w:sz="4" w:space="0" w:color="808080"/>
              <w:right w:val="nil"/>
            </w:tcBorders>
            <w:shd w:val="clear" w:color="auto" w:fill="auto"/>
            <w:vAlign w:val="center"/>
          </w:tcPr>
          <w:p w:rsidR="005C6EA4" w:rsidRPr="00C36C8F" w:rsidRDefault="005C6EA4"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5C6EA4" w:rsidRPr="00C36C8F" w:rsidRDefault="005C6EA4" w:rsidP="00121C5C">
            <w:pPr>
              <w:pStyle w:val="TableText"/>
              <w:keepNext/>
              <w:keepLines/>
            </w:pPr>
            <w:r w:rsidRPr="00C36C8F">
              <w:t>Contaminated soil</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r>
      <w:tr w:rsidR="005C6EA4" w:rsidRPr="00C36C8F" w:rsidTr="00AA476C">
        <w:trPr>
          <w:jc w:val="right"/>
        </w:trPr>
        <w:tc>
          <w:tcPr>
            <w:tcW w:w="2127" w:type="dxa"/>
            <w:vMerge/>
            <w:tcBorders>
              <w:top w:val="single" w:sz="4" w:space="0" w:color="808080"/>
              <w:bottom w:val="single" w:sz="4" w:space="0" w:color="808080"/>
              <w:right w:val="nil"/>
            </w:tcBorders>
            <w:shd w:val="clear" w:color="auto" w:fill="auto"/>
            <w:vAlign w:val="center"/>
          </w:tcPr>
          <w:p w:rsidR="005C6EA4" w:rsidRPr="00C36C8F" w:rsidRDefault="005C6EA4"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5C6EA4" w:rsidRPr="00C36C8F" w:rsidRDefault="005C6EA4" w:rsidP="00121C5C">
            <w:pPr>
              <w:pStyle w:val="TableText"/>
              <w:keepNext/>
              <w:keepLines/>
            </w:pPr>
            <w:r w:rsidRPr="00C36C8F">
              <w:t>Industrial waste</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1</w:t>
            </w:r>
          </w:p>
        </w:tc>
      </w:tr>
      <w:tr w:rsidR="005C6EA4" w:rsidRPr="00C36C8F" w:rsidTr="00AA476C">
        <w:trPr>
          <w:jc w:val="right"/>
        </w:trPr>
        <w:tc>
          <w:tcPr>
            <w:tcW w:w="2127" w:type="dxa"/>
            <w:vMerge/>
            <w:tcBorders>
              <w:top w:val="single" w:sz="4" w:space="0" w:color="808080"/>
              <w:bottom w:val="single" w:sz="4" w:space="0" w:color="808080"/>
              <w:right w:val="nil"/>
            </w:tcBorders>
            <w:shd w:val="clear" w:color="auto" w:fill="auto"/>
            <w:vAlign w:val="center"/>
          </w:tcPr>
          <w:p w:rsidR="005C6EA4" w:rsidRPr="00C36C8F" w:rsidRDefault="005C6EA4" w:rsidP="00121C5C">
            <w:pPr>
              <w:pStyle w:val="TableText"/>
              <w:keepNext/>
              <w:keepLines/>
            </w:pPr>
          </w:p>
        </w:tc>
        <w:tc>
          <w:tcPr>
            <w:tcW w:w="1984" w:type="dxa"/>
            <w:tcBorders>
              <w:top w:val="single" w:sz="4" w:space="0" w:color="808080"/>
              <w:left w:val="nil"/>
              <w:bottom w:val="single" w:sz="4" w:space="0" w:color="808080"/>
              <w:right w:val="single" w:sz="4" w:space="0" w:color="808080"/>
            </w:tcBorders>
            <w:vAlign w:val="center"/>
          </w:tcPr>
          <w:p w:rsidR="005C6EA4" w:rsidRPr="00C36C8F" w:rsidRDefault="005C6EA4" w:rsidP="00121C5C">
            <w:pPr>
              <w:pStyle w:val="TableText"/>
              <w:keepNext/>
              <w:keepLines/>
            </w:pPr>
            <w:r w:rsidRPr="00C36C8F">
              <w:t>Asbestos</w:t>
            </w:r>
          </w:p>
        </w:tc>
        <w:tc>
          <w:tcPr>
            <w:tcW w:w="1329" w:type="dxa"/>
            <w:tcBorders>
              <w:top w:val="single" w:sz="4" w:space="0" w:color="808080"/>
              <w:left w:val="single" w:sz="4"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r>
      <w:tr w:rsidR="005C6EA4" w:rsidRPr="00C36C8F" w:rsidTr="00AA476C">
        <w:trPr>
          <w:jc w:val="right"/>
        </w:trPr>
        <w:tc>
          <w:tcPr>
            <w:tcW w:w="2127" w:type="dxa"/>
            <w:tcBorders>
              <w:top w:val="single" w:sz="4" w:space="0" w:color="808080"/>
              <w:bottom w:val="single" w:sz="18" w:space="0" w:color="808080" w:themeColor="background1" w:themeShade="80"/>
              <w:right w:val="nil"/>
            </w:tcBorders>
            <w:shd w:val="clear" w:color="auto" w:fill="auto"/>
            <w:vAlign w:val="center"/>
          </w:tcPr>
          <w:p w:rsidR="005C6EA4" w:rsidRPr="00C36C8F" w:rsidRDefault="005C6EA4" w:rsidP="00121C5C">
            <w:pPr>
              <w:pStyle w:val="TableText"/>
              <w:keepNext/>
              <w:keepLines/>
            </w:pPr>
            <w:r w:rsidRPr="00C36C8F">
              <w:rPr>
                <w:b/>
              </w:rPr>
              <w:t>SUBTOTAL</w:t>
            </w:r>
          </w:p>
        </w:tc>
        <w:tc>
          <w:tcPr>
            <w:tcW w:w="1984" w:type="dxa"/>
            <w:tcBorders>
              <w:top w:val="single" w:sz="4" w:space="0" w:color="808080"/>
              <w:left w:val="nil"/>
              <w:bottom w:val="single" w:sz="18" w:space="0" w:color="808080" w:themeColor="background1" w:themeShade="80"/>
              <w:right w:val="single" w:sz="4" w:space="0" w:color="808080"/>
            </w:tcBorders>
            <w:shd w:val="clear" w:color="auto" w:fill="auto"/>
            <w:vAlign w:val="center"/>
          </w:tcPr>
          <w:p w:rsidR="005C6EA4" w:rsidRPr="00C36C8F" w:rsidRDefault="005C6EA4" w:rsidP="00121C5C">
            <w:pPr>
              <w:pStyle w:val="TableText"/>
              <w:keepNext/>
              <w:keepLines/>
            </w:pPr>
          </w:p>
        </w:tc>
        <w:tc>
          <w:tcPr>
            <w:tcW w:w="1329" w:type="dxa"/>
            <w:tcBorders>
              <w:top w:val="single" w:sz="4" w:space="0" w:color="808080"/>
              <w:left w:val="single" w:sz="4" w:space="0" w:color="808080"/>
              <w:bottom w:val="single" w:sz="1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b/>
                <w:szCs w:val="18"/>
              </w:rPr>
            </w:pPr>
            <w:r w:rsidRPr="00C36C8F">
              <w:rPr>
                <w:b/>
              </w:rPr>
              <w:t>1,700</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b/>
                <w:szCs w:val="18"/>
              </w:rPr>
            </w:pPr>
            <w:r w:rsidRPr="00C36C8F">
              <w:rPr>
                <w:b/>
              </w:rPr>
              <w:t>8</w:t>
            </w:r>
          </w:p>
        </w:tc>
        <w:tc>
          <w:tcPr>
            <w:tcW w:w="1329" w:type="dxa"/>
            <w:tcBorders>
              <w:top w:val="single" w:sz="4" w:space="0" w:color="8080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b/>
                <w:szCs w:val="18"/>
              </w:rPr>
            </w:pPr>
            <w:r w:rsidRPr="00C36C8F">
              <w:rPr>
                <w:b/>
              </w:rPr>
              <w:t>16</w:t>
            </w:r>
          </w:p>
        </w:tc>
      </w:tr>
      <w:tr w:rsidR="005C6EA4" w:rsidRPr="00C36C8F" w:rsidTr="00AA476C">
        <w:trPr>
          <w:jc w:val="right"/>
        </w:trPr>
        <w:tc>
          <w:tcPr>
            <w:tcW w:w="2127" w:type="dxa"/>
            <w:tcBorders>
              <w:top w:val="single" w:sz="18" w:space="0" w:color="808080" w:themeColor="background1" w:themeShade="80"/>
              <w:bottom w:val="single" w:sz="4" w:space="0" w:color="808080"/>
              <w:right w:val="nil"/>
            </w:tcBorders>
            <w:shd w:val="clear" w:color="auto" w:fill="auto"/>
            <w:vAlign w:val="center"/>
          </w:tcPr>
          <w:p w:rsidR="005C6EA4" w:rsidRPr="00C36C8F" w:rsidRDefault="005C6EA4" w:rsidP="00121C5C">
            <w:pPr>
              <w:pStyle w:val="TableText"/>
              <w:keepNext/>
              <w:keepLines/>
            </w:pPr>
            <w:r w:rsidRPr="00C36C8F">
              <w:t>Fly ash</w:t>
            </w:r>
          </w:p>
        </w:tc>
        <w:tc>
          <w:tcPr>
            <w:tcW w:w="1984" w:type="dxa"/>
            <w:tcBorders>
              <w:top w:val="single" w:sz="18" w:space="0" w:color="808080" w:themeColor="background1" w:themeShade="80"/>
              <w:left w:val="nil"/>
              <w:bottom w:val="single" w:sz="4" w:space="0" w:color="808080"/>
              <w:right w:val="single" w:sz="8" w:space="0" w:color="808080"/>
            </w:tcBorders>
            <w:vAlign w:val="center"/>
          </w:tcPr>
          <w:p w:rsidR="005C6EA4" w:rsidRPr="00C36C8F" w:rsidRDefault="005C6EA4" w:rsidP="00121C5C">
            <w:pPr>
              <w:pStyle w:val="TableText"/>
              <w:keepNext/>
              <w:keepLines/>
            </w:pPr>
          </w:p>
        </w:tc>
        <w:tc>
          <w:tcPr>
            <w:tcW w:w="1329" w:type="dxa"/>
            <w:tcBorders>
              <w:top w:val="single" w:sz="18" w:space="0" w:color="808080" w:themeColor="background1" w:themeShade="80"/>
              <w:left w:val="single" w:sz="8" w:space="0" w:color="8080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c>
          <w:tcPr>
            <w:tcW w:w="1329" w:type="dxa"/>
            <w:tcBorders>
              <w:top w:val="single" w:sz="18" w:space="0" w:color="808080" w:themeColor="background1" w:themeShade="80"/>
              <w:left w:val="single" w:sz="8" w:space="0" w:color="808080" w:themeColor="background1" w:themeShade="80"/>
              <w:bottom w:val="single" w:sz="4" w:space="0" w:color="8080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szCs w:val="18"/>
              </w:rPr>
            </w:pPr>
            <w:r w:rsidRPr="00C36C8F">
              <w:t>0</w:t>
            </w:r>
          </w:p>
        </w:tc>
      </w:tr>
      <w:tr w:rsidR="005C6EA4" w:rsidRPr="00C36C8F" w:rsidTr="00AA476C">
        <w:trPr>
          <w:jc w:val="right"/>
        </w:trPr>
        <w:tc>
          <w:tcPr>
            <w:tcW w:w="2127" w:type="dxa"/>
            <w:tcBorders>
              <w:top w:val="single" w:sz="4" w:space="0" w:color="808080"/>
              <w:bottom w:val="single" w:sz="18" w:space="0" w:color="7F7F7F" w:themeColor="text1" w:themeTint="80"/>
              <w:right w:val="nil"/>
            </w:tcBorders>
            <w:shd w:val="clear" w:color="auto" w:fill="auto"/>
            <w:vAlign w:val="center"/>
          </w:tcPr>
          <w:p w:rsidR="005C6EA4" w:rsidRPr="00C36C8F" w:rsidRDefault="005C6EA4" w:rsidP="00121C5C">
            <w:pPr>
              <w:pStyle w:val="TableText"/>
              <w:keepNext/>
              <w:keepLines/>
            </w:pPr>
            <w:r w:rsidRPr="00C36C8F">
              <w:rPr>
                <w:b/>
              </w:rPr>
              <w:t>TOTAL</w:t>
            </w:r>
          </w:p>
        </w:tc>
        <w:tc>
          <w:tcPr>
            <w:tcW w:w="1984" w:type="dxa"/>
            <w:tcBorders>
              <w:top w:val="single" w:sz="4" w:space="0" w:color="808080"/>
              <w:left w:val="nil"/>
              <w:bottom w:val="single" w:sz="18" w:space="0" w:color="7F7F7F" w:themeColor="text1" w:themeTint="80"/>
              <w:right w:val="single" w:sz="8" w:space="0" w:color="808080"/>
            </w:tcBorders>
            <w:shd w:val="clear" w:color="auto" w:fill="auto"/>
            <w:vAlign w:val="center"/>
          </w:tcPr>
          <w:p w:rsidR="005C6EA4" w:rsidRPr="00C36C8F" w:rsidRDefault="005C6EA4" w:rsidP="00121C5C">
            <w:pPr>
              <w:pStyle w:val="TableText"/>
              <w:keepNext/>
              <w:keepLines/>
            </w:pPr>
          </w:p>
        </w:tc>
        <w:tc>
          <w:tcPr>
            <w:tcW w:w="1329" w:type="dxa"/>
            <w:tcBorders>
              <w:top w:val="single" w:sz="4" w:space="0" w:color="808080"/>
              <w:left w:val="single" w:sz="8" w:space="0" w:color="808080"/>
              <w:bottom w:val="single" w:sz="18" w:space="0" w:color="7F7F7F" w:themeColor="text1" w:themeTint="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b/>
                <w:szCs w:val="18"/>
              </w:rPr>
            </w:pPr>
            <w:r w:rsidRPr="00C36C8F">
              <w:rPr>
                <w:b/>
              </w:rPr>
              <w:t>1,700</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b/>
                <w:szCs w:val="18"/>
              </w:rPr>
            </w:pPr>
            <w:r w:rsidRPr="00C36C8F">
              <w:rPr>
                <w:b/>
              </w:rPr>
              <w:t>8</w:t>
            </w:r>
          </w:p>
        </w:tc>
        <w:tc>
          <w:tcPr>
            <w:tcW w:w="1329" w:type="dxa"/>
            <w:tcBorders>
              <w:top w:val="single" w:sz="4" w:space="0" w:color="808080"/>
              <w:left w:val="single" w:sz="8" w:space="0" w:color="808080" w:themeColor="background1" w:themeShade="80"/>
              <w:bottom w:val="single" w:sz="18" w:space="0" w:color="7F7F7F" w:themeColor="text1" w:themeTint="80"/>
              <w:right w:val="single" w:sz="8" w:space="0" w:color="808080" w:themeColor="background1" w:themeShade="80"/>
            </w:tcBorders>
            <w:shd w:val="clear" w:color="auto" w:fill="auto"/>
            <w:tcMar>
              <w:right w:w="142" w:type="dxa"/>
            </w:tcMar>
          </w:tcPr>
          <w:p w:rsidR="005C6EA4" w:rsidRPr="00C36C8F" w:rsidRDefault="005C6EA4" w:rsidP="00121C5C">
            <w:pPr>
              <w:pStyle w:val="TableText"/>
              <w:keepNext/>
              <w:keepLines/>
              <w:jc w:val="right"/>
              <w:rPr>
                <w:rFonts w:cs="Arial"/>
                <w:b/>
                <w:szCs w:val="18"/>
              </w:rPr>
            </w:pPr>
            <w:r w:rsidRPr="00C36C8F">
              <w:rPr>
                <w:b/>
              </w:rPr>
              <w:t>16</w:t>
            </w:r>
          </w:p>
        </w:tc>
      </w:tr>
    </w:tbl>
    <w:p w:rsidR="00121C5C" w:rsidRPr="00C36C8F" w:rsidRDefault="00121C5C" w:rsidP="00121C5C">
      <w:pPr>
        <w:pStyle w:val="ParaIndent"/>
        <w:spacing w:before="120"/>
        <w:ind w:left="1560"/>
        <w:rPr>
          <w:sz w:val="16"/>
          <w:szCs w:val="16"/>
        </w:rPr>
      </w:pPr>
      <w:r w:rsidRPr="00C36C8F">
        <w:rPr>
          <w:sz w:val="16"/>
          <w:szCs w:val="16"/>
        </w:rPr>
        <w:t>Tonnage values have been rounded. Minor discrepancies may occur between the stated totals and the sums of the component items, as totals are calculated using the component item values prior to rounding.</w:t>
      </w:r>
    </w:p>
    <w:p w:rsidR="0009088A" w:rsidRPr="00C36C8F" w:rsidRDefault="0009088A" w:rsidP="00A61455">
      <w:pPr>
        <w:pStyle w:val="ParaIndent"/>
      </w:pPr>
    </w:p>
    <w:p w:rsidR="0009088A" w:rsidRPr="00C36C8F" w:rsidRDefault="00B9555F" w:rsidP="00E55023">
      <w:pPr>
        <w:pStyle w:val="ParaIndent"/>
        <w:keepNext/>
        <w:jc w:val="both"/>
      </w:pPr>
      <w:r w:rsidRPr="00C36C8F">
        <w:fldChar w:fldCharType="begin"/>
      </w:r>
      <w:r w:rsidR="005C6EA4" w:rsidRPr="00C36C8F">
        <w:instrText xml:space="preserve"> REF _Ref300773405 \h </w:instrText>
      </w:r>
      <w:r w:rsidRPr="00C36C8F">
        <w:fldChar w:fldCharType="separate"/>
      </w:r>
      <w:r w:rsidR="00AE7E3B" w:rsidRPr="00C36C8F">
        <w:t xml:space="preserve">Figure </w:t>
      </w:r>
      <w:r w:rsidR="00AE7E3B">
        <w:rPr>
          <w:noProof/>
        </w:rPr>
        <w:t>4</w:t>
      </w:r>
      <w:r w:rsidR="00AE7E3B" w:rsidRPr="00C36C8F">
        <w:t>-</w:t>
      </w:r>
      <w:r w:rsidR="00AE7E3B">
        <w:rPr>
          <w:noProof/>
        </w:rPr>
        <w:t>26</w:t>
      </w:r>
      <w:r w:rsidRPr="00C36C8F">
        <w:fldChar w:fldCharType="end"/>
      </w:r>
      <w:r w:rsidR="005C6EA4" w:rsidRPr="00C36C8F">
        <w:t xml:space="preserve"> </w:t>
      </w:r>
      <w:r w:rsidR="0009088A" w:rsidRPr="00C36C8F">
        <w:t>charts waste disposal, recycling and energy recovery, by source sector for the Northern Territory.</w:t>
      </w:r>
      <w:r w:rsidR="006F4D38" w:rsidRPr="00C36C8F">
        <w:t xml:space="preserve"> Insufficient data was available to provide separate estimates for the C&amp;I and C&amp;D waste streams.</w:t>
      </w:r>
    </w:p>
    <w:tbl>
      <w:tblPr>
        <w:tblW w:w="0" w:type="auto"/>
        <w:tblInd w:w="1134" w:type="dxa"/>
        <w:tblLayout w:type="fixed"/>
        <w:tblCellMar>
          <w:left w:w="0" w:type="dxa"/>
          <w:right w:w="0" w:type="dxa"/>
        </w:tblCellMar>
        <w:tblLook w:val="0000"/>
      </w:tblPr>
      <w:tblGrid>
        <w:gridCol w:w="8505"/>
      </w:tblGrid>
      <w:tr w:rsidR="006F6D79" w:rsidRPr="00C36C8F" w:rsidTr="006F6D79">
        <w:trPr>
          <w:cantSplit/>
          <w:trHeight w:val="3486"/>
        </w:trPr>
        <w:tc>
          <w:tcPr>
            <w:tcW w:w="8505" w:type="dxa"/>
          </w:tcPr>
          <w:p w:rsidR="006F6D79" w:rsidRPr="00C36C8F" w:rsidRDefault="00A11246" w:rsidP="006F6D79">
            <w:pPr>
              <w:pStyle w:val="ParaIndent"/>
              <w:spacing w:before="120"/>
              <w:ind w:left="0"/>
            </w:pPr>
            <w:r>
              <w:rPr>
                <w:noProof/>
                <w:lang w:eastAsia="en-AU"/>
              </w:rPr>
              <w:drawing>
                <wp:inline distT="0" distB="0" distL="0" distR="0">
                  <wp:extent cx="1695449" cy="2871789"/>
                  <wp:effectExtent l="0" t="0" r="635" b="508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eastAsia="en-AU"/>
              </w:rPr>
              <w:drawing>
                <wp:inline distT="0" distB="0" distL="0" distR="0">
                  <wp:extent cx="1733550" cy="2905126"/>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6F6D79" w:rsidRPr="00C36C8F" w:rsidTr="006F6D79">
        <w:trPr>
          <w:cantSplit/>
        </w:trPr>
        <w:tc>
          <w:tcPr>
            <w:tcW w:w="8505" w:type="dxa"/>
          </w:tcPr>
          <w:p w:rsidR="006F6D79" w:rsidRPr="00C36C8F" w:rsidRDefault="006F6D79" w:rsidP="006F6D79">
            <w:pPr>
              <w:pStyle w:val="Caption"/>
              <w:tabs>
                <w:tab w:val="left" w:pos="7275"/>
              </w:tabs>
            </w:pPr>
            <w:bookmarkStart w:id="221" w:name="_Ref300773405"/>
            <w:r w:rsidRPr="00C36C8F">
              <w:t xml:space="preserve">Figure </w:t>
            </w:r>
            <w:r w:rsidR="00B9555F" w:rsidRPr="00C36C8F">
              <w:fldChar w:fldCharType="begin"/>
            </w:r>
            <w:r w:rsidRPr="00C36C8F">
              <w:instrText xml:space="preserve"> STYLEREF "_Heading1" \n </w:instrText>
            </w:r>
            <w:r w:rsidR="00B9555F" w:rsidRPr="00C36C8F">
              <w:fldChar w:fldCharType="separate"/>
            </w:r>
            <w:r w:rsidR="00AE7E3B">
              <w:rPr>
                <w:noProof/>
              </w:rPr>
              <w:t>4</w:t>
            </w:r>
            <w:r w:rsidR="00B9555F" w:rsidRPr="00C36C8F">
              <w:rPr>
                <w:noProof/>
              </w:rPr>
              <w:fldChar w:fldCharType="end"/>
            </w:r>
            <w:r w:rsidRPr="00C36C8F">
              <w:t>-</w:t>
            </w:r>
            <w:r w:rsidR="00B9555F" w:rsidRPr="00C36C8F">
              <w:fldChar w:fldCharType="begin"/>
            </w:r>
            <w:r w:rsidRPr="00C36C8F">
              <w:instrText xml:space="preserve"> SEQ Figure \* Arabic </w:instrText>
            </w:r>
            <w:r w:rsidR="00B9555F" w:rsidRPr="00C36C8F">
              <w:fldChar w:fldCharType="separate"/>
            </w:r>
            <w:r w:rsidR="00AE7E3B">
              <w:rPr>
                <w:noProof/>
              </w:rPr>
              <w:t>26</w:t>
            </w:r>
            <w:r w:rsidR="00B9555F" w:rsidRPr="00C36C8F">
              <w:rPr>
                <w:noProof/>
              </w:rPr>
              <w:fldChar w:fldCharType="end"/>
            </w:r>
            <w:bookmarkEnd w:id="221"/>
            <w:r w:rsidRPr="00C36C8F">
              <w:tab/>
            </w:r>
            <w:r w:rsidR="005C6EA4" w:rsidRPr="00C36C8F">
              <w:t>NT</w:t>
            </w:r>
            <w:r w:rsidRPr="00C36C8F">
              <w:t xml:space="preserve"> waste disposal, recycling and energy recovery, by source sector 2008–09</w:t>
            </w:r>
            <w:r w:rsidR="00C16F94">
              <w:t xml:space="preserve"> subtotals</w:t>
            </w:r>
            <w:r w:rsidR="00AB1315" w:rsidRPr="00C36C8F">
              <w:t>. Units in ‘000 tonnes.</w:t>
            </w:r>
          </w:p>
        </w:tc>
      </w:tr>
    </w:tbl>
    <w:p w:rsidR="0009088A" w:rsidRPr="00C36C8F" w:rsidRDefault="0009088A" w:rsidP="00A61455">
      <w:pPr>
        <w:pStyle w:val="ParaIndent"/>
      </w:pPr>
    </w:p>
    <w:p w:rsidR="00A61455" w:rsidRPr="00C36C8F" w:rsidRDefault="00A61455" w:rsidP="00A61455">
      <w:pPr>
        <w:pStyle w:val="ParaIndent"/>
      </w:pPr>
      <w:r w:rsidRPr="00C36C8F">
        <w:br w:type="page"/>
      </w:r>
    </w:p>
    <w:p w:rsidR="00D14763" w:rsidRPr="00C36C8F" w:rsidRDefault="00D14763" w:rsidP="00D14763">
      <w:pPr>
        <w:pStyle w:val="Heading1"/>
        <w:rPr>
          <w:caps w:val="0"/>
          <w:noProof/>
        </w:rPr>
      </w:pPr>
      <w:bookmarkStart w:id="222" w:name="_Ref295214620"/>
      <w:bookmarkStart w:id="223" w:name="_Toc325020113"/>
      <w:bookmarkStart w:id="224" w:name="_Toc305049761"/>
      <w:bookmarkStart w:id="225" w:name="_Ref238579133"/>
      <w:bookmarkStart w:id="226" w:name="_Ref238581431"/>
      <w:bookmarkStart w:id="227" w:name="_Ref238581443"/>
      <w:bookmarkStart w:id="228" w:name="_Toc239045470"/>
      <w:r w:rsidRPr="00C36C8F">
        <w:rPr>
          <w:caps w:val="0"/>
          <w:noProof/>
        </w:rPr>
        <w:t>ENVIRONMENTAL ASSESSMENT</w:t>
      </w:r>
      <w:bookmarkEnd w:id="222"/>
      <w:bookmarkEnd w:id="223"/>
      <w:bookmarkEnd w:id="224"/>
    </w:p>
    <w:p w:rsidR="00AA476C" w:rsidRPr="00C36C8F" w:rsidRDefault="00880B74" w:rsidP="00E55023">
      <w:pPr>
        <w:ind w:left="1134"/>
        <w:jc w:val="both"/>
      </w:pPr>
      <w:r w:rsidRPr="00C36C8F">
        <w:t>This section provides an overview of the major environmental impacts and considerations associated with the disposal of solid waste to landfill, the recovery of energy from solid waste and the recycling of solid waste.</w:t>
      </w:r>
      <w:r w:rsidR="00363A68" w:rsidRPr="00C36C8F">
        <w:t xml:space="preserve"> </w:t>
      </w:r>
      <w:r w:rsidR="00AA476C" w:rsidRPr="00C36C8F">
        <w:t>This</w:t>
      </w:r>
      <w:r w:rsidR="00363A68" w:rsidRPr="00C36C8F">
        <w:t xml:space="preserve"> section of the report is an update from that provided in</w:t>
      </w:r>
      <w:r w:rsidR="00AA476C" w:rsidRPr="00C36C8F">
        <w:t xml:space="preserve"> the 2009 report.</w:t>
      </w:r>
    </w:p>
    <w:p w:rsidR="00E141E2" w:rsidRPr="00C36C8F" w:rsidRDefault="00363A68" w:rsidP="00E55023">
      <w:pPr>
        <w:pStyle w:val="ParaIndent"/>
        <w:jc w:val="both"/>
      </w:pPr>
      <w:r w:rsidRPr="00C36C8F">
        <w:t xml:space="preserve">The </w:t>
      </w:r>
      <w:r w:rsidR="00A73810" w:rsidRPr="00C36C8F">
        <w:t>m</w:t>
      </w:r>
      <w:r w:rsidR="00E141E2" w:rsidRPr="00C36C8F">
        <w:t>ethod report noted that:</w:t>
      </w:r>
    </w:p>
    <w:p w:rsidR="00E141E2" w:rsidRPr="00C36C8F" w:rsidRDefault="00656F5A" w:rsidP="00E55023">
      <w:pPr>
        <w:pStyle w:val="ParaIndent"/>
        <w:ind w:left="1701"/>
        <w:jc w:val="both"/>
        <w:rPr>
          <w:sz w:val="18"/>
          <w:szCs w:val="18"/>
        </w:rPr>
      </w:pPr>
      <w:r w:rsidRPr="00C36C8F">
        <w:rPr>
          <w:sz w:val="18"/>
          <w:szCs w:val="18"/>
        </w:rPr>
        <w:t>...</w:t>
      </w:r>
      <w:r w:rsidR="00E141E2" w:rsidRPr="00C36C8F">
        <w:rPr>
          <w:sz w:val="18"/>
          <w:szCs w:val="18"/>
        </w:rPr>
        <w:t xml:space="preserve">mass alone does not provide a complete representation of the relative benefits of recycling or disposing </w:t>
      </w:r>
      <w:r w:rsidR="006A1B32" w:rsidRPr="00C36C8F">
        <w:rPr>
          <w:sz w:val="18"/>
          <w:szCs w:val="18"/>
        </w:rPr>
        <w:t xml:space="preserve">of </w:t>
      </w:r>
      <w:r w:rsidR="00E141E2" w:rsidRPr="00C36C8F">
        <w:rPr>
          <w:sz w:val="18"/>
          <w:szCs w:val="18"/>
        </w:rPr>
        <w:t>collected materials.</w:t>
      </w:r>
    </w:p>
    <w:p w:rsidR="00880B74" w:rsidRPr="00C36C8F" w:rsidRDefault="00880B74" w:rsidP="00E55023">
      <w:pPr>
        <w:pStyle w:val="ParaIndent"/>
        <w:jc w:val="both"/>
      </w:pPr>
      <w:r w:rsidRPr="00C36C8F">
        <w:t>The method report also noted that:</w:t>
      </w:r>
    </w:p>
    <w:p w:rsidR="00E141E2" w:rsidRPr="00C36C8F" w:rsidRDefault="00E141E2" w:rsidP="00E55023">
      <w:pPr>
        <w:pStyle w:val="ParaIndent"/>
        <w:ind w:left="1701"/>
        <w:jc w:val="both"/>
        <w:rPr>
          <w:sz w:val="18"/>
          <w:szCs w:val="18"/>
        </w:rPr>
      </w:pPr>
      <w:r w:rsidRPr="00C36C8F">
        <w:rPr>
          <w:sz w:val="18"/>
          <w:szCs w:val="18"/>
        </w:rPr>
        <w:t>The full life cycle impacts of the disposal of materials require</w:t>
      </w:r>
      <w:r w:rsidR="006A1B32" w:rsidRPr="00C36C8F">
        <w:rPr>
          <w:sz w:val="18"/>
          <w:szCs w:val="18"/>
        </w:rPr>
        <w:t>s</w:t>
      </w:r>
      <w:r w:rsidRPr="00C36C8F">
        <w:rPr>
          <w:sz w:val="18"/>
          <w:szCs w:val="18"/>
        </w:rPr>
        <w:t xml:space="preserve"> a more detailed analysis of the embodied resources with a material, the relative benefits of recovering these resources, and any pollution or toxic impact associated with the extraction or recycling of a material. The availability of a raw material is also important to understanding the full benefits of recycling, recovering energy from, or disposal of that material. </w:t>
      </w:r>
    </w:p>
    <w:p w:rsidR="00E141E2" w:rsidRPr="00C36C8F" w:rsidRDefault="00164D8E" w:rsidP="00E55023">
      <w:pPr>
        <w:pStyle w:val="ParaIndent"/>
        <w:jc w:val="both"/>
      </w:pPr>
      <w:r w:rsidRPr="00C36C8F">
        <w:t xml:space="preserve">This section also provides a preliminary assessment </w:t>
      </w:r>
      <w:r w:rsidR="00FE3FE2" w:rsidRPr="00C36C8F">
        <w:t>and quantification of the environmental impacts</w:t>
      </w:r>
      <w:r w:rsidRPr="00C36C8F">
        <w:t xml:space="preserve"> associated with the different disposal routes for solid waste. This assessment is limited in its </w:t>
      </w:r>
      <w:r w:rsidR="00880B74" w:rsidRPr="00C36C8F">
        <w:t>scope</w:t>
      </w:r>
      <w:r w:rsidRPr="00C36C8F">
        <w:t xml:space="preserve"> and precision. Howe</w:t>
      </w:r>
      <w:r w:rsidR="00880B74" w:rsidRPr="00C36C8F">
        <w:t>ver, it does provide a context for the data reported in</w:t>
      </w:r>
      <w:r w:rsidR="00363A68" w:rsidRPr="00C36C8F">
        <w:t xml:space="preserve"> Section</w:t>
      </w:r>
      <w:r w:rsidR="00880B74" w:rsidRPr="00C36C8F">
        <w:t xml:space="preserve"> </w:t>
      </w:r>
      <w:fldSimple w:instr=" REF _Ref295214600 \r \h  \* MERGEFORMAT ">
        <w:r w:rsidR="00AE7E3B">
          <w:t>4</w:t>
        </w:r>
      </w:fldSimple>
      <w:r w:rsidR="00880B74" w:rsidRPr="00C36C8F">
        <w:t xml:space="preserve"> and the environmental significance of solid waste recycling, recovery and landfilling.</w:t>
      </w:r>
    </w:p>
    <w:p w:rsidR="00D14763" w:rsidRPr="00C36C8F" w:rsidRDefault="00D14763" w:rsidP="00D14763">
      <w:pPr>
        <w:pStyle w:val="Heading2"/>
      </w:pPr>
      <w:bookmarkStart w:id="229" w:name="_Toc325020114"/>
      <w:bookmarkStart w:id="230" w:name="_Toc305049762"/>
      <w:r w:rsidRPr="00C36C8F">
        <w:t>Environmental assessment of landfilling</w:t>
      </w:r>
      <w:bookmarkEnd w:id="229"/>
      <w:bookmarkEnd w:id="230"/>
      <w:r w:rsidRPr="00C36C8F">
        <w:t xml:space="preserve"> </w:t>
      </w:r>
    </w:p>
    <w:p w:rsidR="00D14763" w:rsidRPr="00C36C8F" w:rsidRDefault="00D14763" w:rsidP="00E55023">
      <w:pPr>
        <w:pStyle w:val="ParaIndent"/>
        <w:jc w:val="both"/>
      </w:pPr>
      <w:r w:rsidRPr="00C36C8F">
        <w:t>In Australia, the legal disposal of solid waste is nearly all to landfill, with a small percentage of solid waste being illegal</w:t>
      </w:r>
      <w:r w:rsidR="006A1B32" w:rsidRPr="00C36C8F">
        <w:t>ly</w:t>
      </w:r>
      <w:r w:rsidRPr="00C36C8F">
        <w:t xml:space="preserve"> dumped. This section of the report discusses landfill typ</w:t>
      </w:r>
      <w:r w:rsidR="00363A68" w:rsidRPr="00C36C8F">
        <w:t>es, numbers, emissions types,</w:t>
      </w:r>
      <w:r w:rsidRPr="00C36C8F">
        <w:t xml:space="preserve"> and how they are managed.</w:t>
      </w:r>
    </w:p>
    <w:p w:rsidR="00D14763" w:rsidRPr="00C36C8F" w:rsidRDefault="00D14763" w:rsidP="00E55023">
      <w:pPr>
        <w:pStyle w:val="Heading40"/>
        <w:spacing w:before="0"/>
      </w:pPr>
      <w:r w:rsidRPr="00C36C8F">
        <w:t>Types of landfill</w:t>
      </w:r>
    </w:p>
    <w:p w:rsidR="00D14763" w:rsidRPr="00C36C8F" w:rsidRDefault="00D14763" w:rsidP="00E55023">
      <w:pPr>
        <w:pStyle w:val="ParaIndent"/>
        <w:jc w:val="both"/>
        <w:rPr>
          <w:highlight w:val="yellow"/>
        </w:rPr>
      </w:pPr>
      <w:r w:rsidRPr="00C36C8F">
        <w:t xml:space="preserve">Most landfills are regulated by the various state environmental agencies and can generally be classified into three categories: hazardous, putrescible and inert. There are a few specialist hazardous waste sites, but most hazardous waste is sent to high-quality engineered putrescible sites. Waste sites and their inputs are categorised in </w:t>
      </w:r>
      <w:fldSimple w:instr=" REF _Ref284585689 \h  \* MERGEFORMAT ">
        <w:r w:rsidR="00AE7E3B" w:rsidRPr="00C36C8F">
          <w:t xml:space="preserve">Table </w:t>
        </w:r>
        <w:r w:rsidR="00AE7E3B">
          <w:rPr>
            <w:noProof/>
          </w:rPr>
          <w:t>5</w:t>
        </w:r>
        <w:r w:rsidR="00AE7E3B" w:rsidRPr="00C36C8F">
          <w:rPr>
            <w:noProof/>
          </w:rPr>
          <w:t>-</w:t>
        </w:r>
        <w:r w:rsidR="00AE7E3B">
          <w:rPr>
            <w:noProof/>
          </w:rPr>
          <w:t>45</w:t>
        </w:r>
      </w:fldSimple>
      <w:r w:rsidRPr="00C36C8F">
        <w:t>.</w:t>
      </w:r>
    </w:p>
    <w:p w:rsidR="00D14763" w:rsidRPr="00C36C8F" w:rsidRDefault="00D14763" w:rsidP="00D14763">
      <w:pPr>
        <w:pStyle w:val="Caption"/>
      </w:pPr>
      <w:bookmarkStart w:id="231" w:name="_Ref284585689"/>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5</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45</w:t>
      </w:r>
      <w:r w:rsidR="00B9555F" w:rsidRPr="00C36C8F">
        <w:rPr>
          <w:noProof/>
        </w:rPr>
        <w:fldChar w:fldCharType="end"/>
      </w:r>
      <w:bookmarkEnd w:id="231"/>
      <w:r w:rsidRPr="00C36C8F">
        <w:tab/>
        <w:t>Landfill types and wastes received</w:t>
      </w:r>
    </w:p>
    <w:tbl>
      <w:tblPr>
        <w:tblW w:w="8647" w:type="dxa"/>
        <w:tblInd w:w="1190" w:type="dxa"/>
        <w:tblBorders>
          <w:bottom w:val="single" w:sz="18" w:space="0" w:color="808080"/>
          <w:insideH w:val="single" w:sz="4" w:space="0" w:color="808080"/>
        </w:tblBorders>
        <w:tblLayout w:type="fixed"/>
        <w:tblCellMar>
          <w:left w:w="0" w:type="dxa"/>
          <w:right w:w="0" w:type="dxa"/>
        </w:tblCellMar>
        <w:tblLook w:val="0000"/>
      </w:tblPr>
      <w:tblGrid>
        <w:gridCol w:w="1560"/>
        <w:gridCol w:w="7087"/>
      </w:tblGrid>
      <w:tr w:rsidR="00D14763" w:rsidRPr="00C36C8F" w:rsidTr="00BE69D2">
        <w:tc>
          <w:tcPr>
            <w:tcW w:w="1560" w:type="dxa"/>
            <w:shd w:val="clear" w:color="auto" w:fill="auto"/>
          </w:tcPr>
          <w:p w:rsidR="00D14763" w:rsidRPr="00C36C8F" w:rsidRDefault="00D14763" w:rsidP="00BE69D2">
            <w:pPr>
              <w:pStyle w:val="TableHeading"/>
            </w:pPr>
            <w:r w:rsidRPr="00C36C8F">
              <w:t>Landfill type</w:t>
            </w:r>
          </w:p>
        </w:tc>
        <w:tc>
          <w:tcPr>
            <w:tcW w:w="7087" w:type="dxa"/>
            <w:shd w:val="clear" w:color="auto" w:fill="auto"/>
          </w:tcPr>
          <w:p w:rsidR="00D14763" w:rsidRPr="00C36C8F" w:rsidRDefault="00D14763" w:rsidP="00BE69D2">
            <w:pPr>
              <w:pStyle w:val="TableHeading"/>
            </w:pPr>
            <w:r w:rsidRPr="00C36C8F">
              <w:t>Waste types received</w:t>
            </w:r>
          </w:p>
        </w:tc>
      </w:tr>
      <w:tr w:rsidR="00D14763" w:rsidRPr="00C36C8F" w:rsidTr="00BE69D2">
        <w:tc>
          <w:tcPr>
            <w:tcW w:w="1560" w:type="dxa"/>
          </w:tcPr>
          <w:p w:rsidR="00D14763" w:rsidRPr="00C36C8F" w:rsidRDefault="00D14763" w:rsidP="00BE69D2">
            <w:pPr>
              <w:pStyle w:val="TableText"/>
              <w:keepNext/>
            </w:pPr>
            <w:r w:rsidRPr="00C36C8F">
              <w:t>Hazardous</w:t>
            </w:r>
          </w:p>
        </w:tc>
        <w:tc>
          <w:tcPr>
            <w:tcW w:w="7087" w:type="dxa"/>
          </w:tcPr>
          <w:p w:rsidR="00D14763" w:rsidRPr="00C36C8F" w:rsidRDefault="00D14763" w:rsidP="00BE69D2">
            <w:pPr>
              <w:pStyle w:val="TableText"/>
              <w:keepNext/>
            </w:pPr>
            <w:r w:rsidRPr="00C36C8F">
              <w:t>Industrial waste, contaminated soil and similar</w:t>
            </w:r>
          </w:p>
        </w:tc>
      </w:tr>
      <w:tr w:rsidR="00D14763" w:rsidRPr="00C36C8F" w:rsidTr="00BE69D2">
        <w:tc>
          <w:tcPr>
            <w:tcW w:w="1560" w:type="dxa"/>
            <w:tcBorders>
              <w:bottom w:val="single" w:sz="4" w:space="0" w:color="808080"/>
            </w:tcBorders>
          </w:tcPr>
          <w:p w:rsidR="00D14763" w:rsidRPr="00C36C8F" w:rsidRDefault="00D14763" w:rsidP="00BE69D2">
            <w:pPr>
              <w:pStyle w:val="TableText"/>
              <w:keepNext/>
            </w:pPr>
            <w:r w:rsidRPr="00C36C8F">
              <w:t>Putrescible</w:t>
            </w:r>
          </w:p>
        </w:tc>
        <w:tc>
          <w:tcPr>
            <w:tcW w:w="7087" w:type="dxa"/>
            <w:tcBorders>
              <w:bottom w:val="single" w:sz="4" w:space="0" w:color="808080"/>
            </w:tcBorders>
          </w:tcPr>
          <w:p w:rsidR="00D14763" w:rsidRPr="00C36C8F" w:rsidRDefault="00D14763" w:rsidP="00BE69D2">
            <w:pPr>
              <w:pStyle w:val="TableText"/>
              <w:keepNext/>
            </w:pPr>
            <w:r w:rsidRPr="00C36C8F">
              <w:t>Organic-rich materials, mainly MSW and C&amp;I</w:t>
            </w:r>
          </w:p>
        </w:tc>
      </w:tr>
      <w:tr w:rsidR="00D14763" w:rsidRPr="00C36C8F" w:rsidTr="00BE69D2">
        <w:tc>
          <w:tcPr>
            <w:tcW w:w="1560" w:type="dxa"/>
            <w:tcBorders>
              <w:top w:val="single" w:sz="4" w:space="0" w:color="808080"/>
              <w:bottom w:val="single" w:sz="4" w:space="0" w:color="808080"/>
            </w:tcBorders>
          </w:tcPr>
          <w:p w:rsidR="00D14763" w:rsidRPr="00C36C8F" w:rsidRDefault="00D14763" w:rsidP="00BE69D2">
            <w:pPr>
              <w:pStyle w:val="TableText"/>
            </w:pPr>
            <w:r w:rsidRPr="00C36C8F">
              <w:t>Inert</w:t>
            </w:r>
          </w:p>
        </w:tc>
        <w:tc>
          <w:tcPr>
            <w:tcW w:w="7087" w:type="dxa"/>
            <w:tcBorders>
              <w:top w:val="single" w:sz="4" w:space="0" w:color="808080"/>
              <w:bottom w:val="single" w:sz="4" w:space="0" w:color="808080"/>
            </w:tcBorders>
          </w:tcPr>
          <w:p w:rsidR="00D14763" w:rsidRPr="00C36C8F" w:rsidRDefault="00D14763" w:rsidP="00E141E2">
            <w:pPr>
              <w:pStyle w:val="TableText"/>
            </w:pPr>
            <w:r w:rsidRPr="00C36C8F">
              <w:t>Low organic and not readily degradable material</w:t>
            </w:r>
            <w:r w:rsidR="00E141E2" w:rsidRPr="00C36C8F">
              <w:t>; m</w:t>
            </w:r>
            <w:r w:rsidRPr="00C36C8F">
              <w:t>ainly C&amp;D; also some C&amp;I</w:t>
            </w:r>
          </w:p>
        </w:tc>
      </w:tr>
    </w:tbl>
    <w:p w:rsidR="00D14763" w:rsidRPr="00C36C8F" w:rsidRDefault="00D14763" w:rsidP="00E55023">
      <w:pPr>
        <w:pStyle w:val="Footer0"/>
        <w:spacing w:before="0" w:after="180" w:line="260" w:lineRule="atLeast"/>
        <w:ind w:left="1134"/>
      </w:pPr>
    </w:p>
    <w:p w:rsidR="00D14763" w:rsidRPr="00C36C8F" w:rsidRDefault="00D14763" w:rsidP="00E55023">
      <w:pPr>
        <w:pStyle w:val="ParaIndent"/>
        <w:jc w:val="both"/>
      </w:pPr>
      <w:r w:rsidRPr="00C36C8F">
        <w:t>MSW is dominated by kerbside collections, the bulk of which (by weight) is usually of biotic origin, especially food, paper and green waste. A trend towards increased organic content can</w:t>
      </w:r>
      <w:r w:rsidR="00EA7CEC" w:rsidRPr="00C36C8F">
        <w:t xml:space="preserve"> in part</w:t>
      </w:r>
      <w:r w:rsidRPr="00C36C8F">
        <w:t xml:space="preserve"> be attributed to</w:t>
      </w:r>
      <w:r w:rsidR="00EA7CEC" w:rsidRPr="00C36C8F">
        <w:t xml:space="preserve"> an increased removal</w:t>
      </w:r>
      <w:r w:rsidRPr="00C36C8F">
        <w:t xml:space="preserve"> of recyclables</w:t>
      </w:r>
      <w:r w:rsidR="00EA7CEC" w:rsidRPr="00C36C8F">
        <w:t xml:space="preserve"> from the MSW stream to landfill</w:t>
      </w:r>
      <w:r w:rsidRPr="00C36C8F">
        <w:t>. C&amp;I wastes typically comprise a mixture of office, retail and industrial wastes and often include a high proportion of paper. C&amp;D wastes generally comprise a mixture of dense, inert materials and a low organic content, but may include substantial quantities of timber.</w:t>
      </w:r>
    </w:p>
    <w:p w:rsidR="00D14763" w:rsidRPr="00C36C8F" w:rsidRDefault="00D14763" w:rsidP="00E55023">
      <w:pPr>
        <w:pStyle w:val="ParaIndent"/>
        <w:jc w:val="both"/>
      </w:pPr>
      <w:r w:rsidRPr="00C36C8F">
        <w:t>Modern putrescible landfills are engineered structures, usually in large holes in the ground, with clay and geomembrane composite lining systems, leachate collection system, and gas collection system. Waste is usually placed in contained cells and covered daily, typically with soil, to control odour emission</w:t>
      </w:r>
      <w:r w:rsidR="00EA7CEC" w:rsidRPr="00C36C8F">
        <w:t>, pests</w:t>
      </w:r>
      <w:r w:rsidRPr="00C36C8F">
        <w:t xml:space="preserve"> and litter. When cells are completed they are covered, cap</w:t>
      </w:r>
      <w:r w:rsidR="00EA7CEC" w:rsidRPr="00C36C8F">
        <w:t>ped, rehabilitated and often rebirthed in metropolitan areas as</w:t>
      </w:r>
      <w:r w:rsidRPr="00C36C8F">
        <w:t xml:space="preserve"> parkland or sports fields.</w:t>
      </w:r>
    </w:p>
    <w:p w:rsidR="00D14763" w:rsidRPr="00C36C8F" w:rsidRDefault="00D14763" w:rsidP="00E55023">
      <w:pPr>
        <w:pStyle w:val="ParaIndent"/>
        <w:jc w:val="both"/>
      </w:pPr>
      <w:r w:rsidRPr="00C36C8F">
        <w:t>Landfill sites in Australia are generally owned by local governments or waste management companies. Over time, the proportion of non-government owned landfills has increased, especially in urban areas where landfill is far more profitable than in regional areas where low waste disposal tonnages do not off-set construction and operational costs as effectively. In addition, many council-owned sites are now managed by private operators on a contract basis.</w:t>
      </w:r>
    </w:p>
    <w:p w:rsidR="00D14763" w:rsidRPr="00C36C8F" w:rsidRDefault="00D14763" w:rsidP="00E55023">
      <w:pPr>
        <w:pStyle w:val="Heading40"/>
        <w:spacing w:before="0"/>
      </w:pPr>
      <w:r w:rsidRPr="00C36C8F">
        <w:t>Landfill inventory</w:t>
      </w:r>
    </w:p>
    <w:p w:rsidR="00D14763" w:rsidRPr="00C36C8F" w:rsidRDefault="00D14763" w:rsidP="00E55023">
      <w:pPr>
        <w:pStyle w:val="ParaIndent"/>
      </w:pPr>
      <w:r w:rsidRPr="00C36C8F">
        <w:t xml:space="preserve">Over the past two decades there has been a rationalisation of landfills and the closure of many smaller sites, driven mainly by stricter environmental standards. Recycling facilities and transfer stations have often been established in their place. </w:t>
      </w:r>
    </w:p>
    <w:p w:rsidR="00D14763" w:rsidRPr="00C36C8F" w:rsidRDefault="008F69B0" w:rsidP="00E55023">
      <w:pPr>
        <w:pStyle w:val="ParaIndent"/>
        <w:jc w:val="both"/>
      </w:pPr>
      <w:r w:rsidRPr="00C36C8F">
        <w:t>The tables in Appendix 1</w:t>
      </w:r>
      <w:r w:rsidR="00D14763" w:rsidRPr="00C36C8F">
        <w:t xml:space="preserve"> summarise the number and characteristics of landfills across Australia. It is derived from a Waste Management Association of Australia (WMAA) database, which was compiled from a 2006 survey and reporting in 2007. The WMAA database remains the most comprehensive listing of landfills in Australia; containing information about 446 sites that (according to WMAA) receive more than 95% of Australia’s waste stream. The landfill survey provides the best available data on landfills across Australia. However, the accuracy of these figures is unable to be estimated given that the exact coverage of the survey in terms of number of landfills or amount of the total waste stream covered</w:t>
      </w:r>
      <w:r w:rsidRPr="00C36C8F">
        <w:t xml:space="preserve"> is not reported</w:t>
      </w:r>
      <w:r w:rsidR="00D14763" w:rsidRPr="00C36C8F">
        <w:t>. A repeat of the landfill survey has recently been undertaken and figures will likely be updated.</w:t>
      </w:r>
    </w:p>
    <w:p w:rsidR="00D14763" w:rsidRPr="00C36C8F" w:rsidRDefault="00D14763" w:rsidP="00E55023">
      <w:pPr>
        <w:pStyle w:val="ParaIndent"/>
        <w:jc w:val="both"/>
      </w:pPr>
      <w:r w:rsidRPr="00C36C8F">
        <w:t>There is a trend towards fewer, larger and better managed landfills. Stricter regulations regarding the design and management of landfill sites has meant greater financial commitment on the part of landfill operators, favouring landfill operation by larger waste management companies with a greater long-term capacity. Landfills in Western Australia epitomise this tre</w:t>
      </w:r>
      <w:r w:rsidR="008F69B0" w:rsidRPr="00C36C8F">
        <w:t xml:space="preserve">nd, with many councils </w:t>
      </w:r>
      <w:r w:rsidR="007D0FD2" w:rsidRPr="00C36C8F">
        <w:t>moving</w:t>
      </w:r>
      <w:r w:rsidR="008F69B0" w:rsidRPr="00C36C8F">
        <w:t xml:space="preserve"> towards regionalis</w:t>
      </w:r>
      <w:r w:rsidR="007D0FD2" w:rsidRPr="00C36C8F">
        <w:t>ation of</w:t>
      </w:r>
      <w:r w:rsidRPr="00C36C8F">
        <w:t xml:space="preserve"> their facilities and rely</w:t>
      </w:r>
      <w:r w:rsidR="008F69B0" w:rsidRPr="00C36C8F">
        <w:t>ing</w:t>
      </w:r>
      <w:r w:rsidRPr="00C36C8F">
        <w:t xml:space="preserve"> on a greater number of transfer stations</w:t>
      </w:r>
      <w:r w:rsidRPr="00C36C8F">
        <w:rPr>
          <w:rStyle w:val="FootnoteReference"/>
        </w:rPr>
        <w:footnoteReference w:id="17"/>
      </w:r>
      <w:r w:rsidRPr="00C36C8F">
        <w:t>.</w:t>
      </w:r>
    </w:p>
    <w:p w:rsidR="00D14763" w:rsidRPr="00C36C8F" w:rsidRDefault="00D14763" w:rsidP="00E55023">
      <w:pPr>
        <w:pStyle w:val="ParaIndent"/>
        <w:jc w:val="both"/>
      </w:pPr>
      <w:r w:rsidRPr="00C36C8F">
        <w:t>Victoria generally has sufficient landfill space but there are some areas of localised shortages. Melbourne has an est</w:t>
      </w:r>
      <w:r w:rsidR="008F69B0" w:rsidRPr="00C36C8F">
        <w:t>imated airspace sufficient for</w:t>
      </w:r>
      <w:r w:rsidRPr="00C36C8F">
        <w:t xml:space="preserve"> 120</w:t>
      </w:r>
      <w:r w:rsidR="00F65A95" w:rsidRPr="00C36C8F">
        <w:t xml:space="preserve"> </w:t>
      </w:r>
      <w:r w:rsidRPr="00C36C8F">
        <w:t xml:space="preserve">Mt at existing sites. Capacity is shifting towards the west and north-west of the metropolitan area, which has about ten times the capacity of the south and east. A number of landfill closures in the north and south-east have reduced disposal rates in these areas by about 25%, increasing disposal in the west. </w:t>
      </w:r>
    </w:p>
    <w:p w:rsidR="00D14763" w:rsidRPr="00C36C8F" w:rsidRDefault="00D14763" w:rsidP="00E55023">
      <w:pPr>
        <w:pStyle w:val="ParaIndent"/>
        <w:jc w:val="both"/>
      </w:pPr>
      <w:r w:rsidRPr="00C36C8F">
        <w:t>In Western Australia, the majority of landfills reported a life expectancy of less than 10 years from 2007. Exceptions to this figure were generally rural councils, where land is abundant and waste generation minimal</w:t>
      </w:r>
      <w:r w:rsidRPr="00C36C8F">
        <w:rPr>
          <w:rStyle w:val="FootnoteReference"/>
        </w:rPr>
        <w:footnoteReference w:id="18"/>
      </w:r>
      <w:r w:rsidRPr="00C36C8F">
        <w:t>.</w:t>
      </w:r>
    </w:p>
    <w:p w:rsidR="00D14763" w:rsidRPr="00C36C8F" w:rsidRDefault="00D14763" w:rsidP="00E55023">
      <w:pPr>
        <w:pStyle w:val="ParaIndent"/>
        <w:jc w:val="both"/>
      </w:pPr>
      <w:r w:rsidRPr="00C36C8F">
        <w:t>Adelaide is currently served by six landfill sites licensed to receive metropolitan waste streams. At current disposal rates, these landfills are expected to meet Adelaide’s disposal requirements for several decades</w:t>
      </w:r>
      <w:r w:rsidRPr="00C36C8F">
        <w:rPr>
          <w:rStyle w:val="FootnoteReference"/>
        </w:rPr>
        <w:footnoteReference w:id="19"/>
      </w:r>
      <w:r w:rsidRPr="00C36C8F">
        <w:t>.</w:t>
      </w:r>
    </w:p>
    <w:p w:rsidR="007D0FD2" w:rsidRPr="00C36C8F" w:rsidRDefault="007D0FD2">
      <w:pPr>
        <w:spacing w:after="0" w:line="240" w:lineRule="auto"/>
        <w:ind w:left="0"/>
        <w:rPr>
          <w:rFonts w:cs="Arial"/>
          <w:b/>
          <w:color w:val="495F70"/>
        </w:rPr>
      </w:pPr>
      <w:r w:rsidRPr="00C36C8F">
        <w:br w:type="page"/>
      </w:r>
    </w:p>
    <w:p w:rsidR="00D14763" w:rsidRPr="00C36C8F" w:rsidRDefault="00D14763" w:rsidP="00E55023">
      <w:pPr>
        <w:pStyle w:val="Heading40"/>
        <w:spacing w:before="0"/>
      </w:pPr>
      <w:r w:rsidRPr="00C36C8F">
        <w:t>Emissions from landfills</w:t>
      </w:r>
    </w:p>
    <w:p w:rsidR="008F69B0" w:rsidRPr="00C36C8F" w:rsidRDefault="00D14763" w:rsidP="00E55023">
      <w:pPr>
        <w:pStyle w:val="ParaIndent"/>
        <w:jc w:val="both"/>
      </w:pPr>
      <w:r w:rsidRPr="00C36C8F">
        <w:t>Landfill e</w:t>
      </w:r>
      <w:r w:rsidR="008F69B0" w:rsidRPr="00C36C8F">
        <w:t>missions are of two main types:</w:t>
      </w:r>
    </w:p>
    <w:p w:rsidR="008F69B0" w:rsidRPr="00C36C8F" w:rsidRDefault="008F69B0" w:rsidP="004B50A2">
      <w:pPr>
        <w:pStyle w:val="ParaIndent"/>
        <w:numPr>
          <w:ilvl w:val="0"/>
          <w:numId w:val="33"/>
        </w:numPr>
        <w:ind w:left="1701" w:hanging="567"/>
        <w:jc w:val="both"/>
      </w:pPr>
      <w:r w:rsidRPr="00C36C8F">
        <w:t>liquids (leachate)—these</w:t>
      </w:r>
      <w:r w:rsidR="00D14763" w:rsidRPr="00C36C8F">
        <w:t xml:space="preserve"> may </w:t>
      </w:r>
      <w:r w:rsidRPr="00C36C8F">
        <w:t xml:space="preserve">be discharged to groundwater, </w:t>
      </w:r>
      <w:r w:rsidR="00D14763" w:rsidRPr="00C36C8F">
        <w:t>sometimes surface water</w:t>
      </w:r>
      <w:r w:rsidRPr="00C36C8F">
        <w:t>, or recirculated back into the landfill</w:t>
      </w:r>
    </w:p>
    <w:p w:rsidR="008F69B0" w:rsidRPr="00C36C8F" w:rsidRDefault="008F69B0" w:rsidP="004B50A2">
      <w:pPr>
        <w:pStyle w:val="ParaIndent"/>
        <w:numPr>
          <w:ilvl w:val="0"/>
          <w:numId w:val="33"/>
        </w:numPr>
        <w:ind w:left="1701" w:hanging="567"/>
        <w:jc w:val="both"/>
      </w:pPr>
      <w:r w:rsidRPr="00C36C8F">
        <w:t>landfill gas—primarily composed of methane and carbon dioxide.</w:t>
      </w:r>
    </w:p>
    <w:p w:rsidR="00D14763" w:rsidRPr="00C36C8F" w:rsidRDefault="008F69B0" w:rsidP="00E55023">
      <w:pPr>
        <w:pStyle w:val="ParaIndent"/>
        <w:jc w:val="both"/>
      </w:pPr>
      <w:r w:rsidRPr="00C36C8F">
        <w:t>Less significant</w:t>
      </w:r>
      <w:r w:rsidR="00D14763" w:rsidRPr="00C36C8F">
        <w:t xml:space="preserve"> emissions</w:t>
      </w:r>
      <w:r w:rsidRPr="00C36C8F">
        <w:t>,</w:t>
      </w:r>
      <w:r w:rsidR="00D14763" w:rsidRPr="00C36C8F">
        <w:t xml:space="preserve"> such as odour and litter</w:t>
      </w:r>
      <w:r w:rsidRPr="00C36C8F">
        <w:t>,</w:t>
      </w:r>
      <w:r w:rsidR="00D14763" w:rsidRPr="00C36C8F">
        <w:t xml:space="preserve"> are not discussed</w:t>
      </w:r>
      <w:r w:rsidRPr="00C36C8F">
        <w:t xml:space="preserve"> here</w:t>
      </w:r>
      <w:r w:rsidR="00D14763" w:rsidRPr="00C36C8F">
        <w:t>.</w:t>
      </w:r>
    </w:p>
    <w:p w:rsidR="00D14763" w:rsidRPr="00C36C8F" w:rsidRDefault="00D14763" w:rsidP="00E55023">
      <w:pPr>
        <w:pStyle w:val="ParaIndent"/>
        <w:jc w:val="both"/>
      </w:pPr>
      <w:r w:rsidRPr="00C36C8F">
        <w:t>Landfill gas emissions result mainly from the decomposition of organic waste</w:t>
      </w:r>
      <w:r w:rsidR="008F69B0" w:rsidRPr="00C36C8F">
        <w:t>s</w:t>
      </w:r>
      <w:r w:rsidRPr="00C36C8F">
        <w:t>. Decomposition of organics proceeds in a series of phases characterised by different chemical environments. These phases occur in a predictable sequence but their timeframe varies between, and sometimes within landfills. Consequently, the types, quantities and timeframes of landfill emissions are difficult to predict.</w:t>
      </w:r>
    </w:p>
    <w:p w:rsidR="00E55023" w:rsidRPr="00C36C8F" w:rsidRDefault="00D14763" w:rsidP="00E55023">
      <w:pPr>
        <w:pStyle w:val="ParaIndent"/>
        <w:jc w:val="both"/>
      </w:pPr>
      <w:r w:rsidRPr="00C36C8F">
        <w:t>Construction of new landfills is highly regulated in most states. Government approval is needed, usually from a specialist environment agency, at each stage of the siting, design, operation and rehabilitation phases. There is typically an operational licensing arrangement including performance monitoring and reporting, and this may extend for up to 30 years post-closure. Due to amenity concerns, some states may require a liaison arrangement with local residents. A more recent trend is the imposition of financial assurances to mitigate the risk of a bankruptcy or failure to fulfil post-closure responsibilities. These requirements have driven up the standards for environmental management of landfill</w:t>
      </w:r>
      <w:r w:rsidR="00E55023" w:rsidRPr="00C36C8F">
        <w:t xml:space="preserve"> emissions as discussed below. </w:t>
      </w:r>
    </w:p>
    <w:p w:rsidR="00416F0B" w:rsidRPr="00C36C8F" w:rsidRDefault="007D0FD2" w:rsidP="00E55023">
      <w:pPr>
        <w:pStyle w:val="Heading3"/>
        <w:numPr>
          <w:ilvl w:val="2"/>
          <w:numId w:val="12"/>
        </w:numPr>
      </w:pPr>
      <w:r w:rsidRPr="00C36C8F">
        <w:t>L</w:t>
      </w:r>
      <w:r w:rsidR="00D14763" w:rsidRPr="00C36C8F">
        <w:t>andfill leachate emissions and management</w:t>
      </w:r>
    </w:p>
    <w:p w:rsidR="00D14763" w:rsidRPr="00C36C8F" w:rsidRDefault="00D14763" w:rsidP="00E55023">
      <w:pPr>
        <w:pStyle w:val="ParaIndent"/>
        <w:keepNext/>
        <w:jc w:val="both"/>
      </w:pPr>
      <w:r w:rsidRPr="00C36C8F">
        <w:t>Pollutants found in MSW landfill leachate fal</w:t>
      </w:r>
      <w:r w:rsidR="003A42B0" w:rsidRPr="00C36C8F">
        <w:t>l broadly into four categories:</w:t>
      </w:r>
    </w:p>
    <w:p w:rsidR="00D14763" w:rsidRPr="00C36C8F" w:rsidRDefault="00D14763" w:rsidP="00E55023">
      <w:pPr>
        <w:pStyle w:val="PointsBullets"/>
        <w:keepNext/>
        <w:spacing w:after="180"/>
        <w:jc w:val="both"/>
      </w:pPr>
      <w:r w:rsidRPr="00C36C8F">
        <w:t>dissolved organic matter</w:t>
      </w:r>
    </w:p>
    <w:p w:rsidR="00D14763" w:rsidRPr="00C36C8F" w:rsidRDefault="00D14763" w:rsidP="00E55023">
      <w:pPr>
        <w:pStyle w:val="PointsBullets"/>
        <w:keepNext/>
        <w:spacing w:after="180"/>
        <w:jc w:val="both"/>
      </w:pPr>
      <w:r w:rsidRPr="00C36C8F">
        <w:t>inorganic macro components</w:t>
      </w:r>
      <w:r w:rsidR="000B7CA4" w:rsidRPr="00C36C8F">
        <w:t xml:space="preserve"> </w:t>
      </w:r>
      <w:r w:rsidR="00DB3E76" w:rsidRPr="00C36C8F">
        <w:t>-</w:t>
      </w:r>
      <w:r w:rsidRPr="00C36C8F">
        <w:t xml:space="preserve"> calcium, magnesium, sodium, potassium, ammonium, iron, manganese, chloride, sulphate and hydrogen carbonate</w:t>
      </w:r>
    </w:p>
    <w:p w:rsidR="00D14763" w:rsidRPr="00C36C8F" w:rsidRDefault="00D14763" w:rsidP="00E55023">
      <w:pPr>
        <w:pStyle w:val="PointsBullets"/>
        <w:keepNext/>
        <w:spacing w:after="180"/>
        <w:jc w:val="both"/>
      </w:pPr>
      <w:r w:rsidRPr="00C36C8F">
        <w:t>heavy metals</w:t>
      </w:r>
      <w:r w:rsidR="000B7CA4" w:rsidRPr="00C36C8F">
        <w:t xml:space="preserve"> </w:t>
      </w:r>
      <w:r w:rsidR="00DB3E76" w:rsidRPr="00C36C8F">
        <w:t>-</w:t>
      </w:r>
      <w:r w:rsidRPr="00C36C8F">
        <w:t xml:space="preserve"> cadmium, chromium, copper, lead, nickel and zinc</w:t>
      </w:r>
    </w:p>
    <w:p w:rsidR="00D14763" w:rsidRPr="00C36C8F" w:rsidRDefault="00D14763" w:rsidP="00E55023">
      <w:pPr>
        <w:pStyle w:val="PointsBullets"/>
        <w:spacing w:after="180"/>
        <w:jc w:val="both"/>
      </w:pPr>
      <w:r w:rsidRPr="00C36C8F">
        <w:t xml:space="preserve">xenobiotic organic compounds formed from household and industrial chemicals, such as aromatic hydrocarbons, phenols and pesticides. </w:t>
      </w:r>
    </w:p>
    <w:p w:rsidR="00D14763" w:rsidRPr="00C36C8F" w:rsidRDefault="00D14763" w:rsidP="00E55023">
      <w:pPr>
        <w:pStyle w:val="ParaIndent"/>
        <w:keepNext/>
        <w:jc w:val="both"/>
      </w:pPr>
      <w:r w:rsidRPr="00C36C8F">
        <w:t>The potential contamination of groundwater supplies by leachate varies greatly from one site to another according to a number of factors</w:t>
      </w:r>
      <w:r w:rsidRPr="00C36C8F">
        <w:rPr>
          <w:rStyle w:val="FootnoteReference"/>
          <w:b/>
        </w:rPr>
        <w:footnoteReference w:id="20"/>
      </w:r>
      <w:r w:rsidRPr="00C36C8F">
        <w:t xml:space="preserve"> including:</w:t>
      </w:r>
    </w:p>
    <w:p w:rsidR="00D14763" w:rsidRPr="00C36C8F" w:rsidRDefault="00D14763" w:rsidP="00E55023">
      <w:pPr>
        <w:pStyle w:val="BulletPoints"/>
        <w:keepNext/>
        <w:tabs>
          <w:tab w:val="clear" w:pos="567"/>
          <w:tab w:val="left" w:pos="1134"/>
          <w:tab w:val="num" w:pos="1701"/>
          <w:tab w:val="left" w:pos="2268"/>
        </w:tabs>
        <w:spacing w:after="180"/>
        <w:ind w:left="1701"/>
        <w:jc w:val="both"/>
      </w:pPr>
      <w:r w:rsidRPr="00C36C8F">
        <w:t>the height of the water table (leachate is partially filtered as it passes through soil layers)</w:t>
      </w:r>
    </w:p>
    <w:p w:rsidR="00D14763" w:rsidRPr="00C36C8F" w:rsidRDefault="00D14763" w:rsidP="00E55023">
      <w:pPr>
        <w:pStyle w:val="BulletPoints"/>
        <w:keepNext/>
        <w:tabs>
          <w:tab w:val="clear" w:pos="567"/>
          <w:tab w:val="left" w:pos="1134"/>
          <w:tab w:val="num" w:pos="1701"/>
          <w:tab w:val="left" w:pos="2268"/>
        </w:tabs>
        <w:spacing w:after="180"/>
        <w:ind w:left="1701"/>
        <w:jc w:val="both"/>
      </w:pPr>
      <w:r w:rsidRPr="00C36C8F">
        <w:t>the permeability of the soil</w:t>
      </w:r>
    </w:p>
    <w:p w:rsidR="00D14763" w:rsidRPr="00C36C8F" w:rsidRDefault="00D14763" w:rsidP="00E55023">
      <w:pPr>
        <w:pStyle w:val="BulletPoints"/>
        <w:keepNext/>
        <w:tabs>
          <w:tab w:val="clear" w:pos="567"/>
          <w:tab w:val="left" w:pos="1134"/>
          <w:tab w:val="num" w:pos="1701"/>
          <w:tab w:val="left" w:pos="2268"/>
        </w:tabs>
        <w:spacing w:after="180"/>
        <w:ind w:left="1701"/>
        <w:jc w:val="both"/>
      </w:pPr>
      <w:r w:rsidRPr="00C36C8F">
        <w:t>the waste profile</w:t>
      </w:r>
    </w:p>
    <w:p w:rsidR="00D14763" w:rsidRPr="00C36C8F" w:rsidRDefault="00D14763" w:rsidP="00E55023">
      <w:pPr>
        <w:pStyle w:val="BulletPoints"/>
        <w:tabs>
          <w:tab w:val="clear" w:pos="567"/>
          <w:tab w:val="left" w:pos="1134"/>
          <w:tab w:val="num" w:pos="1701"/>
          <w:tab w:val="left" w:pos="2268"/>
        </w:tabs>
        <w:spacing w:after="180"/>
        <w:ind w:left="1701"/>
        <w:jc w:val="both"/>
      </w:pPr>
      <w:r w:rsidRPr="00C36C8F">
        <w:t>the concentration of contaminants in leachate.</w:t>
      </w:r>
    </w:p>
    <w:p w:rsidR="00D14763" w:rsidRPr="00C36C8F" w:rsidRDefault="00D14763" w:rsidP="00E55023">
      <w:pPr>
        <w:pStyle w:val="ParaIndent"/>
        <w:jc w:val="both"/>
      </w:pPr>
      <w:r w:rsidRPr="00C36C8F">
        <w:t>Pollutant concentrations tend to attenuate as the leachate plume passes through clay in the soil. Regulatory requirements generally do not permit discharges to groundwater, however, it is also broadly recognised that all landfills will emit some leachate and that the lining systems are in place to slow and enable control of leachate migration.</w:t>
      </w:r>
    </w:p>
    <w:p w:rsidR="00D14763" w:rsidRPr="00C36C8F" w:rsidRDefault="00D14763" w:rsidP="00E55023">
      <w:pPr>
        <w:pStyle w:val="ParaIndent"/>
        <w:jc w:val="both"/>
      </w:pPr>
      <w:r w:rsidRPr="00C36C8F">
        <w:t>Modern landfills in all states are required to manage their leachate. There are a range of siting, design and management methods for this purpose, including:</w:t>
      </w:r>
    </w:p>
    <w:p w:rsidR="00D14763" w:rsidRPr="00C36C8F" w:rsidRDefault="00A33CC8" w:rsidP="00E55023">
      <w:pPr>
        <w:pStyle w:val="BulletPoints"/>
        <w:tabs>
          <w:tab w:val="clear" w:pos="567"/>
          <w:tab w:val="left" w:pos="1134"/>
          <w:tab w:val="num" w:pos="1701"/>
          <w:tab w:val="left" w:pos="2268"/>
        </w:tabs>
        <w:spacing w:after="180"/>
        <w:ind w:left="1701"/>
        <w:jc w:val="both"/>
      </w:pPr>
      <w:r>
        <w:t>S</w:t>
      </w:r>
      <w:r w:rsidRPr="00C36C8F">
        <w:t xml:space="preserve">iting </w:t>
      </w:r>
      <w:r w:rsidR="00D14763" w:rsidRPr="00C36C8F">
        <w:t>standards in some states prohibit the development of landfills below the water table, preventing groundwater intrusion into the waste mass. WA banned the construction of new landfill sites on its coastal strip from 1990 due to the risk of groundwater contamination in areas where this resource is used for drinking water</w:t>
      </w:r>
      <w:r w:rsidR="00ED5DAC">
        <w:t>.</w:t>
      </w:r>
    </w:p>
    <w:p w:rsidR="00D14763" w:rsidRPr="00C36C8F" w:rsidRDefault="00A33CC8" w:rsidP="00E55023">
      <w:pPr>
        <w:pStyle w:val="BulletPoints"/>
        <w:tabs>
          <w:tab w:val="clear" w:pos="567"/>
          <w:tab w:val="left" w:pos="1134"/>
          <w:tab w:val="num" w:pos="1701"/>
          <w:tab w:val="left" w:pos="2268"/>
        </w:tabs>
        <w:spacing w:after="180"/>
        <w:ind w:left="1701"/>
        <w:jc w:val="both"/>
      </w:pPr>
      <w:r>
        <w:t>M</w:t>
      </w:r>
      <w:r w:rsidRPr="00C36C8F">
        <w:t xml:space="preserve">odern </w:t>
      </w:r>
      <w:r w:rsidR="00D14763" w:rsidRPr="00C36C8F">
        <w:t>landfill design typically incorporates small cells that are rapidly filled and capped, limiti</w:t>
      </w:r>
      <w:r w:rsidR="00925FA9">
        <w:t>ng the stormwater contamination</w:t>
      </w:r>
      <w:r w:rsidR="00ED5DAC">
        <w:t>.</w:t>
      </w:r>
    </w:p>
    <w:p w:rsidR="00D14763" w:rsidRPr="00C36C8F" w:rsidRDefault="00A33CC8" w:rsidP="00E55023">
      <w:pPr>
        <w:pStyle w:val="BulletPoints"/>
        <w:tabs>
          <w:tab w:val="clear" w:pos="567"/>
          <w:tab w:val="left" w:pos="1134"/>
          <w:tab w:val="num" w:pos="1701"/>
          <w:tab w:val="left" w:pos="2268"/>
        </w:tabs>
        <w:spacing w:after="180"/>
        <w:ind w:left="1701"/>
        <w:jc w:val="both"/>
      </w:pPr>
      <w:r>
        <w:t>T</w:t>
      </w:r>
      <w:r w:rsidRPr="00C36C8F">
        <w:t xml:space="preserve">o </w:t>
      </w:r>
      <w:r w:rsidR="00D14763" w:rsidRPr="00C36C8F">
        <w:t xml:space="preserve">further control stormwater intrusion, waste is placed in a small area </w:t>
      </w:r>
      <w:r w:rsidR="00925FA9">
        <w:t>and regularly covered with soil</w:t>
      </w:r>
      <w:r w:rsidR="00ED5DAC">
        <w:t>.</w:t>
      </w:r>
    </w:p>
    <w:p w:rsidR="00D14763" w:rsidRPr="00C36C8F" w:rsidRDefault="00A33CC8" w:rsidP="00E55023">
      <w:pPr>
        <w:pStyle w:val="BulletPoints"/>
        <w:tabs>
          <w:tab w:val="clear" w:pos="567"/>
          <w:tab w:val="left" w:pos="1134"/>
          <w:tab w:val="num" w:pos="1701"/>
          <w:tab w:val="left" w:pos="2268"/>
        </w:tabs>
        <w:spacing w:after="180"/>
        <w:ind w:left="1701"/>
        <w:jc w:val="both"/>
      </w:pPr>
      <w:r>
        <w:t>P</w:t>
      </w:r>
      <w:r w:rsidRPr="00C36C8F">
        <w:t xml:space="preserve">utrescible </w:t>
      </w:r>
      <w:r w:rsidR="00D14763" w:rsidRPr="00C36C8F">
        <w:t>landfill cells are generally lined with a layer of compressed clay and often a composite of clay combined with a geosynthetic or plastic layer. This limits leachate leaks and groundwater intrusion. Composite lining systems are now standard pract</w:t>
      </w:r>
      <w:r w:rsidR="00925FA9">
        <w:t>ice in Victoria, NSW, WA and SA</w:t>
      </w:r>
      <w:r w:rsidR="00ED5DAC">
        <w:t>.</w:t>
      </w:r>
      <w:r w:rsidR="00D14763" w:rsidRPr="00C36C8F">
        <w:t xml:space="preserve"> </w:t>
      </w:r>
    </w:p>
    <w:p w:rsidR="00D14763" w:rsidRPr="00C36C8F" w:rsidRDefault="00A33CC8" w:rsidP="00E55023">
      <w:pPr>
        <w:pStyle w:val="BulletPoints"/>
        <w:tabs>
          <w:tab w:val="clear" w:pos="567"/>
          <w:tab w:val="left" w:pos="1134"/>
          <w:tab w:val="num" w:pos="1701"/>
          <w:tab w:val="left" w:pos="2268"/>
        </w:tabs>
        <w:spacing w:after="180"/>
        <w:ind w:left="1701"/>
        <w:jc w:val="both"/>
      </w:pPr>
      <w:r>
        <w:t>A</w:t>
      </w:r>
      <w:r w:rsidRPr="00C36C8F">
        <w:t xml:space="preserve"> </w:t>
      </w:r>
      <w:r w:rsidR="00D14763" w:rsidRPr="00C36C8F">
        <w:t>high permeability drainage layer is usually placed at the bottom of the cell from which a series of perforated collection pipes drain leachate to a low point. Leachate is usually restricted to a depth of 300 millimetres in order to reduce the pressure head</w:t>
      </w:r>
      <w:r w:rsidR="00690F1F" w:rsidRPr="00C36C8F">
        <w:t xml:space="preserve"> </w:t>
      </w:r>
      <w:r w:rsidR="00D14763" w:rsidRPr="00C36C8F">
        <w:t xml:space="preserve">on the liner, preventing leaks. Leachate is pumped up from collection </w:t>
      </w:r>
      <w:r w:rsidR="00925FA9">
        <w:t>sumps for treatment</w:t>
      </w:r>
      <w:r w:rsidR="00ED5DAC">
        <w:t>.</w:t>
      </w:r>
    </w:p>
    <w:p w:rsidR="00D14763" w:rsidRPr="00C36C8F" w:rsidRDefault="00A33CC8" w:rsidP="00E55023">
      <w:pPr>
        <w:pStyle w:val="BulletPoints"/>
        <w:tabs>
          <w:tab w:val="clear" w:pos="567"/>
          <w:tab w:val="left" w:pos="1134"/>
          <w:tab w:val="num" w:pos="1701"/>
          <w:tab w:val="left" w:pos="2268"/>
        </w:tabs>
        <w:spacing w:after="180"/>
        <w:ind w:left="1701"/>
        <w:jc w:val="both"/>
      </w:pPr>
      <w:r>
        <w:t>L</w:t>
      </w:r>
      <w:r w:rsidRPr="00C36C8F">
        <w:t xml:space="preserve">andfills </w:t>
      </w:r>
      <w:r w:rsidR="00D14763" w:rsidRPr="00C36C8F">
        <w:t xml:space="preserve">apply a range of leachate treatments. In drier environments such as WA it can be evaporated in shallow ponds and the residue returned to the landfill. Some treat the leachate in on-site facilities then spread the treated liquid on the site for dust control. Others discharge to sewer, often after pre-treatment. In some cases, leachate is recycled back through landfill, partly as a means of promoting decomposition and so reducing the period of post-closure aftercare. </w:t>
      </w:r>
    </w:p>
    <w:p w:rsidR="00D14763" w:rsidRPr="00C36C8F" w:rsidRDefault="00D14763" w:rsidP="00E55023">
      <w:pPr>
        <w:pStyle w:val="ParaIndent"/>
        <w:jc w:val="both"/>
      </w:pPr>
      <w:r w:rsidRPr="00C36C8F">
        <w:t>Adoption of these landfill techniques has greatly limited groundwater pollution from landfills. There remains a legacy of older or smaller facilities that do not meet modern standards, and from which the pollution risks are higher. These will be phased out over time.</w:t>
      </w:r>
    </w:p>
    <w:p w:rsidR="00D14763" w:rsidRPr="00C36C8F" w:rsidRDefault="00D14763" w:rsidP="000F35DD">
      <w:pPr>
        <w:pStyle w:val="Heading3"/>
        <w:numPr>
          <w:ilvl w:val="2"/>
          <w:numId w:val="12"/>
        </w:numPr>
      </w:pPr>
      <w:r w:rsidRPr="00C36C8F">
        <w:t>Landfill gas emissions and management</w:t>
      </w:r>
    </w:p>
    <w:p w:rsidR="00D14763" w:rsidRPr="00C36C8F" w:rsidRDefault="00D14763" w:rsidP="000F35DD">
      <w:pPr>
        <w:pStyle w:val="ParaIndent"/>
        <w:jc w:val="both"/>
      </w:pPr>
      <w:r w:rsidRPr="001D4A1D">
        <w:t>Landfill gas typically consists of approximately equal measures of carbon dioxide (CO</w:t>
      </w:r>
      <w:r w:rsidRPr="001D4A1D">
        <w:rPr>
          <w:vertAlign w:val="subscript"/>
        </w:rPr>
        <w:t>2</w:t>
      </w:r>
      <w:r w:rsidRPr="001D4A1D">
        <w:t>) and methane (CH</w:t>
      </w:r>
      <w:r w:rsidRPr="001D4A1D">
        <w:rPr>
          <w:vertAlign w:val="subscript"/>
        </w:rPr>
        <w:t>4</w:t>
      </w:r>
      <w:r w:rsidRPr="001D4A1D">
        <w:t>),</w:t>
      </w:r>
      <w:r w:rsidRPr="00C36C8F">
        <w:t xml:space="preserve"> with trace quantities of various other gases including hydrogen sulphide and VOCs. There are several reasons why landfills may need to manage their landfill gas, including:</w:t>
      </w:r>
    </w:p>
    <w:p w:rsidR="00D14763" w:rsidRPr="00C36C8F" w:rsidRDefault="00925FA9" w:rsidP="000F35DD">
      <w:pPr>
        <w:pStyle w:val="BulletPoints"/>
        <w:tabs>
          <w:tab w:val="clear" w:pos="567"/>
          <w:tab w:val="left" w:pos="1134"/>
          <w:tab w:val="num" w:pos="1701"/>
          <w:tab w:val="left" w:pos="2268"/>
        </w:tabs>
        <w:spacing w:after="180"/>
        <w:ind w:left="1701"/>
        <w:jc w:val="both"/>
      </w:pPr>
      <w:r>
        <w:t>a</w:t>
      </w:r>
      <w:r w:rsidR="00D14763" w:rsidRPr="00C36C8F">
        <w:t>ccumulations and migration of off-site landfill gas can give rise to on-site and immediate surrounding area risks of explosions or asphyxiation. Venting systems and landfill gas extraction systems are usually su</w:t>
      </w:r>
      <w:r>
        <w:t>fficient to alleviate this risk</w:t>
      </w:r>
      <w:r w:rsidR="00B532E6">
        <w:t>.</w:t>
      </w:r>
    </w:p>
    <w:p w:rsidR="00D14763" w:rsidRPr="00C36C8F" w:rsidRDefault="00925FA9" w:rsidP="000F35DD">
      <w:pPr>
        <w:pStyle w:val="BulletPoints"/>
        <w:tabs>
          <w:tab w:val="clear" w:pos="567"/>
          <w:tab w:val="left" w:pos="1134"/>
          <w:tab w:val="num" w:pos="1701"/>
          <w:tab w:val="left" w:pos="2268"/>
        </w:tabs>
        <w:spacing w:after="180"/>
        <w:ind w:left="1701"/>
        <w:jc w:val="both"/>
      </w:pPr>
      <w:r>
        <w:t>l</w:t>
      </w:r>
      <w:r w:rsidR="00D14763" w:rsidRPr="00C36C8F">
        <w:t>andfill gas is associated with odours that can impact on neighbours and contribute to reduced air quality. Regulators have often required operators to instal</w:t>
      </w:r>
      <w:r>
        <w:t>l flares to manage this problem</w:t>
      </w:r>
      <w:r w:rsidR="00B532E6">
        <w:t>.</w:t>
      </w:r>
    </w:p>
    <w:p w:rsidR="00D14763" w:rsidRPr="001D4A1D" w:rsidRDefault="00925FA9" w:rsidP="000F35DD">
      <w:pPr>
        <w:pStyle w:val="BulletPoints"/>
        <w:tabs>
          <w:tab w:val="clear" w:pos="567"/>
          <w:tab w:val="left" w:pos="1134"/>
          <w:tab w:val="num" w:pos="1701"/>
          <w:tab w:val="left" w:pos="2268"/>
        </w:tabs>
        <w:spacing w:after="180"/>
        <w:ind w:left="1701"/>
        <w:jc w:val="both"/>
      </w:pPr>
      <w:r>
        <w:t>t</w:t>
      </w:r>
      <w:r w:rsidR="00D14763" w:rsidRPr="00C36C8F">
        <w:t xml:space="preserve">he methane in landfill gas is a powerful greenhouse gas but can be destroyed by oxidation. Greenhouse policy responses have helped spread this practice by allowing operators to sell credits for reducing emissions. Credits have been sold in Australia and </w:t>
      </w:r>
      <w:r w:rsidR="00D14763" w:rsidRPr="001D4A1D">
        <w:t>also to overs</w:t>
      </w:r>
      <w:r w:rsidRPr="001D4A1D">
        <w:t>eas purchasers</w:t>
      </w:r>
      <w:r w:rsidR="00B532E6" w:rsidRPr="001D4A1D">
        <w:t>.</w:t>
      </w:r>
    </w:p>
    <w:p w:rsidR="00D14763" w:rsidRPr="00C36C8F" w:rsidRDefault="00925FA9" w:rsidP="000F35DD">
      <w:pPr>
        <w:pStyle w:val="BulletPoints"/>
        <w:tabs>
          <w:tab w:val="clear" w:pos="567"/>
          <w:tab w:val="left" w:pos="1134"/>
          <w:tab w:val="num" w:pos="1701"/>
          <w:tab w:val="left" w:pos="2268"/>
        </w:tabs>
        <w:spacing w:after="180"/>
        <w:ind w:left="1701"/>
        <w:jc w:val="both"/>
      </w:pPr>
      <w:r>
        <w:t>l</w:t>
      </w:r>
      <w:r w:rsidR="00D14763" w:rsidRPr="00C36C8F">
        <w:t>andfill gas is rich in methane, and at larger sites can be profitably collected and used for generating electricity and heat. Again, greenhouse policy responses have helped to spread this practice by pushing up the price for renewable</w:t>
      </w:r>
      <w:r w:rsidR="00DB3E76" w:rsidRPr="00C36C8F">
        <w:t>,</w:t>
      </w:r>
      <w:r w:rsidR="00D14763" w:rsidRPr="00C36C8F">
        <w:t xml:space="preserve"> biogenically</w:t>
      </w:r>
      <w:r w:rsidR="00DB3E76" w:rsidRPr="00C36C8F">
        <w:t>-</w:t>
      </w:r>
      <w:r w:rsidR="00D14763" w:rsidRPr="00C36C8F">
        <w:t>derived power.</w:t>
      </w:r>
    </w:p>
    <w:p w:rsidR="00D14763" w:rsidRPr="00C36C8F" w:rsidRDefault="00D14763" w:rsidP="000F35DD">
      <w:pPr>
        <w:pStyle w:val="Heading40"/>
        <w:spacing w:before="0"/>
      </w:pPr>
      <w:r w:rsidRPr="00C36C8F">
        <w:t>Greenhouse gas emissions from landfill</w:t>
      </w:r>
    </w:p>
    <w:p w:rsidR="00D14763" w:rsidRPr="00C36C8F" w:rsidRDefault="00D14763" w:rsidP="000F35DD">
      <w:pPr>
        <w:pStyle w:val="ParaIndent"/>
        <w:jc w:val="both"/>
      </w:pPr>
      <w:r w:rsidRPr="00C36C8F">
        <w:t xml:space="preserve">By convention, carbon dioxide from organic material degradation in landfill is not counted as an emission from waste since it is derived from biogenic sources. In the </w:t>
      </w:r>
      <w:r w:rsidR="001723F1">
        <w:t xml:space="preserve">former </w:t>
      </w:r>
      <w:r w:rsidRPr="00C36C8F">
        <w:t>Australian National Greenhouse Gas Inventory (NGGI)</w:t>
      </w:r>
      <w:r w:rsidR="001723F1">
        <w:t xml:space="preserve"> (now the </w:t>
      </w:r>
      <w:r w:rsidR="009D166B">
        <w:t>National Greenhouse Accounts</w:t>
      </w:r>
      <w:r w:rsidR="001723F1">
        <w:t>)</w:t>
      </w:r>
      <w:r w:rsidRPr="00C36C8F">
        <w:t>, carbon dioxide fluxes between the atmosphere and biogenic system are accounted for in the emission sector ‘land use, land use change and forestry’.</w:t>
      </w:r>
    </w:p>
    <w:p w:rsidR="00D14763" w:rsidRPr="00826D48" w:rsidRDefault="00D14763" w:rsidP="000F35DD">
      <w:pPr>
        <w:pStyle w:val="ParaIndent"/>
        <w:jc w:val="both"/>
      </w:pPr>
      <w:r w:rsidRPr="00C36C8F">
        <w:t>The NGGI reports o</w:t>
      </w:r>
      <w:r w:rsidR="00DB3E76" w:rsidRPr="00C36C8F">
        <w:t>n</w:t>
      </w:r>
      <w:r w:rsidRPr="00C36C8F">
        <w:t xml:space="preserve"> the net emission of methane from solid waste; that is, the amount of methane generated at landfills less the amount of methane recovered for energy or flared at landf</w:t>
      </w:r>
      <w:r w:rsidR="008B7924" w:rsidRPr="00C36C8F">
        <w:t xml:space="preserve">ills. </w:t>
      </w:r>
      <w:r w:rsidR="008B7924" w:rsidRPr="00826D48">
        <w:t xml:space="preserve">For the calendar year 2009 </w:t>
      </w:r>
      <w:r w:rsidRPr="00826D48">
        <w:t xml:space="preserve">national greenhouse gas emissions from landfills </w:t>
      </w:r>
      <w:r w:rsidR="00B532E6" w:rsidRPr="00826D48">
        <w:t xml:space="preserve">were </w:t>
      </w:r>
      <w:r w:rsidRPr="00826D48">
        <w:t>11.</w:t>
      </w:r>
      <w:r w:rsidR="008B7924" w:rsidRPr="00826D48">
        <w:t>0</w:t>
      </w:r>
      <w:r w:rsidRPr="00826D48">
        <w:t xml:space="preserve"> Mt CO</w:t>
      </w:r>
      <w:r w:rsidRPr="00826D48">
        <w:rPr>
          <w:vertAlign w:val="subscript"/>
        </w:rPr>
        <w:t>2</w:t>
      </w:r>
      <w:r w:rsidRPr="00826D48">
        <w:t>-e</w:t>
      </w:r>
      <w:r w:rsidR="00E27D8E" w:rsidRPr="00826D48">
        <w:t>, with the year-on-year results flattening off somewhat since 2007, perhaps reflecting the higher levels of methane recovery that are now occurring. The 2009 NGGI stated</w:t>
      </w:r>
      <w:r w:rsidRPr="00826D48">
        <w:t xml:space="preserve"> that:</w:t>
      </w:r>
    </w:p>
    <w:p w:rsidR="00D14763" w:rsidRPr="00826D48" w:rsidRDefault="00D14763" w:rsidP="000F35DD">
      <w:pPr>
        <w:pStyle w:val="ParaIndent"/>
        <w:ind w:left="1701"/>
        <w:jc w:val="both"/>
        <w:rPr>
          <w:sz w:val="18"/>
          <w:szCs w:val="18"/>
        </w:rPr>
      </w:pPr>
      <w:r w:rsidRPr="00826D48">
        <w:rPr>
          <w:sz w:val="18"/>
          <w:szCs w:val="18"/>
        </w:rPr>
        <w:t xml:space="preserve">Estimated emissions from solid waste disposal decreased by 3.8 Mt (25.5%) during the period 1990–2007 reflecting changing patterns of disposal, particularly higher rates of recycling, and from an increase in methane recovery). Net emissions from solid waste are estimated to have increased by 0.2 Mt (2.0%) in 2007 compared with 2006. Rates of methane recovery from solid waste have improved substantially since 1990, increasing from a negligible amount to 4.5 Mt </w:t>
      </w:r>
      <w:r w:rsidR="0009621A" w:rsidRPr="00826D48">
        <w:rPr>
          <w:sz w:val="18"/>
          <w:szCs w:val="18"/>
        </w:rPr>
        <w:t>CO</w:t>
      </w:r>
      <w:r w:rsidR="0009621A" w:rsidRPr="00826D48">
        <w:rPr>
          <w:sz w:val="18"/>
          <w:szCs w:val="18"/>
          <w:vertAlign w:val="subscript"/>
        </w:rPr>
        <w:t>2</w:t>
      </w:r>
      <w:r w:rsidR="0009621A" w:rsidRPr="00826D48">
        <w:rPr>
          <w:sz w:val="18"/>
          <w:szCs w:val="18"/>
        </w:rPr>
        <w:t>-e</w:t>
      </w:r>
      <w:r w:rsidRPr="00826D48">
        <w:rPr>
          <w:sz w:val="18"/>
          <w:szCs w:val="18"/>
        </w:rPr>
        <w:t xml:space="preserve"> of methane in 2007.</w:t>
      </w:r>
    </w:p>
    <w:p w:rsidR="00D14763" w:rsidRPr="00826D48" w:rsidRDefault="00B9555F" w:rsidP="000F35DD">
      <w:pPr>
        <w:pStyle w:val="ParaIndent"/>
        <w:keepLines/>
        <w:jc w:val="both"/>
      </w:pPr>
      <w:fldSimple w:instr=" REF _Ref287266305 \h  \* MERGEFORMAT ">
        <w:r w:rsidR="00AE7E3B" w:rsidRPr="00826D48">
          <w:t xml:space="preserve">Table </w:t>
        </w:r>
        <w:r w:rsidR="00AE7E3B" w:rsidRPr="00826D48">
          <w:rPr>
            <w:noProof/>
          </w:rPr>
          <w:t>5-46</w:t>
        </w:r>
      </w:fldSimple>
      <w:r w:rsidR="00D14763" w:rsidRPr="00826D48">
        <w:t xml:space="preserve"> provides an estimate of the methane emissions from landfill in each state and territory. These estimates have been generated using the national emissions total and the proportion of state and national solid waste disposal that is biodegradable waste (organics and paper/cardboard).</w:t>
      </w:r>
    </w:p>
    <w:p w:rsidR="00D14763" w:rsidRPr="00826D48" w:rsidRDefault="00D14763" w:rsidP="00D14763">
      <w:pPr>
        <w:pStyle w:val="Caption"/>
      </w:pPr>
      <w:bookmarkStart w:id="232" w:name="_Ref287266305"/>
      <w:r w:rsidRPr="00826D48">
        <w:t xml:space="preserve">Table </w:t>
      </w:r>
      <w:r w:rsidR="00B9555F" w:rsidRPr="00826D48">
        <w:fldChar w:fldCharType="begin"/>
      </w:r>
      <w:r w:rsidR="0008255D" w:rsidRPr="00826D48">
        <w:instrText xml:space="preserve"> STYLEREF "_Heading1" \n </w:instrText>
      </w:r>
      <w:r w:rsidR="00B9555F" w:rsidRPr="00826D48">
        <w:fldChar w:fldCharType="separate"/>
      </w:r>
      <w:r w:rsidR="008C199E" w:rsidRPr="008C199E">
        <w:rPr>
          <w:noProof/>
        </w:rPr>
        <w:t>5</w:t>
      </w:r>
      <w:r w:rsidR="00B9555F" w:rsidRPr="00826D48">
        <w:rPr>
          <w:noProof/>
        </w:rPr>
        <w:fldChar w:fldCharType="end"/>
      </w:r>
      <w:r w:rsidRPr="00826D48">
        <w:t>-</w:t>
      </w:r>
      <w:r w:rsidR="00B9555F" w:rsidRPr="00826D48">
        <w:fldChar w:fldCharType="begin"/>
      </w:r>
      <w:r w:rsidR="0008255D" w:rsidRPr="00826D48">
        <w:instrText xml:space="preserve"> SEQ Table \* Arabic </w:instrText>
      </w:r>
      <w:r w:rsidR="00B9555F" w:rsidRPr="00826D48">
        <w:fldChar w:fldCharType="separate"/>
      </w:r>
      <w:r w:rsidR="008C199E" w:rsidRPr="008C199E">
        <w:rPr>
          <w:noProof/>
        </w:rPr>
        <w:t>46</w:t>
      </w:r>
      <w:r w:rsidR="00B9555F" w:rsidRPr="00826D48">
        <w:rPr>
          <w:noProof/>
        </w:rPr>
        <w:fldChar w:fldCharType="end"/>
      </w:r>
      <w:bookmarkEnd w:id="232"/>
      <w:r w:rsidRPr="00826D48">
        <w:tab/>
        <w:t>Summary estimated net State emission of CO</w:t>
      </w:r>
      <w:r w:rsidRPr="00826D48">
        <w:rPr>
          <w:vertAlign w:val="subscript"/>
        </w:rPr>
        <w:t>2</w:t>
      </w:r>
      <w:r w:rsidR="0009621A" w:rsidRPr="00826D48">
        <w:rPr>
          <w:vertAlign w:val="subscript"/>
        </w:rPr>
        <w:noBreakHyphen/>
      </w:r>
      <w:r w:rsidRPr="00826D48">
        <w:rPr>
          <w:vertAlign w:val="subscript"/>
        </w:rPr>
        <w:t>e</w:t>
      </w:r>
      <w:r w:rsidRPr="00826D48">
        <w:t xml:space="preserve"> from landfill</w:t>
      </w:r>
    </w:p>
    <w:tbl>
      <w:tblPr>
        <w:tblW w:w="9639" w:type="dxa"/>
        <w:tblBorders>
          <w:bottom w:val="single" w:sz="18" w:space="0" w:color="808080"/>
          <w:insideH w:val="single" w:sz="4" w:space="0" w:color="808080"/>
        </w:tblBorders>
        <w:tblLayout w:type="fixed"/>
        <w:tblCellMar>
          <w:left w:w="0" w:type="dxa"/>
          <w:right w:w="0" w:type="dxa"/>
        </w:tblCellMar>
        <w:tblLook w:val="01E0"/>
      </w:tblPr>
      <w:tblGrid>
        <w:gridCol w:w="2684"/>
        <w:gridCol w:w="772"/>
        <w:gridCol w:w="773"/>
        <w:gridCol w:w="773"/>
        <w:gridCol w:w="773"/>
        <w:gridCol w:w="772"/>
        <w:gridCol w:w="773"/>
        <w:gridCol w:w="902"/>
        <w:gridCol w:w="850"/>
        <w:gridCol w:w="567"/>
      </w:tblGrid>
      <w:tr w:rsidR="00D14763" w:rsidRPr="00826D48" w:rsidTr="003A42B0">
        <w:trPr>
          <w:cantSplit/>
        </w:trPr>
        <w:tc>
          <w:tcPr>
            <w:tcW w:w="2684" w:type="dxa"/>
            <w:tcBorders>
              <w:bottom w:val="single" w:sz="4" w:space="0" w:color="808080"/>
            </w:tcBorders>
            <w:shd w:val="clear" w:color="auto" w:fill="auto"/>
            <w:vAlign w:val="center"/>
          </w:tcPr>
          <w:p w:rsidR="00D14763" w:rsidRPr="00826D48" w:rsidRDefault="00D14763" w:rsidP="00BE69D2">
            <w:pPr>
              <w:pStyle w:val="TableHeading"/>
            </w:pPr>
          </w:p>
        </w:tc>
        <w:tc>
          <w:tcPr>
            <w:tcW w:w="772" w:type="dxa"/>
            <w:tcBorders>
              <w:bottom w:val="single" w:sz="4" w:space="0" w:color="808080"/>
            </w:tcBorders>
            <w:shd w:val="clear" w:color="auto" w:fill="auto"/>
            <w:vAlign w:val="center"/>
          </w:tcPr>
          <w:p w:rsidR="00D14763" w:rsidRPr="00826D48" w:rsidRDefault="00D14763" w:rsidP="00E27D8E">
            <w:pPr>
              <w:pStyle w:val="TableHeading"/>
              <w:jc w:val="center"/>
            </w:pPr>
            <w:r w:rsidRPr="00826D48">
              <w:t>NSW</w:t>
            </w:r>
          </w:p>
        </w:tc>
        <w:tc>
          <w:tcPr>
            <w:tcW w:w="773" w:type="dxa"/>
            <w:tcBorders>
              <w:bottom w:val="single" w:sz="4" w:space="0" w:color="808080"/>
            </w:tcBorders>
            <w:shd w:val="clear" w:color="auto" w:fill="auto"/>
            <w:vAlign w:val="center"/>
          </w:tcPr>
          <w:p w:rsidR="00D14763" w:rsidRPr="00826D48" w:rsidRDefault="00D14763" w:rsidP="00E27D8E">
            <w:pPr>
              <w:pStyle w:val="TableHeading"/>
              <w:jc w:val="center"/>
            </w:pPr>
            <w:r w:rsidRPr="00826D48">
              <w:t>VIC</w:t>
            </w:r>
          </w:p>
        </w:tc>
        <w:tc>
          <w:tcPr>
            <w:tcW w:w="773" w:type="dxa"/>
            <w:tcBorders>
              <w:bottom w:val="single" w:sz="4" w:space="0" w:color="808080"/>
            </w:tcBorders>
            <w:shd w:val="clear" w:color="auto" w:fill="auto"/>
            <w:vAlign w:val="center"/>
          </w:tcPr>
          <w:p w:rsidR="00D14763" w:rsidRPr="00826D48" w:rsidRDefault="00D14763" w:rsidP="00E27D8E">
            <w:pPr>
              <w:pStyle w:val="TableHeading"/>
              <w:jc w:val="center"/>
            </w:pPr>
            <w:r w:rsidRPr="00826D48">
              <w:t>QLD</w:t>
            </w:r>
          </w:p>
        </w:tc>
        <w:tc>
          <w:tcPr>
            <w:tcW w:w="773" w:type="dxa"/>
            <w:tcBorders>
              <w:bottom w:val="single" w:sz="4" w:space="0" w:color="808080"/>
            </w:tcBorders>
            <w:shd w:val="clear" w:color="auto" w:fill="auto"/>
            <w:vAlign w:val="center"/>
          </w:tcPr>
          <w:p w:rsidR="00D14763" w:rsidRPr="00826D48" w:rsidRDefault="00D14763" w:rsidP="00E27D8E">
            <w:pPr>
              <w:pStyle w:val="TableHeading"/>
              <w:jc w:val="center"/>
            </w:pPr>
            <w:r w:rsidRPr="00826D48">
              <w:t>SA</w:t>
            </w:r>
          </w:p>
        </w:tc>
        <w:tc>
          <w:tcPr>
            <w:tcW w:w="772" w:type="dxa"/>
            <w:tcBorders>
              <w:bottom w:val="single" w:sz="4" w:space="0" w:color="808080"/>
            </w:tcBorders>
            <w:shd w:val="clear" w:color="auto" w:fill="auto"/>
            <w:vAlign w:val="center"/>
          </w:tcPr>
          <w:p w:rsidR="00D14763" w:rsidRPr="00826D48" w:rsidRDefault="00D14763" w:rsidP="00E27D8E">
            <w:pPr>
              <w:pStyle w:val="TableHeading"/>
              <w:jc w:val="center"/>
            </w:pPr>
            <w:r w:rsidRPr="00826D48">
              <w:t>WA</w:t>
            </w:r>
          </w:p>
        </w:tc>
        <w:tc>
          <w:tcPr>
            <w:tcW w:w="773" w:type="dxa"/>
            <w:tcBorders>
              <w:bottom w:val="single" w:sz="4" w:space="0" w:color="808080"/>
            </w:tcBorders>
            <w:shd w:val="clear" w:color="auto" w:fill="auto"/>
            <w:vAlign w:val="center"/>
          </w:tcPr>
          <w:p w:rsidR="00D14763" w:rsidRPr="00826D48" w:rsidRDefault="00D14763" w:rsidP="00E27D8E">
            <w:pPr>
              <w:pStyle w:val="TableHeading"/>
              <w:jc w:val="center"/>
            </w:pPr>
            <w:r w:rsidRPr="00826D48">
              <w:t>TAS</w:t>
            </w:r>
          </w:p>
        </w:tc>
        <w:tc>
          <w:tcPr>
            <w:tcW w:w="902" w:type="dxa"/>
            <w:tcBorders>
              <w:bottom w:val="single" w:sz="4" w:space="0" w:color="808080"/>
            </w:tcBorders>
            <w:shd w:val="clear" w:color="auto" w:fill="auto"/>
            <w:vAlign w:val="center"/>
          </w:tcPr>
          <w:p w:rsidR="00D14763" w:rsidRPr="00826D48" w:rsidRDefault="00D14763" w:rsidP="00E27D8E">
            <w:pPr>
              <w:pStyle w:val="TableHeading"/>
              <w:jc w:val="center"/>
            </w:pPr>
            <w:r w:rsidRPr="00826D48">
              <w:t>ACT</w:t>
            </w:r>
          </w:p>
        </w:tc>
        <w:tc>
          <w:tcPr>
            <w:tcW w:w="850" w:type="dxa"/>
            <w:tcBorders>
              <w:bottom w:val="single" w:sz="4" w:space="0" w:color="808080"/>
            </w:tcBorders>
            <w:shd w:val="clear" w:color="auto" w:fill="auto"/>
            <w:vAlign w:val="center"/>
          </w:tcPr>
          <w:p w:rsidR="00D14763" w:rsidRPr="00826D48" w:rsidRDefault="00D14763" w:rsidP="00E27D8E">
            <w:pPr>
              <w:pStyle w:val="TableHeading"/>
              <w:jc w:val="center"/>
            </w:pPr>
            <w:r w:rsidRPr="00826D48">
              <w:t>NT</w:t>
            </w:r>
          </w:p>
        </w:tc>
        <w:tc>
          <w:tcPr>
            <w:tcW w:w="567" w:type="dxa"/>
            <w:tcBorders>
              <w:bottom w:val="single" w:sz="4" w:space="0" w:color="808080"/>
            </w:tcBorders>
            <w:vAlign w:val="center"/>
          </w:tcPr>
          <w:p w:rsidR="00D14763" w:rsidRPr="00826D48" w:rsidRDefault="00D14763" w:rsidP="00E27D8E">
            <w:pPr>
              <w:pStyle w:val="TableHeading"/>
              <w:jc w:val="center"/>
            </w:pPr>
            <w:r w:rsidRPr="00826D48">
              <w:t>Total</w:t>
            </w:r>
          </w:p>
        </w:tc>
      </w:tr>
      <w:tr w:rsidR="00E27D8E" w:rsidRPr="00826D48" w:rsidTr="003A42B0">
        <w:trPr>
          <w:cantSplit/>
        </w:trPr>
        <w:tc>
          <w:tcPr>
            <w:tcW w:w="2684" w:type="dxa"/>
            <w:tcBorders>
              <w:top w:val="single" w:sz="4" w:space="0" w:color="808080"/>
              <w:bottom w:val="single" w:sz="4" w:space="0" w:color="808080"/>
            </w:tcBorders>
            <w:shd w:val="clear" w:color="auto" w:fill="auto"/>
            <w:vAlign w:val="center"/>
          </w:tcPr>
          <w:p w:rsidR="00E27D8E" w:rsidRPr="00826D48" w:rsidRDefault="00E27D8E" w:rsidP="00BE69D2">
            <w:pPr>
              <w:pStyle w:val="TableText"/>
              <w:keepNext/>
            </w:pPr>
            <w:r w:rsidRPr="00826D48">
              <w:t>Landfill emissions (net Mt CO</w:t>
            </w:r>
            <w:r w:rsidRPr="00826D48">
              <w:rPr>
                <w:vertAlign w:val="subscript"/>
              </w:rPr>
              <w:t>2</w:t>
            </w:r>
            <w:r w:rsidRPr="00826D48">
              <w:noBreakHyphen/>
              <w:t>e)</w:t>
            </w:r>
          </w:p>
        </w:tc>
        <w:tc>
          <w:tcPr>
            <w:tcW w:w="772" w:type="dxa"/>
            <w:tcBorders>
              <w:top w:val="single" w:sz="4" w:space="0" w:color="808080"/>
              <w:bottom w:val="single" w:sz="4" w:space="0" w:color="808080"/>
            </w:tcBorders>
            <w:shd w:val="clear" w:color="auto" w:fill="auto"/>
            <w:vAlign w:val="center"/>
          </w:tcPr>
          <w:p w:rsidR="00E27D8E" w:rsidRPr="00826D48" w:rsidRDefault="00E27D8E" w:rsidP="00E27D8E">
            <w:pPr>
              <w:pStyle w:val="TableText"/>
              <w:keepNext/>
              <w:jc w:val="center"/>
            </w:pPr>
            <w:r w:rsidRPr="00826D48">
              <w:rPr>
                <w:rFonts w:ascii="Calibri" w:hAnsi="Calibri" w:cs="Calibri"/>
                <w:color w:val="000000"/>
                <w:sz w:val="20"/>
              </w:rPr>
              <w:t>3.</w:t>
            </w:r>
            <w:r w:rsidR="00CA2103" w:rsidRPr="00826D48">
              <w:rPr>
                <w:rFonts w:ascii="Calibri" w:hAnsi="Calibri" w:cs="Calibri"/>
                <w:color w:val="000000"/>
                <w:sz w:val="20"/>
              </w:rPr>
              <w:t>2</w:t>
            </w:r>
          </w:p>
        </w:tc>
        <w:tc>
          <w:tcPr>
            <w:tcW w:w="773" w:type="dxa"/>
            <w:tcBorders>
              <w:top w:val="single" w:sz="4" w:space="0" w:color="808080"/>
              <w:bottom w:val="single" w:sz="4" w:space="0" w:color="808080"/>
            </w:tcBorders>
            <w:shd w:val="clear" w:color="auto" w:fill="auto"/>
            <w:vAlign w:val="center"/>
          </w:tcPr>
          <w:p w:rsidR="00E27D8E" w:rsidRPr="00826D48" w:rsidRDefault="00E27D8E" w:rsidP="00E27D8E">
            <w:pPr>
              <w:pStyle w:val="TableText"/>
              <w:keepNext/>
              <w:jc w:val="center"/>
            </w:pPr>
            <w:r w:rsidRPr="00826D48">
              <w:rPr>
                <w:rFonts w:ascii="Calibri" w:hAnsi="Calibri" w:cs="Calibri"/>
                <w:color w:val="000000"/>
                <w:sz w:val="20"/>
              </w:rPr>
              <w:t>2.</w:t>
            </w:r>
            <w:r w:rsidR="00CA2103" w:rsidRPr="00826D48">
              <w:rPr>
                <w:rFonts w:ascii="Calibri" w:hAnsi="Calibri" w:cs="Calibri"/>
                <w:color w:val="000000"/>
                <w:sz w:val="20"/>
              </w:rPr>
              <w:t>3</w:t>
            </w:r>
          </w:p>
        </w:tc>
        <w:tc>
          <w:tcPr>
            <w:tcW w:w="773" w:type="dxa"/>
            <w:tcBorders>
              <w:top w:val="single" w:sz="4" w:space="0" w:color="808080"/>
              <w:bottom w:val="single" w:sz="4" w:space="0" w:color="808080"/>
            </w:tcBorders>
            <w:shd w:val="clear" w:color="auto" w:fill="auto"/>
            <w:vAlign w:val="center"/>
          </w:tcPr>
          <w:p w:rsidR="00E27D8E" w:rsidRPr="00826D48" w:rsidRDefault="00E27D8E" w:rsidP="00E27D8E">
            <w:pPr>
              <w:pStyle w:val="TableText"/>
              <w:keepNext/>
              <w:jc w:val="center"/>
            </w:pPr>
            <w:r w:rsidRPr="00826D48">
              <w:rPr>
                <w:rFonts w:ascii="Calibri" w:hAnsi="Calibri" w:cs="Calibri"/>
                <w:color w:val="000000"/>
                <w:sz w:val="20"/>
              </w:rPr>
              <w:t>2.5</w:t>
            </w:r>
          </w:p>
        </w:tc>
        <w:tc>
          <w:tcPr>
            <w:tcW w:w="773" w:type="dxa"/>
            <w:tcBorders>
              <w:top w:val="single" w:sz="4" w:space="0" w:color="808080"/>
              <w:bottom w:val="single" w:sz="4" w:space="0" w:color="808080"/>
            </w:tcBorders>
            <w:shd w:val="clear" w:color="auto" w:fill="auto"/>
            <w:vAlign w:val="center"/>
          </w:tcPr>
          <w:p w:rsidR="00E27D8E" w:rsidRPr="00826D48" w:rsidRDefault="00E27D8E" w:rsidP="00E27D8E">
            <w:pPr>
              <w:pStyle w:val="TableText"/>
              <w:keepNext/>
              <w:jc w:val="center"/>
            </w:pPr>
            <w:r w:rsidRPr="00826D48">
              <w:rPr>
                <w:rFonts w:ascii="Calibri" w:hAnsi="Calibri" w:cs="Calibri"/>
                <w:color w:val="000000"/>
                <w:sz w:val="20"/>
              </w:rPr>
              <w:t>0.5</w:t>
            </w:r>
          </w:p>
        </w:tc>
        <w:tc>
          <w:tcPr>
            <w:tcW w:w="772" w:type="dxa"/>
            <w:tcBorders>
              <w:top w:val="single" w:sz="4" w:space="0" w:color="808080"/>
              <w:bottom w:val="single" w:sz="4" w:space="0" w:color="808080"/>
            </w:tcBorders>
            <w:shd w:val="clear" w:color="auto" w:fill="auto"/>
            <w:vAlign w:val="center"/>
          </w:tcPr>
          <w:p w:rsidR="00E27D8E" w:rsidRPr="00826D48" w:rsidRDefault="00E27D8E" w:rsidP="00E27D8E">
            <w:pPr>
              <w:pStyle w:val="TableText"/>
              <w:keepNext/>
              <w:jc w:val="center"/>
            </w:pPr>
            <w:r w:rsidRPr="00826D48">
              <w:rPr>
                <w:rFonts w:ascii="Calibri" w:hAnsi="Calibri" w:cs="Calibri"/>
                <w:color w:val="000000"/>
                <w:sz w:val="20"/>
              </w:rPr>
              <w:t>2.0</w:t>
            </w:r>
          </w:p>
        </w:tc>
        <w:tc>
          <w:tcPr>
            <w:tcW w:w="773" w:type="dxa"/>
            <w:tcBorders>
              <w:top w:val="single" w:sz="4" w:space="0" w:color="808080"/>
              <w:bottom w:val="single" w:sz="4" w:space="0" w:color="808080"/>
            </w:tcBorders>
            <w:shd w:val="clear" w:color="auto" w:fill="auto"/>
            <w:vAlign w:val="center"/>
          </w:tcPr>
          <w:p w:rsidR="00E27D8E" w:rsidRPr="00826D48" w:rsidRDefault="00E27D8E" w:rsidP="00E27D8E">
            <w:pPr>
              <w:pStyle w:val="TableText"/>
              <w:keepNext/>
              <w:jc w:val="center"/>
            </w:pPr>
            <w:r w:rsidRPr="00826D48">
              <w:rPr>
                <w:rFonts w:ascii="Calibri" w:hAnsi="Calibri" w:cs="Calibri"/>
                <w:color w:val="000000"/>
                <w:sz w:val="20"/>
              </w:rPr>
              <w:t>0.2</w:t>
            </w:r>
          </w:p>
        </w:tc>
        <w:tc>
          <w:tcPr>
            <w:tcW w:w="902" w:type="dxa"/>
            <w:tcBorders>
              <w:top w:val="single" w:sz="4" w:space="0" w:color="808080"/>
              <w:bottom w:val="single" w:sz="4" w:space="0" w:color="808080"/>
            </w:tcBorders>
            <w:shd w:val="clear" w:color="auto" w:fill="auto"/>
            <w:vAlign w:val="center"/>
          </w:tcPr>
          <w:p w:rsidR="00E27D8E" w:rsidRPr="00826D48" w:rsidRDefault="00E27D8E" w:rsidP="00E27D8E">
            <w:pPr>
              <w:pStyle w:val="TableText"/>
              <w:keepNext/>
              <w:jc w:val="center"/>
            </w:pPr>
            <w:r w:rsidRPr="00826D48">
              <w:rPr>
                <w:rFonts w:ascii="Calibri" w:hAnsi="Calibri" w:cs="Calibri"/>
                <w:color w:val="000000"/>
                <w:sz w:val="20"/>
              </w:rPr>
              <w:t>0.1</w:t>
            </w:r>
          </w:p>
        </w:tc>
        <w:tc>
          <w:tcPr>
            <w:tcW w:w="850" w:type="dxa"/>
            <w:tcBorders>
              <w:top w:val="single" w:sz="4" w:space="0" w:color="808080"/>
              <w:bottom w:val="single" w:sz="4" w:space="0" w:color="808080"/>
            </w:tcBorders>
            <w:shd w:val="clear" w:color="auto" w:fill="auto"/>
            <w:vAlign w:val="center"/>
          </w:tcPr>
          <w:p w:rsidR="00E27D8E" w:rsidRPr="00826D48" w:rsidRDefault="00E27D8E" w:rsidP="00E27D8E">
            <w:pPr>
              <w:pStyle w:val="TableText"/>
              <w:keepNext/>
              <w:jc w:val="center"/>
              <w:rPr>
                <w:sz w:val="16"/>
                <w:szCs w:val="16"/>
              </w:rPr>
            </w:pPr>
            <w:r w:rsidRPr="00826D48">
              <w:rPr>
                <w:rFonts w:ascii="Calibri" w:hAnsi="Calibri" w:cs="Calibri"/>
                <w:color w:val="000000"/>
                <w:sz w:val="20"/>
              </w:rPr>
              <w:t>0.2</w:t>
            </w:r>
          </w:p>
        </w:tc>
        <w:tc>
          <w:tcPr>
            <w:tcW w:w="567" w:type="dxa"/>
            <w:tcBorders>
              <w:top w:val="single" w:sz="4" w:space="0" w:color="808080"/>
              <w:bottom w:val="single" w:sz="4" w:space="0" w:color="808080"/>
            </w:tcBorders>
            <w:vAlign w:val="center"/>
          </w:tcPr>
          <w:p w:rsidR="00E27D8E" w:rsidRPr="00826D48" w:rsidRDefault="00E27D8E" w:rsidP="00E27D8E">
            <w:pPr>
              <w:pStyle w:val="TableText"/>
              <w:keepNext/>
              <w:jc w:val="center"/>
            </w:pPr>
            <w:r w:rsidRPr="00826D48">
              <w:rPr>
                <w:rFonts w:ascii="Calibri" w:hAnsi="Calibri" w:cs="Calibri"/>
                <w:color w:val="000000"/>
                <w:sz w:val="20"/>
              </w:rPr>
              <w:t>11.0</w:t>
            </w:r>
          </w:p>
        </w:tc>
      </w:tr>
      <w:tr w:rsidR="00D14763" w:rsidRPr="00C36C8F" w:rsidTr="003A42B0">
        <w:trPr>
          <w:cantSplit/>
        </w:trPr>
        <w:tc>
          <w:tcPr>
            <w:tcW w:w="9639" w:type="dxa"/>
            <w:gridSpan w:val="10"/>
            <w:tcBorders>
              <w:top w:val="single" w:sz="4" w:space="0" w:color="808080"/>
              <w:bottom w:val="single" w:sz="4" w:space="0" w:color="808080"/>
            </w:tcBorders>
            <w:shd w:val="clear" w:color="auto" w:fill="auto"/>
            <w:vAlign w:val="center"/>
          </w:tcPr>
          <w:p w:rsidR="00D14763" w:rsidRPr="00C36C8F" w:rsidRDefault="00D14763" w:rsidP="000B7CA4">
            <w:pPr>
              <w:pStyle w:val="TableText"/>
              <w:spacing w:before="0" w:after="0"/>
              <w:rPr>
                <w:sz w:val="16"/>
                <w:szCs w:val="16"/>
              </w:rPr>
            </w:pPr>
            <w:r w:rsidRPr="00826D48">
              <w:rPr>
                <w:sz w:val="16"/>
                <w:szCs w:val="16"/>
              </w:rPr>
              <w:t xml:space="preserve">Note it has been assumed that the amount of landfill gas energy recovery and flaring is consistent across the states for rates of tonnages disposed. For example, NSW has a higher number of gas burning and flaring units than Tasmania, however, </w:t>
            </w:r>
            <w:r w:rsidR="000B7CA4" w:rsidRPr="00826D48">
              <w:rPr>
                <w:sz w:val="16"/>
                <w:szCs w:val="16"/>
              </w:rPr>
              <w:t>it</w:t>
            </w:r>
            <w:r w:rsidRPr="00826D48">
              <w:rPr>
                <w:sz w:val="16"/>
                <w:szCs w:val="16"/>
              </w:rPr>
              <w:t xml:space="preserve"> also </w:t>
            </w:r>
            <w:r w:rsidR="00047847" w:rsidRPr="00826D48">
              <w:rPr>
                <w:sz w:val="16"/>
                <w:szCs w:val="16"/>
              </w:rPr>
              <w:t>ha</w:t>
            </w:r>
            <w:r w:rsidR="000B7CA4" w:rsidRPr="00826D48">
              <w:rPr>
                <w:sz w:val="16"/>
                <w:szCs w:val="16"/>
              </w:rPr>
              <w:t>s</w:t>
            </w:r>
            <w:r w:rsidR="00047847" w:rsidRPr="00826D48">
              <w:rPr>
                <w:sz w:val="16"/>
                <w:szCs w:val="16"/>
              </w:rPr>
              <w:t xml:space="preserve"> </w:t>
            </w:r>
            <w:r w:rsidRPr="00826D48">
              <w:rPr>
                <w:sz w:val="16"/>
                <w:szCs w:val="16"/>
              </w:rPr>
              <w:t>a significantly higher waste volume.</w:t>
            </w:r>
          </w:p>
        </w:tc>
      </w:tr>
    </w:tbl>
    <w:p w:rsidR="00D14763" w:rsidRDefault="00D14763" w:rsidP="00982ACC">
      <w:pPr>
        <w:pStyle w:val="Footer0"/>
        <w:spacing w:before="0" w:after="180" w:line="260" w:lineRule="atLeast"/>
        <w:ind w:left="1134"/>
      </w:pPr>
    </w:p>
    <w:p w:rsidR="00D14763" w:rsidRPr="00C36C8F" w:rsidRDefault="00D14763" w:rsidP="00982ACC">
      <w:pPr>
        <w:pStyle w:val="ParaIndent"/>
        <w:jc w:val="both"/>
      </w:pPr>
      <w:r w:rsidRPr="00C36C8F">
        <w:t>Emissions from waste have some characteristics that are quite different from those of other sectors. Firstly, most activities that result in emissions (e.g. burning fossil fuels) cause emissions to arise instantaneously. Disposal of waste in landfill, on the other hand, causes emissions to be generated over several decades. Secondly, the emissions from most other sectors can be measured with a reasonable degree of accuracy whereas emissions from landfills are highly variable and difficult to predict</w:t>
      </w:r>
      <w:r w:rsidR="00B87B7A">
        <w:t xml:space="preserve"> accurately</w:t>
      </w:r>
      <w:r w:rsidRPr="00C36C8F">
        <w:t xml:space="preserve"> even when data on waste composition is available.</w:t>
      </w:r>
      <w:r w:rsidR="001723F1">
        <w:t xml:space="preserve"> The solid waste calculator on the Clean Energy Regulator is available to landfill operators to calculate emissions.</w:t>
      </w:r>
      <w:r w:rsidRPr="00C36C8F">
        <w:t xml:space="preserve"> </w:t>
      </w:r>
    </w:p>
    <w:p w:rsidR="00D14763" w:rsidRPr="00C36C8F" w:rsidRDefault="00D14763" w:rsidP="00982ACC">
      <w:pPr>
        <w:pStyle w:val="ParaIndent"/>
        <w:jc w:val="both"/>
      </w:pPr>
      <w:r w:rsidRPr="00C36C8F">
        <w:t xml:space="preserve">The NGGI model for estimating emissions from waste is built up material-by-material based on various assumed factors. These include quantities disposed, average composition, degradable organic carbon content and degradation rate. Similar factors are used in other Department of Climate Change and Energy Efficiency (DCCEE) publications that provide guidance on how to estimate landfill-specific emissions or indirect Scope 3 emissions from an organisation’s waste. </w:t>
      </w:r>
    </w:p>
    <w:p w:rsidR="00D14763" w:rsidRPr="00C36C8F" w:rsidRDefault="00D14763" w:rsidP="00982ACC">
      <w:pPr>
        <w:pStyle w:val="ParaIndent"/>
        <w:jc w:val="both"/>
      </w:pPr>
      <w:r w:rsidRPr="00C36C8F">
        <w:t xml:space="preserve">The Scope 3 method applies net emission factors ignoring the time factor of emission and can be used for estimating net greenhouse impacts by material stream and by waste type as shown in </w:t>
      </w:r>
      <w:fldSimple w:instr=" REF _Ref284605959 \h  \* MERGEFORMAT ">
        <w:r w:rsidR="00AE7E3B" w:rsidRPr="00C36C8F">
          <w:t xml:space="preserve">Figure </w:t>
        </w:r>
        <w:r w:rsidR="00AE7E3B">
          <w:rPr>
            <w:noProof/>
          </w:rPr>
          <w:t>5</w:t>
        </w:r>
        <w:r w:rsidR="00AE7E3B" w:rsidRPr="00C36C8F">
          <w:rPr>
            <w:noProof/>
          </w:rPr>
          <w:t>-</w:t>
        </w:r>
        <w:r w:rsidR="00AE7E3B">
          <w:rPr>
            <w:noProof/>
          </w:rPr>
          <w:t>27</w:t>
        </w:r>
      </w:fldSimple>
      <w:r w:rsidRPr="00C36C8F">
        <w:t>.</w:t>
      </w:r>
      <w:r w:rsidR="005B65D5" w:rsidRPr="00C36C8F">
        <w:t xml:space="preserve"> According to the figures</w:t>
      </w:r>
      <w:r w:rsidR="00DB3E76" w:rsidRPr="00C36C8F">
        <w:t>,</w:t>
      </w:r>
      <w:r w:rsidR="005B65D5" w:rsidRPr="00C36C8F">
        <w:t xml:space="preserve"> paper and</w:t>
      </w:r>
      <w:r w:rsidRPr="00C36C8F">
        <w:t xml:space="preserve"> paperboard are the most significant material types in both C&amp;I and MSW streams. One of the implications of this is that some landfills currently classified as inert but able to accept commercial wastes may generate high levels of greenhouse gases.</w:t>
      </w:r>
    </w:p>
    <w:tbl>
      <w:tblPr>
        <w:tblW w:w="8505" w:type="dxa"/>
        <w:tblInd w:w="1242" w:type="dxa"/>
        <w:tblLayout w:type="fixed"/>
        <w:tblLook w:val="0000"/>
      </w:tblPr>
      <w:tblGrid>
        <w:gridCol w:w="8505"/>
      </w:tblGrid>
      <w:tr w:rsidR="00D14763" w:rsidRPr="00C36C8F" w:rsidTr="00361664">
        <w:trPr>
          <w:cantSplit/>
        </w:trPr>
        <w:tc>
          <w:tcPr>
            <w:tcW w:w="8505" w:type="dxa"/>
          </w:tcPr>
          <w:p w:rsidR="00D14763" w:rsidRPr="00C36C8F" w:rsidRDefault="00361664" w:rsidP="008A50EC">
            <w:pPr>
              <w:pStyle w:val="TableText0"/>
              <w:keepNext/>
              <w:ind w:left="0"/>
            </w:pPr>
            <w:r w:rsidRPr="00C36C8F">
              <w:rPr>
                <w:noProof/>
                <w:lang w:eastAsia="en-AU"/>
              </w:rPr>
              <w:drawing>
                <wp:inline distT="0" distB="0" distL="0" distR="0">
                  <wp:extent cx="5467350" cy="3176588"/>
                  <wp:effectExtent l="0" t="0" r="0" b="50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D14763" w:rsidRPr="00C36C8F" w:rsidTr="00361664">
        <w:tblPrEx>
          <w:tblCellMar>
            <w:left w:w="0" w:type="dxa"/>
            <w:right w:w="0" w:type="dxa"/>
          </w:tblCellMar>
        </w:tblPrEx>
        <w:trPr>
          <w:cantSplit/>
        </w:trPr>
        <w:tc>
          <w:tcPr>
            <w:tcW w:w="8505" w:type="dxa"/>
          </w:tcPr>
          <w:p w:rsidR="00D14763" w:rsidRPr="00C36C8F" w:rsidRDefault="00D14763" w:rsidP="00FE3FE2">
            <w:pPr>
              <w:pStyle w:val="Caption"/>
            </w:pPr>
            <w:bookmarkStart w:id="233" w:name="_Ref284605959"/>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5</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27</w:t>
            </w:r>
            <w:r w:rsidR="00B9555F" w:rsidRPr="00C36C8F">
              <w:rPr>
                <w:noProof/>
              </w:rPr>
              <w:fldChar w:fldCharType="end"/>
            </w:r>
            <w:bookmarkEnd w:id="233"/>
            <w:r w:rsidRPr="00C36C8F">
              <w:tab/>
              <w:t>Predicted overall emissions from deposition of a tonne of waste in a landfill without gas capture, based on DCCEE methods and default values</w:t>
            </w:r>
            <w:r w:rsidR="00B87B7A">
              <w:t xml:space="preserve"> (2011)</w:t>
            </w:r>
            <w:r w:rsidR="00361664" w:rsidRPr="00C36C8F">
              <w:rPr>
                <w:rStyle w:val="FootnoteReference"/>
              </w:rPr>
              <w:footnoteReference w:id="21"/>
            </w:r>
          </w:p>
        </w:tc>
      </w:tr>
    </w:tbl>
    <w:p w:rsidR="00D14763" w:rsidRPr="00C36C8F" w:rsidRDefault="00D14763" w:rsidP="00D14763">
      <w:pPr>
        <w:pStyle w:val="Footer0"/>
        <w:ind w:left="1134"/>
      </w:pPr>
    </w:p>
    <w:p w:rsidR="00D14763" w:rsidRPr="00C36C8F" w:rsidRDefault="00D14763" w:rsidP="00982ACC">
      <w:pPr>
        <w:pStyle w:val="Heading40"/>
        <w:spacing w:before="0"/>
      </w:pPr>
      <w:r w:rsidRPr="00C36C8F">
        <w:t>Reducing greenhouse gas emissions from landfill</w:t>
      </w:r>
    </w:p>
    <w:p w:rsidR="00D14763" w:rsidRPr="00C36C8F" w:rsidRDefault="00D14763" w:rsidP="00982ACC">
      <w:pPr>
        <w:pStyle w:val="ParaIndent"/>
        <w:jc w:val="both"/>
      </w:pPr>
      <w:r w:rsidRPr="00C36C8F">
        <w:t>The greenhouse implications of waste and landfills are an increasingly significant issue. A wide range of methods are available for managing the methane emissions from landfills, including:</w:t>
      </w:r>
    </w:p>
    <w:p w:rsidR="00D14763" w:rsidRPr="00C36C8F" w:rsidRDefault="00925FA9" w:rsidP="00982ACC">
      <w:pPr>
        <w:pStyle w:val="BulletPoints"/>
        <w:tabs>
          <w:tab w:val="clear" w:pos="567"/>
          <w:tab w:val="left" w:pos="1134"/>
          <w:tab w:val="num" w:pos="1701"/>
          <w:tab w:val="left" w:pos="2268"/>
        </w:tabs>
        <w:spacing w:after="180"/>
        <w:ind w:left="1701"/>
        <w:jc w:val="both"/>
      </w:pPr>
      <w:r>
        <w:t>d</w:t>
      </w:r>
      <w:r w:rsidR="00D14763" w:rsidRPr="00C36C8F">
        <w:t>iversion of organic materials from landfill. This has been a favoured policy response. Green waste composting is well-established and some diversion of food waste is now occurring. Technologies that control odour risks and that deal with mixed waste streams are available, including mechanical-biological treatments, anaerobic digestion and controlled-enviro</w:t>
      </w:r>
      <w:r>
        <w:t>nment composting</w:t>
      </w:r>
      <w:r w:rsidR="007C0782">
        <w:t>.</w:t>
      </w:r>
    </w:p>
    <w:p w:rsidR="00D14763" w:rsidRPr="00C36C8F" w:rsidRDefault="00925FA9" w:rsidP="00982ACC">
      <w:pPr>
        <w:pStyle w:val="BulletPoints"/>
        <w:tabs>
          <w:tab w:val="clear" w:pos="567"/>
          <w:tab w:val="left" w:pos="1134"/>
          <w:tab w:val="num" w:pos="1701"/>
          <w:tab w:val="left" w:pos="2268"/>
        </w:tabs>
        <w:spacing w:after="180"/>
        <w:ind w:left="1701"/>
        <w:jc w:val="both"/>
      </w:pPr>
      <w:r>
        <w:t>m</w:t>
      </w:r>
      <w:r w:rsidR="00D14763" w:rsidRPr="00C36C8F">
        <w:t>aximising methane oxidation in the upper layers. As methane passes through landfill covers and caps</w:t>
      </w:r>
      <w:r w:rsidR="00DB3E76" w:rsidRPr="00C36C8F">
        <w:t>,</w:t>
      </w:r>
      <w:r w:rsidR="00D14763" w:rsidRPr="00C36C8F">
        <w:t xml:space="preserve"> microbial action can oxidise a proportion of the gas to CO</w:t>
      </w:r>
      <w:r w:rsidR="00D14763" w:rsidRPr="00C36C8F">
        <w:rPr>
          <w:vertAlign w:val="subscript"/>
        </w:rPr>
        <w:t>2</w:t>
      </w:r>
      <w:r w:rsidR="00D14763" w:rsidRPr="00C36C8F">
        <w:t>. The proportion that is oxidised can be increased by reducing the timeframe for completion of cells and by encouraging emitted methane to pass through organically rich materials, such as compost-ric</w:t>
      </w:r>
      <w:r>
        <w:t>h capping layers or biofilters</w:t>
      </w:r>
      <w:r w:rsidR="007C0782">
        <w:t>.</w:t>
      </w:r>
    </w:p>
    <w:p w:rsidR="00D14763" w:rsidRPr="00C36C8F" w:rsidRDefault="00925FA9" w:rsidP="00982ACC">
      <w:pPr>
        <w:pStyle w:val="BulletPoints"/>
        <w:tabs>
          <w:tab w:val="clear" w:pos="567"/>
          <w:tab w:val="left" w:pos="1134"/>
          <w:tab w:val="num" w:pos="1701"/>
          <w:tab w:val="left" w:pos="2268"/>
        </w:tabs>
        <w:spacing w:after="180"/>
        <w:ind w:left="1701"/>
        <w:jc w:val="both"/>
      </w:pPr>
      <w:r>
        <w:t>m</w:t>
      </w:r>
      <w:r w:rsidR="00D14763" w:rsidRPr="00C36C8F">
        <w:t>aximising methane recovery. Methane is generally recovered through vertical wells drilled into the waste body after completion of the cap. Strategies for enhancing gas collection include–</w:t>
      </w:r>
    </w:p>
    <w:p w:rsidR="00D14763" w:rsidRPr="00C36C8F" w:rsidRDefault="00D14763" w:rsidP="00982ACC">
      <w:pPr>
        <w:pStyle w:val="BulletPoints"/>
        <w:tabs>
          <w:tab w:val="clear" w:pos="567"/>
          <w:tab w:val="left" w:pos="1134"/>
          <w:tab w:val="num" w:pos="2268"/>
        </w:tabs>
        <w:spacing w:after="180"/>
        <w:ind w:left="2268"/>
        <w:jc w:val="both"/>
      </w:pPr>
      <w:r w:rsidRPr="00C36C8F">
        <w:t>constructing small cells that are rapidly capped so that gas collection can start quickly</w:t>
      </w:r>
      <w:r w:rsidR="007C0782">
        <w:t>.</w:t>
      </w:r>
    </w:p>
    <w:p w:rsidR="00D14763" w:rsidRPr="00C36C8F" w:rsidRDefault="00D14763" w:rsidP="00982ACC">
      <w:pPr>
        <w:pStyle w:val="BulletPoints"/>
        <w:tabs>
          <w:tab w:val="clear" w:pos="567"/>
          <w:tab w:val="left" w:pos="1134"/>
          <w:tab w:val="num" w:pos="2268"/>
        </w:tabs>
        <w:spacing w:after="180"/>
        <w:ind w:left="2268"/>
        <w:jc w:val="both"/>
      </w:pPr>
      <w:r w:rsidRPr="00C36C8F">
        <w:t>using low permeability caps with below-cap aggregate layers that encourage gas migration to collection points</w:t>
      </w:r>
      <w:r w:rsidR="007C0782">
        <w:t>.</w:t>
      </w:r>
    </w:p>
    <w:p w:rsidR="00D14763" w:rsidRPr="00C36C8F" w:rsidRDefault="00D14763" w:rsidP="00982ACC">
      <w:pPr>
        <w:pStyle w:val="BulletPoints"/>
        <w:tabs>
          <w:tab w:val="clear" w:pos="567"/>
          <w:tab w:val="left" w:pos="1134"/>
          <w:tab w:val="num" w:pos="2268"/>
        </w:tabs>
        <w:spacing w:after="180"/>
        <w:ind w:left="2268"/>
        <w:jc w:val="both"/>
      </w:pPr>
      <w:r w:rsidRPr="00C36C8F">
        <w:t>establishing horizontal gas collection pipes within the waste mass to increase the recovery rate and allow recovery before the site is capped</w:t>
      </w:r>
      <w:r w:rsidR="007C0782">
        <w:t>.</w:t>
      </w:r>
      <w:r w:rsidRPr="00C36C8F">
        <w:t xml:space="preserve"> </w:t>
      </w:r>
    </w:p>
    <w:p w:rsidR="00D14763" w:rsidRPr="00C36C8F" w:rsidRDefault="00D14763" w:rsidP="00982ACC">
      <w:pPr>
        <w:pStyle w:val="BulletPoints"/>
        <w:tabs>
          <w:tab w:val="clear" w:pos="567"/>
          <w:tab w:val="left" w:pos="1134"/>
          <w:tab w:val="num" w:pos="2268"/>
        </w:tabs>
        <w:spacing w:after="180"/>
        <w:ind w:left="2268"/>
        <w:jc w:val="both"/>
      </w:pPr>
      <w:r w:rsidRPr="00C36C8F">
        <w:t>managing sites as bioreactors (see discussion below)</w:t>
      </w:r>
      <w:r w:rsidR="007C0782">
        <w:t>.</w:t>
      </w:r>
    </w:p>
    <w:p w:rsidR="00D14763" w:rsidRPr="00C36C8F" w:rsidRDefault="00D14763" w:rsidP="00982ACC">
      <w:pPr>
        <w:pStyle w:val="BulletPoints"/>
        <w:tabs>
          <w:tab w:val="clear" w:pos="567"/>
          <w:tab w:val="left" w:pos="1134"/>
          <w:tab w:val="num" w:pos="2268"/>
        </w:tabs>
        <w:spacing w:after="180"/>
        <w:ind w:left="2268"/>
        <w:jc w:val="both"/>
      </w:pPr>
      <w:r w:rsidRPr="00C36C8F">
        <w:t>establishing gas collection contracts that focus on maximising rec</w:t>
      </w:r>
      <w:r w:rsidR="001874D3" w:rsidRPr="00C36C8F">
        <w:t>overy rather than profitability</w:t>
      </w:r>
      <w:r w:rsidR="007C0782">
        <w:t>.</w:t>
      </w:r>
    </w:p>
    <w:p w:rsidR="00D14763" w:rsidRPr="00C36C8F" w:rsidRDefault="00925FA9" w:rsidP="00982ACC">
      <w:pPr>
        <w:pStyle w:val="BulletPoints"/>
        <w:tabs>
          <w:tab w:val="clear" w:pos="567"/>
          <w:tab w:val="left" w:pos="1134"/>
          <w:tab w:val="num" w:pos="2268"/>
        </w:tabs>
        <w:spacing w:after="180"/>
        <w:ind w:left="2268"/>
        <w:jc w:val="both"/>
      </w:pPr>
      <w:r>
        <w:t>m</w:t>
      </w:r>
      <w:r w:rsidR="00D14763" w:rsidRPr="00C36C8F">
        <w:t>aximising the use of the energy content of methane through prioritising cogeneration and green power rather than just flaring. In addition, landfill gas can be compressed and used as a transport fuel, or stripped of CO</w:t>
      </w:r>
      <w:r w:rsidR="00D14763" w:rsidRPr="00C36C8F">
        <w:rPr>
          <w:vertAlign w:val="subscript"/>
        </w:rPr>
        <w:t>2</w:t>
      </w:r>
      <w:r w:rsidR="00D14763" w:rsidRPr="00C36C8F">
        <w:t xml:space="preserve"> and sent to the gas pipeline network. </w:t>
      </w:r>
    </w:p>
    <w:p w:rsidR="00D14763" w:rsidRPr="00C36C8F" w:rsidRDefault="00D14763" w:rsidP="00982ACC">
      <w:pPr>
        <w:pStyle w:val="ParaIndent"/>
        <w:jc w:val="both"/>
      </w:pPr>
      <w:r w:rsidRPr="00C36C8F">
        <w:t>The recovery of methane from landfills has increased significantly in recent years, with more than a quarter of estimated methane generation now being captured. However, there remains capacity for much greater landfill gas recapture. The WMAA National Landfill Divisions suggest that a 50% average capture rate for methane across all landfills could be achieved by 2014 (WMAA National Landfill Division 2008).</w:t>
      </w:r>
    </w:p>
    <w:p w:rsidR="00D14763" w:rsidRPr="00C36C8F" w:rsidDel="00837D55" w:rsidRDefault="00D14763" w:rsidP="00982ACC">
      <w:pPr>
        <w:pStyle w:val="Heading40"/>
        <w:spacing w:before="0"/>
      </w:pPr>
      <w:r w:rsidRPr="00C36C8F" w:rsidDel="00837D55">
        <w:t>Bioreactor landfills</w:t>
      </w:r>
    </w:p>
    <w:p w:rsidR="00D14763" w:rsidRPr="00C36C8F" w:rsidDel="00837D55" w:rsidRDefault="00D14763" w:rsidP="00982ACC">
      <w:pPr>
        <w:pStyle w:val="ParaIndent"/>
        <w:jc w:val="both"/>
      </w:pPr>
      <w:r w:rsidRPr="00C36C8F" w:rsidDel="00837D55">
        <w:t xml:space="preserve">Debate continues globally around the best method for managing MSW landfills. Traditionally, the ‘dry tomb’ strategy has been popular, in which waste is buried in an isolated and enclosed cell. The theory behind this strategy is that as long as wastes are kept dry, gas and leachate production will be minimised. The approach has been criticised since it relies on indefinite maintenance of the integrity of the liner system. It is proposed that this simply places the pollution risks and management responsibilities on to future generations. </w:t>
      </w:r>
    </w:p>
    <w:p w:rsidR="00D14763" w:rsidRPr="00C36C8F" w:rsidDel="00837D55" w:rsidRDefault="00D14763" w:rsidP="00982ACC">
      <w:pPr>
        <w:pStyle w:val="ParaIndent"/>
        <w:jc w:val="both"/>
      </w:pPr>
      <w:r w:rsidRPr="00C36C8F" w:rsidDel="00837D55">
        <w:t xml:space="preserve">Growing in popularity is the ‘biocell’ or ‘bioreactor’ strategy in which moisture is cycled through the waste mass. This is designed to enhance fermentation and flush leachable chemicals, and so decrease the time taken to achieve stabilisation. The optimum moisture content for this process is 40% and it is important that the waste mass does not become saturated. Leachate is often used as the source of moisture for this process, but may need to be supplemented by additional moisture. </w:t>
      </w:r>
    </w:p>
    <w:p w:rsidR="00D14763" w:rsidRPr="00C36C8F" w:rsidDel="00837D55" w:rsidRDefault="00D14763" w:rsidP="00982ACC">
      <w:pPr>
        <w:pStyle w:val="ParaIndent"/>
        <w:jc w:val="both"/>
      </w:pPr>
      <w:r w:rsidRPr="00C36C8F" w:rsidDel="00837D55">
        <w:t>Bioreactor management can reduce the intergenerational liability of the landfill, and by concentrating the methane generation period can enhance the viability of methane recovery. However, bioreactors are considered to be a developing technology in some jurisdictions and have the potential to pose increased groundwater pollution and methane migration risks if adequate management is not in place. Most jurisdictions require additional landfill lining and or management systems for the operation of bio-reactor cells.</w:t>
      </w:r>
    </w:p>
    <w:p w:rsidR="00D14763" w:rsidRPr="00C36C8F" w:rsidRDefault="00D14763" w:rsidP="00982ACC">
      <w:pPr>
        <w:pStyle w:val="Heading40"/>
        <w:spacing w:before="0"/>
      </w:pPr>
      <w:r w:rsidRPr="00C36C8F">
        <w:t>Issues in comparing methane with carbon dioxide</w:t>
      </w:r>
    </w:p>
    <w:p w:rsidR="00D14763" w:rsidRPr="00C36C8F" w:rsidRDefault="00D14763" w:rsidP="00982ACC">
      <w:pPr>
        <w:pStyle w:val="ParaIndent"/>
        <w:jc w:val="both"/>
      </w:pPr>
      <w:r w:rsidRPr="00C36C8F">
        <w:t>Methane and other gases are compared with CO</w:t>
      </w:r>
      <w:r w:rsidRPr="00C36C8F">
        <w:rPr>
          <w:vertAlign w:val="subscript"/>
        </w:rPr>
        <w:t>2</w:t>
      </w:r>
      <w:r w:rsidRPr="00C36C8F">
        <w:t xml:space="preserve"> by means of their relative global warming potential. It is often overlooked that this is a problematic and </w:t>
      </w:r>
      <w:r w:rsidR="00DB3E76" w:rsidRPr="00C36C8F">
        <w:t xml:space="preserve">somewhat </w:t>
      </w:r>
      <w:r w:rsidRPr="00C36C8F">
        <w:t xml:space="preserve"> arbitrary measure.</w:t>
      </w:r>
    </w:p>
    <w:p w:rsidR="00D14763" w:rsidRPr="00C36C8F" w:rsidRDefault="00D14763" w:rsidP="00982ACC">
      <w:pPr>
        <w:pStyle w:val="ParaIndent"/>
        <w:jc w:val="both"/>
      </w:pPr>
      <w:r w:rsidRPr="00C36C8F">
        <w:t>A molecule of methane is typically resident in the atmosphere for a few decades whereas a molecule of CO</w:t>
      </w:r>
      <w:r w:rsidRPr="00C36C8F">
        <w:rPr>
          <w:vertAlign w:val="subscript"/>
        </w:rPr>
        <w:t>2</w:t>
      </w:r>
      <w:r w:rsidRPr="00C36C8F">
        <w:t xml:space="preserve"> is likely to remain in the atmosphere for several centuries. This creates a difficulty in comparing global warming potentials – if we compare warming impacts over the whole lifespan of the gases we are placing the same importance on warming taking place centuries from now as we place on warming set to occur in the immediate decades. On the other hand, if we compare the warming over the residency period of the shorter-lived gas we are ignoring warming occurring after that time. The standard compromise</w:t>
      </w:r>
      <w:r w:rsidR="007C0782">
        <w:t xml:space="preserve"> response</w:t>
      </w:r>
      <w:r w:rsidRPr="00C36C8F">
        <w:t xml:space="preserve"> to this dilemma is to compare gases over a 100-year time frame. </w:t>
      </w:r>
    </w:p>
    <w:p w:rsidR="00D14763" w:rsidRPr="00C36C8F" w:rsidRDefault="00D14763" w:rsidP="00982ACC">
      <w:pPr>
        <w:pStyle w:val="ParaIndent"/>
        <w:jc w:val="both"/>
      </w:pPr>
      <w:r w:rsidRPr="00C36C8F">
        <w:t xml:space="preserve">The estimates of the impact of landfills given above are based on the 100-year time frame, on which basis the DCCEE puts methane as having </w:t>
      </w:r>
      <w:r w:rsidR="003A42B0" w:rsidRPr="00C36C8F">
        <w:t>a global warming potential of 21</w:t>
      </w:r>
      <w:r w:rsidRPr="00C36C8F">
        <w:t xml:space="preserve"> times that of CO</w:t>
      </w:r>
      <w:r w:rsidRPr="00C36C8F">
        <w:rPr>
          <w:vertAlign w:val="subscript"/>
        </w:rPr>
        <w:t>2</w:t>
      </w:r>
      <w:r w:rsidRPr="00C36C8F">
        <w:t xml:space="preserve">. </w:t>
      </w:r>
      <w:r w:rsidR="009D166B">
        <w:t>This is in accordance with the Intergovernmental Panel on Climate Change.</w:t>
      </w:r>
      <w:r w:rsidRPr="00C36C8F">
        <w:rPr>
          <w:rStyle w:val="FootnoteReference"/>
        </w:rPr>
        <w:footnoteReference w:id="22"/>
      </w:r>
    </w:p>
    <w:p w:rsidR="00D14763" w:rsidRPr="00C36C8F" w:rsidRDefault="00D14763" w:rsidP="009D166B">
      <w:pPr>
        <w:ind w:left="1134"/>
        <w:jc w:val="both"/>
      </w:pPr>
      <w:r w:rsidRPr="00C36C8F">
        <w:t>If the warming effects of the two gases are compared over a 20 year period</w:t>
      </w:r>
      <w:r w:rsidR="00DB3E76" w:rsidRPr="00C36C8F">
        <w:t>,</w:t>
      </w:r>
      <w:r w:rsidRPr="00C36C8F">
        <w:t xml:space="preserve"> methane has 72 times the global warming potential of CO</w:t>
      </w:r>
      <w:r w:rsidRPr="00C36C8F">
        <w:rPr>
          <w:vertAlign w:val="subscript"/>
        </w:rPr>
        <w:t>2</w:t>
      </w:r>
      <w:r w:rsidR="001D1881" w:rsidRPr="00C36C8F">
        <w:t xml:space="preserve">. </w:t>
      </w:r>
      <w:r w:rsidRPr="00C36C8F">
        <w:t>Some leading climate change scientists have argued that methane management should be considered a separate management issue that is more urgent than standard CO</w:t>
      </w:r>
      <w:r w:rsidRPr="00C36C8F">
        <w:rPr>
          <w:vertAlign w:val="subscript"/>
        </w:rPr>
        <w:t>2</w:t>
      </w:r>
      <w:r w:rsidRPr="00C36C8F">
        <w:t xml:space="preserve"> equivalence measures suggest</w:t>
      </w:r>
      <w:r w:rsidRPr="00C36C8F">
        <w:rPr>
          <w:rStyle w:val="FootnoteReference"/>
        </w:rPr>
        <w:footnoteReference w:id="23"/>
      </w:r>
      <w:r w:rsidRPr="00C36C8F">
        <w:t>.</w:t>
      </w:r>
    </w:p>
    <w:p w:rsidR="00D14763" w:rsidRPr="00C36C8F" w:rsidRDefault="00D14763" w:rsidP="00982ACC">
      <w:pPr>
        <w:pStyle w:val="Heading40"/>
        <w:spacing w:before="0"/>
      </w:pPr>
      <w:r w:rsidRPr="00C36C8F">
        <w:t>A life cycle perspective to landfill emissions</w:t>
      </w:r>
    </w:p>
    <w:p w:rsidR="00D14763" w:rsidRPr="00C36C8F" w:rsidRDefault="00D14763" w:rsidP="00982ACC">
      <w:pPr>
        <w:ind w:left="1134"/>
        <w:jc w:val="both"/>
      </w:pPr>
      <w:r w:rsidRPr="00C36C8F">
        <w:t xml:space="preserve">The discussion above is based on standard inventory and accounting approaches for emissions from landfills using DCCEE factors and methods. </w:t>
      </w:r>
      <w:r w:rsidR="00111C9D">
        <w:t xml:space="preserve">The following two sections have a scope broader than that </w:t>
      </w:r>
      <w:r w:rsidR="00A302F2" w:rsidRPr="00A302F2">
        <w:t>required for Australia’s international reporting through the National Greenhouse Accounts</w:t>
      </w:r>
      <w:r w:rsidR="00111C9D">
        <w:t xml:space="preserve">, consistent with the scope of the </w:t>
      </w:r>
      <w:r w:rsidR="00111C9D">
        <w:rPr>
          <w:i/>
        </w:rPr>
        <w:t>National Waste Policy: Less waste, more resources</w:t>
      </w:r>
      <w:r w:rsidR="00111C9D">
        <w:t xml:space="preserve">. </w:t>
      </w:r>
      <w:r w:rsidRPr="00C36C8F">
        <w:t>For some purposes it is better to consider the greenhouse gas implications of landfilling from a more holistic life cycle perspective, taking into account secondary effects. Significant additional factors are:</w:t>
      </w:r>
    </w:p>
    <w:p w:rsidR="00D14763" w:rsidRPr="00C36C8F" w:rsidRDefault="00925FA9" w:rsidP="00982ACC">
      <w:pPr>
        <w:pStyle w:val="BulletPoints"/>
        <w:tabs>
          <w:tab w:val="clear" w:pos="567"/>
          <w:tab w:val="left" w:pos="1134"/>
          <w:tab w:val="num" w:pos="1701"/>
          <w:tab w:val="left" w:pos="2268"/>
        </w:tabs>
        <w:spacing w:after="180"/>
        <w:ind w:left="1701"/>
        <w:jc w:val="both"/>
      </w:pPr>
      <w:r>
        <w:t>‘c</w:t>
      </w:r>
      <w:r w:rsidR="00D14763" w:rsidRPr="00C36C8F">
        <w:t>redits’ from re</w:t>
      </w:r>
      <w:r w:rsidR="000A1612" w:rsidRPr="00C36C8F">
        <w:t>-</w:t>
      </w:r>
      <w:r w:rsidR="00D14763" w:rsidRPr="00C36C8F">
        <w:t xml:space="preserve">use of landfill methane to offset the electricity generated from standard means, and similar credits for recovery of recyclables. (Recycling </w:t>
      </w:r>
      <w:r w:rsidR="00BF1B1C" w:rsidRPr="00C36C8F">
        <w:t>is considered separately below)</w:t>
      </w:r>
      <w:r w:rsidR="0035457C">
        <w:t>.</w:t>
      </w:r>
    </w:p>
    <w:p w:rsidR="00D14763" w:rsidRPr="00C36C8F" w:rsidRDefault="00925FA9" w:rsidP="00982ACC">
      <w:pPr>
        <w:pStyle w:val="BulletPoints"/>
        <w:tabs>
          <w:tab w:val="clear" w:pos="567"/>
          <w:tab w:val="left" w:pos="1134"/>
          <w:tab w:val="num" w:pos="1701"/>
          <w:tab w:val="left" w:pos="2268"/>
        </w:tabs>
        <w:spacing w:after="180"/>
        <w:ind w:left="1701"/>
        <w:jc w:val="both"/>
      </w:pPr>
      <w:r>
        <w:t>l</w:t>
      </w:r>
      <w:r w:rsidR="00D14763" w:rsidRPr="00C36C8F">
        <w:t xml:space="preserve">ong-term storage of </w:t>
      </w:r>
      <w:r w:rsidR="003A42B0" w:rsidRPr="00C36C8F">
        <w:t xml:space="preserve">organic </w:t>
      </w:r>
      <w:r w:rsidR="00D14763" w:rsidRPr="00C36C8F">
        <w:t>carbon in landfil</w:t>
      </w:r>
      <w:r w:rsidR="003A42B0" w:rsidRPr="00C36C8F">
        <w:t>ls, preventing its</w:t>
      </w:r>
      <w:r w:rsidR="00D14763" w:rsidRPr="00C36C8F">
        <w:t xml:space="preserve"> degradation to carbon dioxide.</w:t>
      </w:r>
    </w:p>
    <w:p w:rsidR="00D14763" w:rsidRPr="00C36C8F" w:rsidRDefault="00D14763" w:rsidP="00982ACC">
      <w:pPr>
        <w:ind w:left="1134"/>
        <w:jc w:val="both"/>
      </w:pPr>
      <w:r w:rsidRPr="00C36C8F">
        <w:t>The importance of these two factors as a counterbalance to methane emissions varies with the waste types and the greenhouse profile of electricity generated from standard means. Using standard DCCEE factors and modelling to consider a landfill in Victoria, which has the most greenhouse-intensive electricity, inclusion of these two factors in the balance means that a landfill could be considered ‘carbon</w:t>
      </w:r>
      <w:r w:rsidR="00115B77" w:rsidRPr="00C36C8F">
        <w:t xml:space="preserve"> neutral’ by recovering about 60</w:t>
      </w:r>
      <w:r w:rsidRPr="00C36C8F">
        <w:t>% of the landfill gas it generates over its whole life-cycle</w:t>
      </w:r>
      <w:r w:rsidR="007C571D" w:rsidRPr="00C36C8F">
        <w:t xml:space="preserve">. </w:t>
      </w:r>
      <w:r w:rsidRPr="00C36C8F">
        <w:t xml:space="preserve">This rate is thought to be readily achievable at a well-managed landfill. If the storage factor is discounted the threshold rate would be around 80%. Many researchers and landfill operators maintain that this level of capture over the whole life cycle of the landfill is achievable. </w:t>
      </w:r>
      <w:r w:rsidR="003A42B0" w:rsidRPr="00C36C8F">
        <w:t xml:space="preserve">This </w:t>
      </w:r>
      <w:r w:rsidR="001D1881" w:rsidRPr="00C36C8F">
        <w:t>make</w:t>
      </w:r>
      <w:r w:rsidR="00DB3E76" w:rsidRPr="00C36C8F">
        <w:t>s</w:t>
      </w:r>
      <w:r w:rsidR="001D1881" w:rsidRPr="00C36C8F">
        <w:t xml:space="preserve"> the significant assumption</w:t>
      </w:r>
      <w:r w:rsidR="003A42B0" w:rsidRPr="00C36C8F">
        <w:t xml:space="preserve"> that the electricity generated</w:t>
      </w:r>
      <w:r w:rsidR="001D1881" w:rsidRPr="00C36C8F">
        <w:t xml:space="preserve"> at the landfill</w:t>
      </w:r>
      <w:r w:rsidR="003A42B0" w:rsidRPr="00C36C8F">
        <w:t xml:space="preserve"> </w:t>
      </w:r>
      <w:r w:rsidR="001D1881" w:rsidRPr="00C36C8F">
        <w:t>is avoiding the requirement to generate electricity through the combustion of coal.</w:t>
      </w:r>
    </w:p>
    <w:p w:rsidR="00D14763" w:rsidRPr="00C36C8F" w:rsidRDefault="00D14763" w:rsidP="00982ACC">
      <w:pPr>
        <w:ind w:left="1134"/>
        <w:jc w:val="both"/>
      </w:pPr>
      <w:r w:rsidRPr="00C36C8F">
        <w:t>On the other hand, if the assessment period for global warming potential is shortened to 20 years so that the global warming potential of methane is 72, then for carbon neutrality (taking storage into account) a whole of life capture rate of over 85% would be required. In addition, the accounting for methane emissions and carbon storage does not account for the los</w:t>
      </w:r>
      <w:r w:rsidR="001D1881" w:rsidRPr="00C36C8F">
        <w:t>s of embodied energy in the non-</w:t>
      </w:r>
      <w:r w:rsidRPr="00C36C8F">
        <w:t xml:space="preserve">degradable material that </w:t>
      </w:r>
      <w:r w:rsidR="007C571D" w:rsidRPr="00C36C8F">
        <w:t>is</w:t>
      </w:r>
      <w:r w:rsidRPr="00C36C8F">
        <w:t xml:space="preserve"> sent to landfill, discussed further below. </w:t>
      </w:r>
    </w:p>
    <w:p w:rsidR="00D14763" w:rsidRPr="00C36C8F" w:rsidRDefault="00B35863" w:rsidP="00982ACC">
      <w:pPr>
        <w:pStyle w:val="Heading40"/>
        <w:spacing w:before="0"/>
        <w:jc w:val="both"/>
      </w:pPr>
      <w:r w:rsidRPr="00C36C8F">
        <w:t>Em</w:t>
      </w:r>
      <w:r w:rsidR="00D14763" w:rsidRPr="00C36C8F">
        <w:t>bodied greenhouse gas in waste disposal to landfill</w:t>
      </w:r>
    </w:p>
    <w:p w:rsidR="00BB105A" w:rsidRPr="00C36C8F" w:rsidRDefault="00D14763" w:rsidP="00982ACC">
      <w:pPr>
        <w:pStyle w:val="ParaIndent"/>
        <w:keepLines/>
        <w:jc w:val="both"/>
      </w:pPr>
      <w:r w:rsidRPr="00C36C8F">
        <w:t>The disposal of recyclable inorganic materials to landfill usually means the l</w:t>
      </w:r>
      <w:r w:rsidR="001D1881" w:rsidRPr="00C36C8F">
        <w:t>oss of non-</w:t>
      </w:r>
      <w:r w:rsidRPr="00C36C8F">
        <w:t>renewable resources. In addition, materials that are landfilled have an embodied energy value that represents the energy that has been invested into extracting, refining and manufacturing materials. The embodied energy in materials can also be thought of as representing the embodied greenhouse gases</w:t>
      </w:r>
      <w:r w:rsidR="007C571D" w:rsidRPr="00C36C8F">
        <w:t xml:space="preserve"> (EGG)</w:t>
      </w:r>
      <w:r w:rsidRPr="00C36C8F">
        <w:t xml:space="preserve"> in</w:t>
      </w:r>
      <w:r w:rsidR="00BF1B1C" w:rsidRPr="00C36C8F">
        <w:t xml:space="preserve"> materials</w:t>
      </w:r>
      <w:r w:rsidRPr="00C36C8F">
        <w:t xml:space="preserve">, or </w:t>
      </w:r>
      <w:r w:rsidR="00BF1B1C" w:rsidRPr="00C36C8F">
        <w:t xml:space="preserve">the </w:t>
      </w:r>
      <w:r w:rsidRPr="00C36C8F">
        <w:t>carbon intensity of materials, being the greenhouse gases emitted during the production process.</w:t>
      </w:r>
      <w:r w:rsidR="00BF1B1C" w:rsidRPr="00C36C8F">
        <w:t xml:space="preserve"> </w:t>
      </w:r>
      <w:fldSimple w:instr=" REF _Ref287267583 \h  \* MERGEFORMAT ">
        <w:r w:rsidR="004D42DD" w:rsidRPr="00C36C8F">
          <w:rPr>
            <w:noProof/>
          </w:rPr>
          <w:t xml:space="preserve">Table </w:t>
        </w:r>
        <w:r w:rsidR="004D42DD">
          <w:rPr>
            <w:noProof/>
          </w:rPr>
          <w:t>5</w:t>
        </w:r>
        <w:r w:rsidR="004D42DD" w:rsidRPr="00C36C8F">
          <w:rPr>
            <w:noProof/>
          </w:rPr>
          <w:t>-</w:t>
        </w:r>
        <w:r w:rsidR="004D42DD">
          <w:rPr>
            <w:noProof/>
          </w:rPr>
          <w:t>47</w:t>
        </w:r>
      </w:fldSimple>
      <w:r w:rsidRPr="00C36C8F">
        <w:t xml:space="preserve"> provides an estimate of the greenhouse gases embodied in inorganic material disposed of to landfill in Australia</w:t>
      </w:r>
      <w:r w:rsidR="00BB105A" w:rsidRPr="00C36C8F">
        <w:t>. Organics and paper and cardboard have been excluded from the calculation of EGG. For the purposes of this report, the methane emissions from landfill resulting from the decomposition of these material categories is taken as a measure of the greenhouse gas effect of disposal to landfill. Hazardous wastes have also been excluded from the calculation of EGG, again, for the purpose of this report, given the difficulties associated with identifying the material composition of hazardous waste.</w:t>
      </w:r>
    </w:p>
    <w:p w:rsidR="00D14763" w:rsidRPr="00C36C8F" w:rsidRDefault="00D14763" w:rsidP="00982ACC">
      <w:pPr>
        <w:pStyle w:val="ParaIndent"/>
        <w:jc w:val="both"/>
      </w:pPr>
      <w:r w:rsidRPr="00C36C8F">
        <w:t xml:space="preserve">The weight of greenhouse gases embodied in materials disposed to landfill is estimated to be </w:t>
      </w:r>
      <w:r w:rsidR="00DA43F0" w:rsidRPr="00C36C8F">
        <w:t>9</w:t>
      </w:r>
      <w:r w:rsidRPr="00C36C8F">
        <w:t>Mt</w:t>
      </w:r>
      <w:r w:rsidR="0009621A" w:rsidRPr="00C36C8F">
        <w:t xml:space="preserve"> CO</w:t>
      </w:r>
      <w:r w:rsidR="0009621A" w:rsidRPr="00C36C8F">
        <w:rPr>
          <w:vertAlign w:val="subscript"/>
        </w:rPr>
        <w:t>2</w:t>
      </w:r>
      <w:r w:rsidR="0009621A" w:rsidRPr="00C36C8F">
        <w:t>-e</w:t>
      </w:r>
      <w:r w:rsidR="00BF1B1C" w:rsidRPr="00C36C8F">
        <w:t xml:space="preserve"> in 2008</w:t>
      </w:r>
      <w:r w:rsidR="00BE38CA" w:rsidRPr="00C36C8F">
        <w:t>–</w:t>
      </w:r>
      <w:r w:rsidR="00BF1B1C" w:rsidRPr="00C36C8F">
        <w:t>09</w:t>
      </w:r>
      <w:r w:rsidRPr="00C36C8F">
        <w:t xml:space="preserve">. This emphasises the importance of </w:t>
      </w:r>
      <w:r w:rsidR="00FE3FE2" w:rsidRPr="00C36C8F">
        <w:t>EGG</w:t>
      </w:r>
      <w:r w:rsidRPr="00C36C8F">
        <w:t xml:space="preserve"> in the assessment of environmental impacts of landfilling recyclable non organic materials.</w:t>
      </w:r>
    </w:p>
    <w:p w:rsidR="00D14763" w:rsidRPr="00C36C8F" w:rsidRDefault="00D14763" w:rsidP="00982ACC">
      <w:pPr>
        <w:pStyle w:val="ParaIndent"/>
        <w:jc w:val="both"/>
      </w:pPr>
      <w:r w:rsidRPr="00C36C8F">
        <w:t>These estimates have been calculated using values from the Inventory of Carbon and Energy (ICE)</w:t>
      </w:r>
      <w:r w:rsidRPr="00C36C8F">
        <w:rPr>
          <w:rStyle w:val="FootnoteReference"/>
        </w:rPr>
        <w:footnoteReference w:id="24"/>
      </w:r>
      <w:r w:rsidRPr="00C36C8F">
        <w:t xml:space="preserve"> and are the gross embodied CO</w:t>
      </w:r>
      <w:r w:rsidRPr="00C36C8F">
        <w:rPr>
          <w:vertAlign w:val="subscript"/>
        </w:rPr>
        <w:t>2</w:t>
      </w:r>
      <w:r w:rsidRPr="00C36C8F">
        <w:t xml:space="preserve">-e in material types. The actual greenhouse gas abatement that would result in the recovery of materials is net of the greenhouse gases emitted during the recovery process. </w:t>
      </w:r>
      <w:r w:rsidR="00B35863" w:rsidRPr="00C36C8F">
        <w:t>In most cases, the energy required to recover recycled materials is significantly less than that required to refine virgin materials.</w:t>
      </w:r>
    </w:p>
    <w:p w:rsidR="00D14763" w:rsidRPr="00C36C8F" w:rsidRDefault="00D14763" w:rsidP="00982ACC">
      <w:pPr>
        <w:pStyle w:val="ParaIndent"/>
        <w:jc w:val="both"/>
      </w:pPr>
      <w:r w:rsidRPr="00C36C8F">
        <w:t>The carbon intensity of material types in ICE is a world-wide average derived from publicly available literature. Whilst the raw material required to manufacture these materials is relatively consistent, the location of production can alter the carbon intensity of a material significantly. Given that the production of materials in Australia use a relatively carbon intensive power source, it is likely that the values provided in ICE are less than that for materials produced in Australia.</w:t>
      </w:r>
    </w:p>
    <w:p w:rsidR="00B35863" w:rsidRPr="00C36C8F" w:rsidRDefault="00D14763" w:rsidP="00982ACC">
      <w:pPr>
        <w:pStyle w:val="ParaIndent"/>
        <w:jc w:val="both"/>
      </w:pPr>
      <w:r w:rsidRPr="00C36C8F">
        <w:t>Even for materials produced within Australia, there is likely to be a significant variance in the amount of greenhouse gases embodied in materials depending on where they are produced. For example, materials produced in Tasmania (using electricity</w:t>
      </w:r>
      <w:r w:rsidR="005B65D5" w:rsidRPr="00C36C8F">
        <w:t xml:space="preserve"> from hydro-</w:t>
      </w:r>
      <w:r w:rsidRPr="00C36C8F">
        <w:t xml:space="preserve">electricity) would have less carbon </w:t>
      </w:r>
      <w:r w:rsidR="00047847" w:rsidRPr="00C36C8F">
        <w:t xml:space="preserve">intensity </w:t>
      </w:r>
      <w:r w:rsidRPr="00C36C8F">
        <w:t>than the equivalent material manufactured in Victoria (using electricity from brow</w:t>
      </w:r>
      <w:r w:rsidR="00B35863" w:rsidRPr="00C36C8F">
        <w:t>n coal).</w:t>
      </w:r>
    </w:p>
    <w:p w:rsidR="00D14763" w:rsidRPr="00C36C8F" w:rsidRDefault="00D14763" w:rsidP="00982ACC">
      <w:pPr>
        <w:pStyle w:val="ParaIndent"/>
        <w:jc w:val="both"/>
      </w:pPr>
      <w:r w:rsidRPr="00C36C8F">
        <w:t xml:space="preserve">One of the most significant issues for materials recycling is the difficulty of separating out materials from a mixed landfill waste stream and dealing with issues of materials cross-contamination. Waste material ‘source segregation’ remains one of the most effective means of avoiding a reduction in net </w:t>
      </w:r>
      <w:r w:rsidR="00FE3FE2" w:rsidRPr="00C36C8F">
        <w:t xml:space="preserve">EGG </w:t>
      </w:r>
      <w:r w:rsidRPr="00C36C8F">
        <w:t>recovery from wasted materials.</w:t>
      </w:r>
    </w:p>
    <w:p w:rsidR="00BB105A" w:rsidRPr="00C36C8F" w:rsidRDefault="00BB105A" w:rsidP="00982ACC">
      <w:pPr>
        <w:pStyle w:val="ParaIndent"/>
      </w:pPr>
    </w:p>
    <w:p w:rsidR="00D14763" w:rsidRPr="00C36C8F" w:rsidRDefault="00D14763" w:rsidP="00982ACC">
      <w:pPr>
        <w:ind w:left="0"/>
      </w:pPr>
    </w:p>
    <w:p w:rsidR="00D14763" w:rsidRPr="00C36C8F" w:rsidRDefault="00D14763" w:rsidP="00D14763">
      <w:pPr>
        <w:spacing w:after="0" w:line="240" w:lineRule="auto"/>
        <w:ind w:left="0"/>
        <w:rPr>
          <w:noProof/>
        </w:rPr>
        <w:sectPr w:rsidR="00D14763" w:rsidRPr="00C36C8F" w:rsidSect="00860B52">
          <w:footerReference w:type="default" r:id="rId59"/>
          <w:pgSz w:w="11907" w:h="16840" w:code="9"/>
          <w:pgMar w:top="1134" w:right="1134" w:bottom="1134" w:left="1134" w:header="567" w:footer="567" w:gutter="0"/>
          <w:cols w:space="708"/>
          <w:docGrid w:linePitch="360"/>
        </w:sectPr>
      </w:pPr>
    </w:p>
    <w:tbl>
      <w:tblPr>
        <w:tblpPr w:leftFromText="180" w:rightFromText="180" w:vertAnchor="page" w:horzAnchor="page" w:tblpX="464" w:tblpY="1203"/>
        <w:tblW w:w="15309" w:type="dxa"/>
        <w:tblLayout w:type="fixed"/>
        <w:tblLook w:val="01E0"/>
      </w:tblPr>
      <w:tblGrid>
        <w:gridCol w:w="392"/>
        <w:gridCol w:w="1026"/>
        <w:gridCol w:w="850"/>
        <w:gridCol w:w="709"/>
        <w:gridCol w:w="851"/>
        <w:gridCol w:w="567"/>
        <w:gridCol w:w="807"/>
        <w:gridCol w:w="752"/>
        <w:gridCol w:w="850"/>
        <w:gridCol w:w="567"/>
        <w:gridCol w:w="851"/>
        <w:gridCol w:w="567"/>
        <w:gridCol w:w="850"/>
        <w:gridCol w:w="567"/>
        <w:gridCol w:w="851"/>
        <w:gridCol w:w="567"/>
        <w:gridCol w:w="709"/>
        <w:gridCol w:w="567"/>
        <w:gridCol w:w="850"/>
        <w:gridCol w:w="709"/>
        <w:gridCol w:w="850"/>
      </w:tblGrid>
      <w:tr w:rsidR="00D14763" w:rsidRPr="00C36C8F" w:rsidTr="005553A7">
        <w:tc>
          <w:tcPr>
            <w:tcW w:w="1418" w:type="dxa"/>
            <w:gridSpan w:val="2"/>
            <w:vMerge w:val="restart"/>
          </w:tcPr>
          <w:p w:rsidR="00D14763" w:rsidRPr="00C36C8F" w:rsidRDefault="00D14763" w:rsidP="00D31FAA">
            <w:pPr>
              <w:pStyle w:val="TableHeading"/>
            </w:pPr>
            <w:r w:rsidRPr="00C36C8F">
              <w:t>Material Categories</w:t>
            </w:r>
          </w:p>
        </w:tc>
        <w:tc>
          <w:tcPr>
            <w:tcW w:w="850" w:type="dxa"/>
            <w:vMerge w:val="restart"/>
            <w:tcMar>
              <w:left w:w="0" w:type="dxa"/>
            </w:tcMar>
          </w:tcPr>
          <w:p w:rsidR="00D14763" w:rsidRPr="00C36C8F" w:rsidRDefault="007C571D" w:rsidP="00D31FAA">
            <w:pPr>
              <w:pStyle w:val="TableHeading"/>
              <w:jc w:val="center"/>
              <w:rPr>
                <w:sz w:val="16"/>
                <w:szCs w:val="16"/>
              </w:rPr>
            </w:pPr>
            <w:r w:rsidRPr="00C36C8F">
              <w:rPr>
                <w:sz w:val="16"/>
                <w:szCs w:val="16"/>
              </w:rPr>
              <w:t>EGG</w:t>
            </w:r>
            <w:r w:rsidR="00D14763" w:rsidRPr="00C36C8F">
              <w:rPr>
                <w:sz w:val="16"/>
                <w:szCs w:val="16"/>
              </w:rPr>
              <w:t xml:space="preserve"> (t</w:t>
            </w:r>
            <w:r w:rsidRPr="00C36C8F">
              <w:rPr>
                <w:sz w:val="16"/>
                <w:szCs w:val="16"/>
              </w:rPr>
              <w:t> </w:t>
            </w:r>
            <w:r w:rsidR="00D14763" w:rsidRPr="00C36C8F">
              <w:rPr>
                <w:sz w:val="16"/>
                <w:szCs w:val="16"/>
              </w:rPr>
              <w:t>C</w:t>
            </w:r>
            <w:r w:rsidR="0009621A" w:rsidRPr="00C36C8F">
              <w:rPr>
                <w:sz w:val="16"/>
                <w:szCs w:val="16"/>
              </w:rPr>
              <w:t>O</w:t>
            </w:r>
            <w:r w:rsidR="00D14763" w:rsidRPr="00C36C8F">
              <w:rPr>
                <w:sz w:val="16"/>
                <w:szCs w:val="16"/>
                <w:vertAlign w:val="subscript"/>
              </w:rPr>
              <w:t>2</w:t>
            </w:r>
            <w:r w:rsidR="0009621A" w:rsidRPr="00C36C8F">
              <w:rPr>
                <w:sz w:val="16"/>
                <w:szCs w:val="16"/>
              </w:rPr>
              <w:t>-e</w:t>
            </w:r>
            <w:r w:rsidR="00D14763" w:rsidRPr="00C36C8F">
              <w:rPr>
                <w:sz w:val="16"/>
                <w:szCs w:val="16"/>
              </w:rPr>
              <w:t>/</w:t>
            </w:r>
            <w:r w:rsidR="0009621A" w:rsidRPr="00C36C8F">
              <w:rPr>
                <w:sz w:val="16"/>
                <w:szCs w:val="16"/>
              </w:rPr>
              <w:t xml:space="preserve"> t</w:t>
            </w:r>
            <w:r w:rsidR="00D14763" w:rsidRPr="00C36C8F">
              <w:rPr>
                <w:sz w:val="16"/>
                <w:szCs w:val="16"/>
              </w:rPr>
              <w:t>)</w:t>
            </w:r>
          </w:p>
        </w:tc>
        <w:tc>
          <w:tcPr>
            <w:tcW w:w="1560" w:type="dxa"/>
            <w:gridSpan w:val="2"/>
            <w:tcBorders>
              <w:bottom w:val="single" w:sz="4" w:space="0" w:color="808080"/>
            </w:tcBorders>
            <w:shd w:val="clear" w:color="auto" w:fill="D9D9D9" w:themeFill="background1" w:themeFillShade="D9"/>
            <w:tcMar>
              <w:left w:w="0" w:type="dxa"/>
            </w:tcMar>
          </w:tcPr>
          <w:p w:rsidR="00D14763" w:rsidRPr="00C36C8F" w:rsidRDefault="00D14763" w:rsidP="00D31FAA">
            <w:pPr>
              <w:pStyle w:val="TableHeading"/>
              <w:jc w:val="center"/>
            </w:pPr>
            <w:r w:rsidRPr="00C36C8F">
              <w:t>NSW</w:t>
            </w:r>
          </w:p>
        </w:tc>
        <w:tc>
          <w:tcPr>
            <w:tcW w:w="1374" w:type="dxa"/>
            <w:gridSpan w:val="2"/>
            <w:tcBorders>
              <w:bottom w:val="single" w:sz="4" w:space="0" w:color="808080"/>
            </w:tcBorders>
            <w:tcMar>
              <w:left w:w="0" w:type="dxa"/>
            </w:tcMar>
          </w:tcPr>
          <w:p w:rsidR="00D14763" w:rsidRPr="00C36C8F" w:rsidRDefault="00D14763" w:rsidP="00D31FAA">
            <w:pPr>
              <w:pStyle w:val="TableHeading"/>
              <w:jc w:val="center"/>
            </w:pPr>
            <w:r w:rsidRPr="00C36C8F">
              <w:t>Vic</w:t>
            </w:r>
          </w:p>
        </w:tc>
        <w:tc>
          <w:tcPr>
            <w:tcW w:w="1602" w:type="dxa"/>
            <w:gridSpan w:val="2"/>
            <w:tcBorders>
              <w:bottom w:val="single" w:sz="4" w:space="0" w:color="808080"/>
            </w:tcBorders>
            <w:shd w:val="clear" w:color="auto" w:fill="D9D9D9" w:themeFill="background1" w:themeFillShade="D9"/>
            <w:tcMar>
              <w:left w:w="0" w:type="dxa"/>
            </w:tcMar>
          </w:tcPr>
          <w:p w:rsidR="00D14763" w:rsidRPr="00C36C8F" w:rsidRDefault="00D14763" w:rsidP="00D31FAA">
            <w:pPr>
              <w:pStyle w:val="TableHeading"/>
              <w:jc w:val="center"/>
            </w:pPr>
            <w:r w:rsidRPr="00C36C8F">
              <w:t>Qld</w:t>
            </w:r>
          </w:p>
        </w:tc>
        <w:tc>
          <w:tcPr>
            <w:tcW w:w="1418" w:type="dxa"/>
            <w:gridSpan w:val="2"/>
            <w:tcBorders>
              <w:bottom w:val="single" w:sz="4" w:space="0" w:color="808080"/>
            </w:tcBorders>
            <w:tcMar>
              <w:left w:w="0" w:type="dxa"/>
            </w:tcMar>
          </w:tcPr>
          <w:p w:rsidR="00D14763" w:rsidRPr="00C36C8F" w:rsidRDefault="00D14763" w:rsidP="00D31FAA">
            <w:pPr>
              <w:pStyle w:val="TableHeading"/>
              <w:jc w:val="center"/>
            </w:pPr>
            <w:r w:rsidRPr="00C36C8F">
              <w:t>SA</w:t>
            </w:r>
          </w:p>
        </w:tc>
        <w:tc>
          <w:tcPr>
            <w:tcW w:w="1417" w:type="dxa"/>
            <w:gridSpan w:val="2"/>
            <w:tcBorders>
              <w:bottom w:val="single" w:sz="4" w:space="0" w:color="808080"/>
            </w:tcBorders>
            <w:shd w:val="clear" w:color="auto" w:fill="D9D9D9" w:themeFill="background1" w:themeFillShade="D9"/>
            <w:tcMar>
              <w:left w:w="0" w:type="dxa"/>
            </w:tcMar>
          </w:tcPr>
          <w:p w:rsidR="00D14763" w:rsidRPr="00C36C8F" w:rsidRDefault="00D14763" w:rsidP="00D31FAA">
            <w:pPr>
              <w:pStyle w:val="TableHeading"/>
              <w:jc w:val="center"/>
            </w:pPr>
            <w:r w:rsidRPr="00C36C8F">
              <w:t>WA</w:t>
            </w:r>
          </w:p>
        </w:tc>
        <w:tc>
          <w:tcPr>
            <w:tcW w:w="1418" w:type="dxa"/>
            <w:gridSpan w:val="2"/>
            <w:tcBorders>
              <w:bottom w:val="single" w:sz="4" w:space="0" w:color="808080"/>
            </w:tcBorders>
            <w:tcMar>
              <w:left w:w="0" w:type="dxa"/>
            </w:tcMar>
          </w:tcPr>
          <w:p w:rsidR="00D14763" w:rsidRPr="00C36C8F" w:rsidRDefault="00D14763" w:rsidP="00D31FAA">
            <w:pPr>
              <w:pStyle w:val="TableHeading"/>
              <w:jc w:val="center"/>
            </w:pPr>
            <w:r w:rsidRPr="00C36C8F">
              <w:t>Tas</w:t>
            </w:r>
          </w:p>
        </w:tc>
        <w:tc>
          <w:tcPr>
            <w:tcW w:w="1276" w:type="dxa"/>
            <w:gridSpan w:val="2"/>
            <w:tcBorders>
              <w:bottom w:val="single" w:sz="4" w:space="0" w:color="808080"/>
            </w:tcBorders>
            <w:shd w:val="clear" w:color="auto" w:fill="D9D9D9" w:themeFill="background1" w:themeFillShade="D9"/>
            <w:tcMar>
              <w:left w:w="0" w:type="dxa"/>
            </w:tcMar>
          </w:tcPr>
          <w:p w:rsidR="00D14763" w:rsidRPr="00C36C8F" w:rsidRDefault="00D14763" w:rsidP="00D31FAA">
            <w:pPr>
              <w:pStyle w:val="TableHeading"/>
              <w:jc w:val="center"/>
            </w:pPr>
            <w:r w:rsidRPr="00C36C8F">
              <w:t>ACT</w:t>
            </w:r>
          </w:p>
        </w:tc>
        <w:tc>
          <w:tcPr>
            <w:tcW w:w="1417" w:type="dxa"/>
            <w:gridSpan w:val="2"/>
            <w:tcBorders>
              <w:bottom w:val="single" w:sz="4" w:space="0" w:color="808080"/>
            </w:tcBorders>
            <w:tcMar>
              <w:left w:w="0" w:type="dxa"/>
            </w:tcMar>
          </w:tcPr>
          <w:p w:rsidR="00D14763" w:rsidRPr="00C36C8F" w:rsidRDefault="00D14763" w:rsidP="00D31FAA">
            <w:pPr>
              <w:pStyle w:val="TableHeading"/>
              <w:jc w:val="center"/>
            </w:pPr>
            <w:r w:rsidRPr="00C36C8F">
              <w:t>NT</w:t>
            </w:r>
          </w:p>
        </w:tc>
        <w:tc>
          <w:tcPr>
            <w:tcW w:w="1559" w:type="dxa"/>
            <w:gridSpan w:val="2"/>
            <w:tcBorders>
              <w:bottom w:val="single" w:sz="4" w:space="0" w:color="808080"/>
            </w:tcBorders>
            <w:shd w:val="clear" w:color="auto" w:fill="D9D9D9" w:themeFill="background1" w:themeFillShade="D9"/>
            <w:tcMar>
              <w:left w:w="0" w:type="dxa"/>
            </w:tcMar>
          </w:tcPr>
          <w:p w:rsidR="00D14763" w:rsidRPr="00C36C8F" w:rsidRDefault="00D14763" w:rsidP="00D31FAA">
            <w:pPr>
              <w:pStyle w:val="TableHeading"/>
              <w:jc w:val="center"/>
            </w:pPr>
            <w:r w:rsidRPr="00C36C8F">
              <w:t>TOTALS</w:t>
            </w:r>
          </w:p>
        </w:tc>
      </w:tr>
      <w:tr w:rsidR="006B0BCA" w:rsidRPr="00C36C8F" w:rsidTr="005553A7">
        <w:tc>
          <w:tcPr>
            <w:tcW w:w="1418" w:type="dxa"/>
            <w:gridSpan w:val="2"/>
            <w:vMerge/>
          </w:tcPr>
          <w:p w:rsidR="00BB17F7" w:rsidRPr="00C36C8F" w:rsidRDefault="00BB17F7" w:rsidP="00D31FAA">
            <w:pPr>
              <w:pStyle w:val="TableText"/>
            </w:pPr>
          </w:p>
        </w:tc>
        <w:tc>
          <w:tcPr>
            <w:tcW w:w="850" w:type="dxa"/>
            <w:vMerge/>
            <w:tcBorders>
              <w:right w:val="single" w:sz="4" w:space="0" w:color="808080"/>
            </w:tcBorders>
            <w:tcMar>
              <w:left w:w="0" w:type="dxa"/>
            </w:tcMar>
          </w:tcPr>
          <w:p w:rsidR="00BB17F7" w:rsidRPr="00C36C8F" w:rsidRDefault="00BB17F7" w:rsidP="00D31FAA">
            <w:pPr>
              <w:pStyle w:val="TableText"/>
              <w:jc w:val="center"/>
            </w:pPr>
          </w:p>
        </w:tc>
        <w:tc>
          <w:tcPr>
            <w:tcW w:w="709" w:type="dxa"/>
            <w:tcBorders>
              <w:top w:val="single" w:sz="4" w:space="0" w:color="808080"/>
              <w:left w:val="single" w:sz="4" w:space="0" w:color="808080"/>
              <w:bottom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w:t>
            </w:r>
          </w:p>
        </w:tc>
        <w:tc>
          <w:tcPr>
            <w:tcW w:w="851" w:type="dxa"/>
            <w:tcBorders>
              <w:top w:val="single" w:sz="4" w:space="0" w:color="808080"/>
              <w:bottom w:val="single" w:sz="4" w:space="0" w:color="808080"/>
              <w:right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 CO</w:t>
            </w:r>
            <w:r w:rsidRPr="00363567">
              <w:rPr>
                <w:sz w:val="15"/>
                <w:szCs w:val="15"/>
                <w:vertAlign w:val="subscript"/>
              </w:rPr>
              <w:t>2</w:t>
            </w:r>
            <w:r w:rsidRPr="00363567">
              <w:rPr>
                <w:sz w:val="15"/>
                <w:szCs w:val="15"/>
              </w:rPr>
              <w:noBreakHyphen/>
              <w:t>e</w:t>
            </w:r>
          </w:p>
        </w:tc>
        <w:tc>
          <w:tcPr>
            <w:tcW w:w="567" w:type="dxa"/>
            <w:tcBorders>
              <w:top w:val="single" w:sz="4" w:space="0" w:color="808080"/>
              <w:left w:val="single" w:sz="4" w:space="0" w:color="808080"/>
              <w:bottom w:val="single" w:sz="4" w:space="0" w:color="808080"/>
            </w:tcBorders>
            <w:tcMar>
              <w:left w:w="0" w:type="dxa"/>
            </w:tcMar>
          </w:tcPr>
          <w:p w:rsidR="00BB17F7" w:rsidRPr="00363567" w:rsidRDefault="00BB17F7" w:rsidP="00D31FAA">
            <w:pPr>
              <w:pStyle w:val="TableHeading"/>
              <w:jc w:val="center"/>
              <w:rPr>
                <w:sz w:val="15"/>
                <w:szCs w:val="15"/>
              </w:rPr>
            </w:pPr>
            <w:r w:rsidRPr="00363567">
              <w:rPr>
                <w:sz w:val="15"/>
                <w:szCs w:val="15"/>
              </w:rPr>
              <w:t>kt</w:t>
            </w:r>
          </w:p>
        </w:tc>
        <w:tc>
          <w:tcPr>
            <w:tcW w:w="807" w:type="dxa"/>
            <w:tcBorders>
              <w:top w:val="single" w:sz="4" w:space="0" w:color="808080"/>
              <w:bottom w:val="single" w:sz="4" w:space="0" w:color="808080"/>
              <w:right w:val="single" w:sz="4" w:space="0" w:color="808080"/>
            </w:tcBorders>
            <w:tcMar>
              <w:left w:w="0" w:type="dxa"/>
            </w:tcMar>
          </w:tcPr>
          <w:p w:rsidR="00BB17F7" w:rsidRPr="00363567" w:rsidRDefault="00BB17F7" w:rsidP="00D31FAA">
            <w:pPr>
              <w:pStyle w:val="TableHeading"/>
              <w:jc w:val="center"/>
              <w:rPr>
                <w:sz w:val="15"/>
                <w:szCs w:val="15"/>
              </w:rPr>
            </w:pPr>
            <w:r w:rsidRPr="00363567">
              <w:rPr>
                <w:sz w:val="15"/>
                <w:szCs w:val="15"/>
              </w:rPr>
              <w:t>kt CO</w:t>
            </w:r>
            <w:r w:rsidRPr="00363567">
              <w:rPr>
                <w:sz w:val="15"/>
                <w:szCs w:val="15"/>
                <w:vertAlign w:val="subscript"/>
              </w:rPr>
              <w:t>2</w:t>
            </w:r>
            <w:r w:rsidRPr="00363567">
              <w:rPr>
                <w:sz w:val="15"/>
                <w:szCs w:val="15"/>
              </w:rPr>
              <w:noBreakHyphen/>
              <w:t>e</w:t>
            </w:r>
          </w:p>
        </w:tc>
        <w:tc>
          <w:tcPr>
            <w:tcW w:w="752" w:type="dxa"/>
            <w:tcBorders>
              <w:top w:val="single" w:sz="4" w:space="0" w:color="808080"/>
              <w:left w:val="single" w:sz="4" w:space="0" w:color="808080"/>
              <w:bottom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w:t>
            </w:r>
          </w:p>
        </w:tc>
        <w:tc>
          <w:tcPr>
            <w:tcW w:w="850" w:type="dxa"/>
            <w:tcBorders>
              <w:top w:val="single" w:sz="4" w:space="0" w:color="808080"/>
              <w:bottom w:val="single" w:sz="4" w:space="0" w:color="808080"/>
              <w:right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 CO</w:t>
            </w:r>
            <w:r w:rsidRPr="00363567">
              <w:rPr>
                <w:sz w:val="15"/>
                <w:szCs w:val="15"/>
                <w:vertAlign w:val="subscript"/>
              </w:rPr>
              <w:t>2</w:t>
            </w:r>
            <w:r w:rsidRPr="00363567">
              <w:rPr>
                <w:sz w:val="15"/>
                <w:szCs w:val="15"/>
              </w:rPr>
              <w:noBreakHyphen/>
              <w:t>e</w:t>
            </w:r>
          </w:p>
        </w:tc>
        <w:tc>
          <w:tcPr>
            <w:tcW w:w="567" w:type="dxa"/>
            <w:tcBorders>
              <w:top w:val="single" w:sz="4" w:space="0" w:color="808080"/>
              <w:left w:val="single" w:sz="4" w:space="0" w:color="808080"/>
              <w:bottom w:val="single" w:sz="4" w:space="0" w:color="808080"/>
            </w:tcBorders>
            <w:tcMar>
              <w:left w:w="0" w:type="dxa"/>
            </w:tcMar>
          </w:tcPr>
          <w:p w:rsidR="00BB17F7" w:rsidRPr="00363567" w:rsidRDefault="00BB17F7" w:rsidP="00D31FAA">
            <w:pPr>
              <w:pStyle w:val="TableHeading"/>
              <w:jc w:val="center"/>
              <w:rPr>
                <w:sz w:val="15"/>
                <w:szCs w:val="15"/>
              </w:rPr>
            </w:pPr>
            <w:r w:rsidRPr="00363567">
              <w:rPr>
                <w:sz w:val="15"/>
                <w:szCs w:val="15"/>
              </w:rPr>
              <w:t>kt</w:t>
            </w:r>
          </w:p>
        </w:tc>
        <w:tc>
          <w:tcPr>
            <w:tcW w:w="851" w:type="dxa"/>
            <w:tcBorders>
              <w:top w:val="single" w:sz="4" w:space="0" w:color="808080"/>
              <w:bottom w:val="single" w:sz="4" w:space="0" w:color="808080"/>
              <w:right w:val="single" w:sz="4" w:space="0" w:color="808080"/>
            </w:tcBorders>
            <w:tcMar>
              <w:left w:w="0" w:type="dxa"/>
            </w:tcMar>
          </w:tcPr>
          <w:p w:rsidR="00BB17F7" w:rsidRPr="00363567" w:rsidRDefault="00BB17F7" w:rsidP="00D31FAA">
            <w:pPr>
              <w:pStyle w:val="TableHeading"/>
              <w:jc w:val="center"/>
              <w:rPr>
                <w:sz w:val="15"/>
                <w:szCs w:val="15"/>
              </w:rPr>
            </w:pPr>
            <w:r w:rsidRPr="00363567">
              <w:rPr>
                <w:sz w:val="15"/>
                <w:szCs w:val="15"/>
              </w:rPr>
              <w:t>kt CO</w:t>
            </w:r>
            <w:r w:rsidRPr="00363567">
              <w:rPr>
                <w:sz w:val="15"/>
                <w:szCs w:val="15"/>
                <w:vertAlign w:val="subscript"/>
              </w:rPr>
              <w:t>2</w:t>
            </w:r>
            <w:r w:rsidRPr="00363567">
              <w:rPr>
                <w:sz w:val="15"/>
                <w:szCs w:val="15"/>
              </w:rPr>
              <w:noBreakHyphen/>
              <w:t>e</w:t>
            </w:r>
          </w:p>
        </w:tc>
        <w:tc>
          <w:tcPr>
            <w:tcW w:w="567" w:type="dxa"/>
            <w:tcBorders>
              <w:top w:val="single" w:sz="4" w:space="0" w:color="808080"/>
              <w:left w:val="single" w:sz="4" w:space="0" w:color="808080"/>
              <w:bottom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w:t>
            </w:r>
          </w:p>
        </w:tc>
        <w:tc>
          <w:tcPr>
            <w:tcW w:w="850" w:type="dxa"/>
            <w:tcBorders>
              <w:top w:val="single" w:sz="4" w:space="0" w:color="808080"/>
              <w:bottom w:val="single" w:sz="4" w:space="0" w:color="808080"/>
              <w:right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 CO</w:t>
            </w:r>
            <w:r w:rsidRPr="00363567">
              <w:rPr>
                <w:sz w:val="15"/>
                <w:szCs w:val="15"/>
                <w:vertAlign w:val="subscript"/>
              </w:rPr>
              <w:t>2</w:t>
            </w:r>
            <w:r w:rsidRPr="00363567">
              <w:rPr>
                <w:sz w:val="15"/>
                <w:szCs w:val="15"/>
              </w:rPr>
              <w:noBreakHyphen/>
              <w:t>e</w:t>
            </w:r>
          </w:p>
        </w:tc>
        <w:tc>
          <w:tcPr>
            <w:tcW w:w="567" w:type="dxa"/>
            <w:tcBorders>
              <w:top w:val="single" w:sz="4" w:space="0" w:color="808080"/>
              <w:left w:val="single" w:sz="4" w:space="0" w:color="808080"/>
              <w:bottom w:val="single" w:sz="4" w:space="0" w:color="808080"/>
            </w:tcBorders>
            <w:tcMar>
              <w:left w:w="0" w:type="dxa"/>
            </w:tcMar>
          </w:tcPr>
          <w:p w:rsidR="00BB17F7" w:rsidRPr="00363567" w:rsidRDefault="00BB17F7" w:rsidP="00D31FAA">
            <w:pPr>
              <w:pStyle w:val="TableHeading"/>
              <w:jc w:val="center"/>
              <w:rPr>
                <w:sz w:val="15"/>
                <w:szCs w:val="15"/>
              </w:rPr>
            </w:pPr>
            <w:r w:rsidRPr="00363567">
              <w:rPr>
                <w:sz w:val="15"/>
                <w:szCs w:val="15"/>
              </w:rPr>
              <w:t>kt</w:t>
            </w:r>
          </w:p>
        </w:tc>
        <w:tc>
          <w:tcPr>
            <w:tcW w:w="851" w:type="dxa"/>
            <w:tcBorders>
              <w:top w:val="single" w:sz="4" w:space="0" w:color="808080"/>
              <w:bottom w:val="single" w:sz="4" w:space="0" w:color="808080"/>
              <w:right w:val="single" w:sz="4" w:space="0" w:color="808080"/>
            </w:tcBorders>
            <w:tcMar>
              <w:left w:w="0" w:type="dxa"/>
            </w:tcMar>
          </w:tcPr>
          <w:p w:rsidR="00BB17F7" w:rsidRPr="00363567" w:rsidRDefault="00BB17F7" w:rsidP="00D31FAA">
            <w:pPr>
              <w:pStyle w:val="TableHeading"/>
              <w:jc w:val="center"/>
              <w:rPr>
                <w:sz w:val="15"/>
                <w:szCs w:val="15"/>
              </w:rPr>
            </w:pPr>
            <w:r w:rsidRPr="00363567">
              <w:rPr>
                <w:sz w:val="15"/>
                <w:szCs w:val="15"/>
              </w:rPr>
              <w:t>kt CO</w:t>
            </w:r>
            <w:r w:rsidRPr="00363567">
              <w:rPr>
                <w:sz w:val="15"/>
                <w:szCs w:val="15"/>
                <w:vertAlign w:val="subscript"/>
              </w:rPr>
              <w:t>2</w:t>
            </w:r>
            <w:r w:rsidRPr="00363567">
              <w:rPr>
                <w:sz w:val="15"/>
                <w:szCs w:val="15"/>
              </w:rPr>
              <w:noBreakHyphen/>
              <w:t>e</w:t>
            </w:r>
          </w:p>
        </w:tc>
        <w:tc>
          <w:tcPr>
            <w:tcW w:w="567" w:type="dxa"/>
            <w:tcBorders>
              <w:top w:val="single" w:sz="4" w:space="0" w:color="808080"/>
              <w:left w:val="single" w:sz="4" w:space="0" w:color="808080"/>
              <w:bottom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w:t>
            </w:r>
          </w:p>
        </w:tc>
        <w:tc>
          <w:tcPr>
            <w:tcW w:w="709" w:type="dxa"/>
            <w:tcBorders>
              <w:top w:val="single" w:sz="4" w:space="0" w:color="808080"/>
              <w:bottom w:val="single" w:sz="4" w:space="0" w:color="808080"/>
              <w:right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 CO</w:t>
            </w:r>
            <w:r w:rsidRPr="00363567">
              <w:rPr>
                <w:sz w:val="15"/>
                <w:szCs w:val="15"/>
                <w:vertAlign w:val="subscript"/>
              </w:rPr>
              <w:t>2</w:t>
            </w:r>
            <w:r w:rsidRPr="00363567">
              <w:rPr>
                <w:sz w:val="15"/>
                <w:szCs w:val="15"/>
              </w:rPr>
              <w:noBreakHyphen/>
              <w:t>e</w:t>
            </w:r>
          </w:p>
        </w:tc>
        <w:tc>
          <w:tcPr>
            <w:tcW w:w="567" w:type="dxa"/>
            <w:tcBorders>
              <w:top w:val="single" w:sz="4" w:space="0" w:color="808080"/>
              <w:left w:val="single" w:sz="4" w:space="0" w:color="808080"/>
              <w:bottom w:val="single" w:sz="4" w:space="0" w:color="808080"/>
            </w:tcBorders>
            <w:tcMar>
              <w:left w:w="0" w:type="dxa"/>
            </w:tcMar>
          </w:tcPr>
          <w:p w:rsidR="00BB17F7" w:rsidRPr="00363567" w:rsidRDefault="00BB17F7" w:rsidP="00D31FAA">
            <w:pPr>
              <w:pStyle w:val="TableHeading"/>
              <w:jc w:val="center"/>
              <w:rPr>
                <w:sz w:val="15"/>
                <w:szCs w:val="15"/>
              </w:rPr>
            </w:pPr>
            <w:r w:rsidRPr="00363567">
              <w:rPr>
                <w:sz w:val="15"/>
                <w:szCs w:val="15"/>
              </w:rPr>
              <w:t>kt</w:t>
            </w:r>
          </w:p>
        </w:tc>
        <w:tc>
          <w:tcPr>
            <w:tcW w:w="850" w:type="dxa"/>
            <w:tcBorders>
              <w:top w:val="single" w:sz="4" w:space="0" w:color="808080"/>
              <w:bottom w:val="single" w:sz="4" w:space="0" w:color="808080"/>
              <w:right w:val="single" w:sz="4" w:space="0" w:color="808080"/>
            </w:tcBorders>
            <w:tcMar>
              <w:left w:w="0" w:type="dxa"/>
            </w:tcMar>
          </w:tcPr>
          <w:p w:rsidR="00BB17F7" w:rsidRPr="00363567" w:rsidRDefault="00BB17F7" w:rsidP="00D31FAA">
            <w:pPr>
              <w:pStyle w:val="TableHeading"/>
              <w:jc w:val="center"/>
              <w:rPr>
                <w:sz w:val="15"/>
                <w:szCs w:val="15"/>
              </w:rPr>
            </w:pPr>
            <w:r w:rsidRPr="00363567">
              <w:rPr>
                <w:sz w:val="15"/>
                <w:szCs w:val="15"/>
              </w:rPr>
              <w:t>kt CO</w:t>
            </w:r>
            <w:r w:rsidRPr="00363567">
              <w:rPr>
                <w:sz w:val="15"/>
                <w:szCs w:val="15"/>
                <w:vertAlign w:val="subscript"/>
              </w:rPr>
              <w:t>2</w:t>
            </w:r>
            <w:r w:rsidRPr="00363567">
              <w:rPr>
                <w:sz w:val="15"/>
                <w:szCs w:val="15"/>
              </w:rPr>
              <w:noBreakHyphen/>
              <w:t>e</w:t>
            </w:r>
          </w:p>
        </w:tc>
        <w:tc>
          <w:tcPr>
            <w:tcW w:w="709" w:type="dxa"/>
            <w:tcBorders>
              <w:top w:val="single" w:sz="4" w:space="0" w:color="808080"/>
              <w:left w:val="single" w:sz="4" w:space="0" w:color="808080"/>
              <w:bottom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w:t>
            </w:r>
          </w:p>
        </w:tc>
        <w:tc>
          <w:tcPr>
            <w:tcW w:w="850" w:type="dxa"/>
            <w:tcBorders>
              <w:top w:val="single" w:sz="4" w:space="0" w:color="808080"/>
              <w:bottom w:val="single" w:sz="4" w:space="0" w:color="808080"/>
              <w:right w:val="single" w:sz="4" w:space="0" w:color="808080"/>
            </w:tcBorders>
            <w:shd w:val="clear" w:color="auto" w:fill="D9D9D9" w:themeFill="background1" w:themeFillShade="D9"/>
            <w:tcMar>
              <w:left w:w="0" w:type="dxa"/>
            </w:tcMar>
          </w:tcPr>
          <w:p w:rsidR="00BB17F7" w:rsidRPr="00363567" w:rsidRDefault="00BB17F7" w:rsidP="00D31FAA">
            <w:pPr>
              <w:pStyle w:val="TableHeading"/>
              <w:jc w:val="center"/>
              <w:rPr>
                <w:sz w:val="15"/>
                <w:szCs w:val="15"/>
              </w:rPr>
            </w:pPr>
            <w:r w:rsidRPr="00363567">
              <w:rPr>
                <w:sz w:val="15"/>
                <w:szCs w:val="15"/>
              </w:rPr>
              <w:t>kt CO</w:t>
            </w:r>
            <w:r w:rsidRPr="00363567">
              <w:rPr>
                <w:sz w:val="15"/>
                <w:szCs w:val="15"/>
                <w:vertAlign w:val="subscript"/>
              </w:rPr>
              <w:t>2</w:t>
            </w:r>
            <w:r w:rsidRPr="00363567">
              <w:rPr>
                <w:sz w:val="15"/>
                <w:szCs w:val="15"/>
              </w:rPr>
              <w:noBreakHyphen/>
              <w:t>e</w:t>
            </w:r>
          </w:p>
        </w:tc>
      </w:tr>
      <w:tr w:rsidR="00213569" w:rsidRPr="00CA2103" w:rsidTr="005553A7">
        <w:tc>
          <w:tcPr>
            <w:tcW w:w="1418" w:type="dxa"/>
            <w:gridSpan w:val="2"/>
          </w:tcPr>
          <w:p w:rsidR="00213569" w:rsidRPr="000B315F" w:rsidRDefault="00213569" w:rsidP="00D31FAA">
            <w:pPr>
              <w:pStyle w:val="TableText"/>
            </w:pPr>
            <w:r w:rsidRPr="000B315F">
              <w:t>Masonry materials</w:t>
            </w:r>
            <w:r w:rsidRPr="000B315F">
              <w:rPr>
                <w:vertAlign w:val="superscript"/>
              </w:rPr>
              <w:footnoteReference w:id="25"/>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pPr>
            <w:r w:rsidRPr="000B315F">
              <w:t>0.16</w:t>
            </w:r>
          </w:p>
        </w:tc>
        <w:tc>
          <w:tcPr>
            <w:tcW w:w="709" w:type="dxa"/>
            <w:tcBorders>
              <w:top w:val="single" w:sz="4" w:space="0" w:color="808080"/>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958</w:t>
            </w:r>
          </w:p>
        </w:tc>
        <w:tc>
          <w:tcPr>
            <w:tcW w:w="851" w:type="dxa"/>
            <w:tcBorders>
              <w:top w:val="single" w:sz="4" w:space="0" w:color="808080"/>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149</w:t>
            </w:r>
          </w:p>
        </w:tc>
        <w:tc>
          <w:tcPr>
            <w:tcW w:w="567" w:type="dxa"/>
            <w:tcBorders>
              <w:top w:val="single" w:sz="4" w:space="0" w:color="808080"/>
              <w:left w:val="single" w:sz="4" w:space="0" w:color="808080"/>
            </w:tcBorders>
            <w:tcMar>
              <w:left w:w="0" w:type="dxa"/>
            </w:tcMar>
          </w:tcPr>
          <w:p w:rsidR="00213569" w:rsidRPr="000B315F" w:rsidRDefault="00F77088" w:rsidP="000B315F">
            <w:pPr>
              <w:pStyle w:val="TableText"/>
              <w:spacing w:before="40" w:after="40" w:line="240" w:lineRule="auto"/>
              <w:jc w:val="center"/>
            </w:pPr>
            <w:r>
              <w:t>1</w:t>
            </w:r>
            <w:r w:rsidR="00213569" w:rsidRPr="00213569">
              <w:rPr>
                <w:rFonts w:cs="Arial"/>
                <w:szCs w:val="18"/>
              </w:rPr>
              <w:t>842</w:t>
            </w:r>
          </w:p>
        </w:tc>
        <w:tc>
          <w:tcPr>
            <w:tcW w:w="807" w:type="dxa"/>
            <w:tcBorders>
              <w:top w:val="single" w:sz="4" w:space="0" w:color="808080"/>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287</w:t>
            </w:r>
          </w:p>
        </w:tc>
        <w:tc>
          <w:tcPr>
            <w:tcW w:w="752" w:type="dxa"/>
            <w:tcBorders>
              <w:top w:val="single" w:sz="4" w:space="0" w:color="808080"/>
              <w:left w:val="single" w:sz="4" w:space="0" w:color="808080"/>
            </w:tcBorders>
            <w:shd w:val="clear" w:color="auto" w:fill="D9D9D9" w:themeFill="background1" w:themeFillShade="D9"/>
            <w:tcMar>
              <w:left w:w="0" w:type="dxa"/>
            </w:tcMar>
          </w:tcPr>
          <w:p w:rsidR="00213569" w:rsidRPr="000B315F" w:rsidRDefault="00F77088" w:rsidP="000B315F">
            <w:pPr>
              <w:pStyle w:val="TableText"/>
              <w:spacing w:before="40" w:after="40" w:line="240" w:lineRule="auto"/>
              <w:jc w:val="center"/>
            </w:pPr>
            <w:r>
              <w:t>1</w:t>
            </w:r>
            <w:r w:rsidR="00213569" w:rsidRPr="00213569">
              <w:rPr>
                <w:rFonts w:cs="Arial"/>
                <w:szCs w:val="18"/>
              </w:rPr>
              <w:t>434</w:t>
            </w:r>
          </w:p>
        </w:tc>
        <w:tc>
          <w:tcPr>
            <w:tcW w:w="850" w:type="dxa"/>
            <w:tcBorders>
              <w:top w:val="single" w:sz="4" w:space="0" w:color="808080"/>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224</w:t>
            </w:r>
          </w:p>
        </w:tc>
        <w:tc>
          <w:tcPr>
            <w:tcW w:w="567" w:type="dxa"/>
            <w:tcBorders>
              <w:top w:val="single" w:sz="4" w:space="0" w:color="808080"/>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343</w:t>
            </w:r>
          </w:p>
        </w:tc>
        <w:tc>
          <w:tcPr>
            <w:tcW w:w="851" w:type="dxa"/>
            <w:tcBorders>
              <w:top w:val="single" w:sz="4" w:space="0" w:color="808080"/>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54</w:t>
            </w:r>
          </w:p>
        </w:tc>
        <w:tc>
          <w:tcPr>
            <w:tcW w:w="567" w:type="dxa"/>
            <w:tcBorders>
              <w:top w:val="single" w:sz="4" w:space="0" w:color="808080"/>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rFonts w:cs="Arial"/>
                <w:szCs w:val="18"/>
              </w:rPr>
              <w:t>2</w:t>
            </w:r>
            <w:r w:rsidR="00213569" w:rsidRPr="00213569">
              <w:rPr>
                <w:rFonts w:cs="Arial"/>
                <w:szCs w:val="18"/>
              </w:rPr>
              <w:t>095</w:t>
            </w:r>
          </w:p>
        </w:tc>
        <w:tc>
          <w:tcPr>
            <w:tcW w:w="850" w:type="dxa"/>
            <w:tcBorders>
              <w:top w:val="single" w:sz="4" w:space="0" w:color="808080"/>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327</w:t>
            </w:r>
          </w:p>
        </w:tc>
        <w:tc>
          <w:tcPr>
            <w:tcW w:w="567" w:type="dxa"/>
            <w:tcBorders>
              <w:top w:val="single" w:sz="4" w:space="0" w:color="808080"/>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45</w:t>
            </w:r>
          </w:p>
        </w:tc>
        <w:tc>
          <w:tcPr>
            <w:tcW w:w="851" w:type="dxa"/>
            <w:tcBorders>
              <w:top w:val="single" w:sz="4" w:space="0" w:color="808080"/>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7</w:t>
            </w:r>
          </w:p>
        </w:tc>
        <w:tc>
          <w:tcPr>
            <w:tcW w:w="567" w:type="dxa"/>
            <w:tcBorders>
              <w:top w:val="single" w:sz="4" w:space="0" w:color="808080"/>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30</w:t>
            </w:r>
          </w:p>
        </w:tc>
        <w:tc>
          <w:tcPr>
            <w:tcW w:w="709" w:type="dxa"/>
            <w:tcBorders>
              <w:top w:val="single" w:sz="4" w:space="0" w:color="808080"/>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5</w:t>
            </w:r>
          </w:p>
        </w:tc>
        <w:tc>
          <w:tcPr>
            <w:tcW w:w="567" w:type="dxa"/>
            <w:tcBorders>
              <w:top w:val="single" w:sz="4" w:space="0" w:color="808080"/>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89</w:t>
            </w:r>
          </w:p>
        </w:tc>
        <w:tc>
          <w:tcPr>
            <w:tcW w:w="850" w:type="dxa"/>
            <w:tcBorders>
              <w:top w:val="single" w:sz="4" w:space="0" w:color="808080"/>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14</w:t>
            </w:r>
          </w:p>
        </w:tc>
        <w:tc>
          <w:tcPr>
            <w:tcW w:w="709" w:type="dxa"/>
            <w:tcBorders>
              <w:top w:val="single" w:sz="4" w:space="0" w:color="808080"/>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t>6</w:t>
            </w:r>
            <w:r w:rsidR="00213569" w:rsidRPr="00213569">
              <w:rPr>
                <w:rFonts w:cs="Arial"/>
                <w:szCs w:val="18"/>
              </w:rPr>
              <w:t>834</w:t>
            </w:r>
          </w:p>
        </w:tc>
        <w:tc>
          <w:tcPr>
            <w:tcW w:w="850" w:type="dxa"/>
            <w:tcBorders>
              <w:top w:val="single" w:sz="4" w:space="0" w:color="808080"/>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rFonts w:cs="Arial"/>
                <w:szCs w:val="18"/>
              </w:rPr>
              <w:t>1</w:t>
            </w:r>
            <w:r w:rsidR="00213569" w:rsidRPr="00213569">
              <w:rPr>
                <w:rFonts w:cs="Arial"/>
                <w:szCs w:val="18"/>
              </w:rPr>
              <w:t>066</w:t>
            </w:r>
          </w:p>
        </w:tc>
      </w:tr>
      <w:tr w:rsidR="00213569" w:rsidRPr="00CA2103" w:rsidTr="005553A7">
        <w:tc>
          <w:tcPr>
            <w:tcW w:w="1418" w:type="dxa"/>
            <w:gridSpan w:val="2"/>
          </w:tcPr>
          <w:p w:rsidR="00213569" w:rsidRPr="000B315F" w:rsidRDefault="00213569" w:rsidP="00D31FAA">
            <w:pPr>
              <w:pStyle w:val="TableText"/>
            </w:pPr>
            <w:r w:rsidRPr="000B315F">
              <w:t>Metals</w:t>
            </w:r>
            <w:r w:rsidRPr="000B315F">
              <w:rPr>
                <w:vertAlign w:val="superscript"/>
              </w:rPr>
              <w:footnoteReference w:id="26"/>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pPr>
            <w:r w:rsidRPr="000B315F">
              <w:t>2.09</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176</w:t>
            </w:r>
          </w:p>
        </w:tc>
        <w:tc>
          <w:tcPr>
            <w:tcW w:w="851"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369</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86</w:t>
            </w:r>
          </w:p>
        </w:tc>
        <w:tc>
          <w:tcPr>
            <w:tcW w:w="807"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180</w:t>
            </w:r>
          </w:p>
        </w:tc>
        <w:tc>
          <w:tcPr>
            <w:tcW w:w="752"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101</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211</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33</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69</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104</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217</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13</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26</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6</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12</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9</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19</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527</w:t>
            </w:r>
          </w:p>
        </w:tc>
        <w:tc>
          <w:tcPr>
            <w:tcW w:w="850" w:type="dxa"/>
            <w:tcBorders>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t>1</w:t>
            </w:r>
            <w:r w:rsidR="00213569" w:rsidRPr="00213569">
              <w:rPr>
                <w:rFonts w:cs="Arial"/>
                <w:szCs w:val="18"/>
              </w:rPr>
              <w:t>103</w:t>
            </w:r>
          </w:p>
        </w:tc>
      </w:tr>
      <w:tr w:rsidR="00213569" w:rsidRPr="00CA2103" w:rsidTr="005553A7">
        <w:tc>
          <w:tcPr>
            <w:tcW w:w="1418" w:type="dxa"/>
            <w:gridSpan w:val="2"/>
          </w:tcPr>
          <w:p w:rsidR="00213569" w:rsidRPr="000B315F" w:rsidRDefault="00213569" w:rsidP="00D31FAA">
            <w:pPr>
              <w:pStyle w:val="TableText"/>
            </w:pPr>
            <w:r w:rsidRPr="000B315F">
              <w:t>Organics</w:t>
            </w:r>
            <w:r w:rsidRPr="000B315F">
              <w:rPr>
                <w:vertAlign w:val="superscript"/>
              </w:rPr>
              <w:t>i</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pPr>
            <w:r w:rsidRPr="000B315F">
              <w:t>n/a</w:t>
            </w:r>
          </w:p>
        </w:tc>
        <w:tc>
          <w:tcPr>
            <w:tcW w:w="709" w:type="dxa"/>
            <w:tcBorders>
              <w:left w:val="single" w:sz="4" w:space="0" w:color="808080"/>
            </w:tcBorders>
            <w:shd w:val="clear" w:color="auto" w:fill="D9D9D9" w:themeFill="background1" w:themeFillShade="D9"/>
            <w:tcMar>
              <w:left w:w="0" w:type="dxa"/>
            </w:tcMar>
          </w:tcPr>
          <w:p w:rsidR="00213569" w:rsidRPr="000B315F" w:rsidRDefault="00F77088" w:rsidP="000B315F">
            <w:pPr>
              <w:pStyle w:val="TableText"/>
              <w:spacing w:before="40" w:after="40" w:line="240" w:lineRule="auto"/>
              <w:jc w:val="center"/>
              <w:rPr>
                <w:highlight w:val="lightGray"/>
              </w:rPr>
            </w:pPr>
            <w:r>
              <w:t>2</w:t>
            </w:r>
            <w:r w:rsidR="00213569" w:rsidRPr="00213569">
              <w:rPr>
                <w:rFonts w:cs="Arial"/>
                <w:szCs w:val="18"/>
              </w:rPr>
              <w:t>301</w:t>
            </w:r>
          </w:p>
        </w:tc>
        <w:tc>
          <w:tcPr>
            <w:tcW w:w="851"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tcMar>
              <w:left w:w="0" w:type="dxa"/>
            </w:tcMar>
          </w:tcPr>
          <w:p w:rsidR="00213569" w:rsidRPr="000B315F" w:rsidRDefault="00B540C4" w:rsidP="000B315F">
            <w:pPr>
              <w:pStyle w:val="TableText"/>
              <w:spacing w:before="40" w:after="40" w:line="240" w:lineRule="auto"/>
              <w:jc w:val="center"/>
              <w:rPr>
                <w:highlight w:val="lightGray"/>
              </w:rPr>
            </w:pPr>
            <w:r>
              <w:t>1</w:t>
            </w:r>
            <w:r w:rsidR="00213569" w:rsidRPr="00213569">
              <w:rPr>
                <w:rFonts w:cs="Arial"/>
                <w:szCs w:val="18"/>
              </w:rPr>
              <w:t>341</w:t>
            </w:r>
          </w:p>
        </w:tc>
        <w:tc>
          <w:tcPr>
            <w:tcW w:w="807"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752" w:type="dxa"/>
            <w:tcBorders>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rPr>
                <w:highlight w:val="lightGray"/>
              </w:rPr>
            </w:pPr>
            <w:r>
              <w:t>1</w:t>
            </w:r>
            <w:r w:rsidR="00213569" w:rsidRPr="00213569">
              <w:rPr>
                <w:rFonts w:cs="Arial"/>
                <w:szCs w:val="18"/>
              </w:rPr>
              <w:t>756</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370</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rPr>
                <w:highlight w:val="lightGray"/>
              </w:rPr>
            </w:pPr>
            <w:r>
              <w:t>1</w:t>
            </w:r>
            <w:r w:rsidR="00213569" w:rsidRPr="00213569">
              <w:rPr>
                <w:rFonts w:cs="Arial"/>
                <w:szCs w:val="18"/>
              </w:rPr>
              <w:t>078</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200</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87</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131</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709" w:type="dxa"/>
            <w:tcBorders>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rPr>
                <w:highlight w:val="lightGray"/>
              </w:rPr>
            </w:pPr>
            <w:r>
              <w:t>7</w:t>
            </w:r>
            <w:r w:rsidR="00213569" w:rsidRPr="00213569">
              <w:rPr>
                <w:rFonts w:cs="Arial"/>
                <w:szCs w:val="18"/>
              </w:rPr>
              <w:t>264</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r>
      <w:tr w:rsidR="00213569" w:rsidRPr="00CA2103" w:rsidTr="005553A7">
        <w:tc>
          <w:tcPr>
            <w:tcW w:w="1418" w:type="dxa"/>
            <w:gridSpan w:val="2"/>
          </w:tcPr>
          <w:p w:rsidR="00213569" w:rsidRPr="000B315F" w:rsidRDefault="00213569" w:rsidP="00D31FAA">
            <w:pPr>
              <w:pStyle w:val="TableText"/>
            </w:pPr>
            <w:r w:rsidRPr="000B315F">
              <w:t>Paper &amp; cardboard</w:t>
            </w:r>
            <w:r w:rsidRPr="000B315F">
              <w:rPr>
                <w:vertAlign w:val="superscript"/>
              </w:rPr>
              <w:t>i</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pPr>
            <w:r w:rsidRPr="000B315F">
              <w:t>n/a</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904</w:t>
            </w:r>
          </w:p>
        </w:tc>
        <w:tc>
          <w:tcPr>
            <w:tcW w:w="851"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434</w:t>
            </w:r>
          </w:p>
        </w:tc>
        <w:tc>
          <w:tcPr>
            <w:tcW w:w="807"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752"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449</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115</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442</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213569">
              <w:rPr>
                <w:rFonts w:cs="Arial"/>
                <w:szCs w:val="18"/>
              </w:rPr>
              <w:t>58</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27</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0B315F">
              <w:t>36</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c>
          <w:tcPr>
            <w:tcW w:w="709" w:type="dxa"/>
            <w:tcBorders>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rPr>
                <w:highlight w:val="lightGray"/>
              </w:rPr>
            </w:pPr>
            <w:r>
              <w:t>2</w:t>
            </w:r>
            <w:r w:rsidR="00213569" w:rsidRPr="00213569">
              <w:rPr>
                <w:rFonts w:cs="Arial"/>
                <w:szCs w:val="18"/>
              </w:rPr>
              <w:t>467</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rPr>
                <w:highlight w:val="lightGray"/>
              </w:rPr>
            </w:pPr>
            <w:r w:rsidRPr="000B315F">
              <w:t>0</w:t>
            </w:r>
          </w:p>
        </w:tc>
      </w:tr>
      <w:tr w:rsidR="00213569" w:rsidRPr="00CA2103" w:rsidTr="005553A7">
        <w:tc>
          <w:tcPr>
            <w:tcW w:w="1418" w:type="dxa"/>
            <w:gridSpan w:val="2"/>
          </w:tcPr>
          <w:p w:rsidR="00213569" w:rsidRPr="000B315F" w:rsidRDefault="00213569" w:rsidP="00D31FAA">
            <w:pPr>
              <w:pStyle w:val="TableText"/>
            </w:pPr>
            <w:r w:rsidRPr="000B315F">
              <w:t>Plastics</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pPr>
            <w:r w:rsidRPr="000B315F">
              <w:t>2.53</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658</w:t>
            </w:r>
          </w:p>
        </w:tc>
        <w:tc>
          <w:tcPr>
            <w:tcW w:w="851" w:type="dxa"/>
            <w:tcBorders>
              <w:right w:val="single" w:sz="4" w:space="0" w:color="808080"/>
            </w:tcBorders>
            <w:shd w:val="clear" w:color="auto" w:fill="D9D9D9" w:themeFill="background1" w:themeFillShade="D9"/>
            <w:tcMar>
              <w:left w:w="0" w:type="dxa"/>
            </w:tcMar>
          </w:tcPr>
          <w:p w:rsidR="00213569" w:rsidRPr="000B315F" w:rsidRDefault="00F77088" w:rsidP="000B315F">
            <w:pPr>
              <w:pStyle w:val="TableText"/>
              <w:spacing w:before="40" w:after="40" w:line="240" w:lineRule="auto"/>
              <w:jc w:val="center"/>
            </w:pPr>
            <w:r>
              <w:t>1</w:t>
            </w:r>
            <w:r w:rsidR="00213569" w:rsidRPr="00213569">
              <w:rPr>
                <w:rFonts w:cs="Arial"/>
                <w:szCs w:val="18"/>
              </w:rPr>
              <w:t>665</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361</w:t>
            </w:r>
          </w:p>
        </w:tc>
        <w:tc>
          <w:tcPr>
            <w:tcW w:w="807"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914</w:t>
            </w:r>
          </w:p>
        </w:tc>
        <w:tc>
          <w:tcPr>
            <w:tcW w:w="752"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350</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887</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55</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140</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226</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572</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45</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115</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21</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53</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29</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73</w:t>
            </w:r>
          </w:p>
        </w:tc>
        <w:tc>
          <w:tcPr>
            <w:tcW w:w="709" w:type="dxa"/>
            <w:tcBorders>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t>1</w:t>
            </w:r>
            <w:r w:rsidR="00213569" w:rsidRPr="00213569">
              <w:rPr>
                <w:rFonts w:cs="Arial"/>
                <w:szCs w:val="18"/>
              </w:rPr>
              <w:t>746</w:t>
            </w:r>
          </w:p>
        </w:tc>
        <w:tc>
          <w:tcPr>
            <w:tcW w:w="850" w:type="dxa"/>
            <w:tcBorders>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rFonts w:cs="Arial"/>
                <w:szCs w:val="18"/>
              </w:rPr>
              <w:t>4</w:t>
            </w:r>
            <w:r w:rsidR="00213569" w:rsidRPr="00213569">
              <w:rPr>
                <w:rFonts w:cs="Arial"/>
                <w:szCs w:val="18"/>
              </w:rPr>
              <w:t>418</w:t>
            </w:r>
          </w:p>
        </w:tc>
      </w:tr>
      <w:tr w:rsidR="00213569" w:rsidRPr="00CA2103" w:rsidTr="00DF3FE6">
        <w:tc>
          <w:tcPr>
            <w:tcW w:w="392" w:type="dxa"/>
            <w:vMerge w:val="restart"/>
            <w:textDirection w:val="btLr"/>
            <w:vAlign w:val="center"/>
          </w:tcPr>
          <w:p w:rsidR="00213569" w:rsidRPr="000B315F" w:rsidRDefault="00213569" w:rsidP="00DF3FE6">
            <w:pPr>
              <w:pStyle w:val="TableText"/>
              <w:ind w:left="113" w:right="113"/>
              <w:jc w:val="center"/>
            </w:pPr>
            <w:r w:rsidRPr="000B315F">
              <w:t>Other</w:t>
            </w:r>
          </w:p>
        </w:tc>
        <w:tc>
          <w:tcPr>
            <w:tcW w:w="1026" w:type="dxa"/>
          </w:tcPr>
          <w:p w:rsidR="00213569" w:rsidRPr="000B315F" w:rsidRDefault="00213569" w:rsidP="00D31FAA">
            <w:pPr>
              <w:pStyle w:val="TableText"/>
            </w:pPr>
            <w:r w:rsidRPr="000B315F">
              <w:t>Glass</w:t>
            </w:r>
          </w:p>
        </w:tc>
        <w:tc>
          <w:tcPr>
            <w:tcW w:w="850" w:type="dxa"/>
            <w:tcBorders>
              <w:right w:val="single" w:sz="4" w:space="0" w:color="808080"/>
            </w:tcBorders>
            <w:tcMar>
              <w:left w:w="0" w:type="dxa"/>
            </w:tcMar>
            <w:vAlign w:val="bottom"/>
          </w:tcPr>
          <w:p w:rsidR="00213569" w:rsidRPr="000B315F" w:rsidRDefault="00213569" w:rsidP="000B315F">
            <w:pPr>
              <w:pStyle w:val="TableText"/>
              <w:spacing w:before="40" w:after="40" w:line="240" w:lineRule="auto"/>
            </w:pPr>
            <w:r>
              <w:rPr>
                <w:rFonts w:cs="Arial"/>
                <w:sz w:val="20"/>
              </w:rPr>
              <w:t>163</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139</w:t>
            </w:r>
          </w:p>
        </w:tc>
        <w:tc>
          <w:tcPr>
            <w:tcW w:w="851"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79</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67</w:t>
            </w:r>
          </w:p>
        </w:tc>
        <w:tc>
          <w:tcPr>
            <w:tcW w:w="807"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99</w:t>
            </w:r>
          </w:p>
        </w:tc>
        <w:tc>
          <w:tcPr>
            <w:tcW w:w="752"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84</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27</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23</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76</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64</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12</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10</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6</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5</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7</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6</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468</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398</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378</w:t>
            </w:r>
          </w:p>
        </w:tc>
      </w:tr>
      <w:tr w:rsidR="00213569" w:rsidRPr="00CA2103" w:rsidTr="00DF3FE6">
        <w:tc>
          <w:tcPr>
            <w:tcW w:w="392" w:type="dxa"/>
            <w:vMerge/>
          </w:tcPr>
          <w:p w:rsidR="00213569" w:rsidRPr="000B315F" w:rsidRDefault="00213569" w:rsidP="00D31FAA">
            <w:pPr>
              <w:pStyle w:val="TableText"/>
            </w:pPr>
          </w:p>
        </w:tc>
        <w:tc>
          <w:tcPr>
            <w:tcW w:w="1026" w:type="dxa"/>
          </w:tcPr>
          <w:p w:rsidR="00213569" w:rsidRPr="000B315F" w:rsidRDefault="00213569" w:rsidP="00D31FAA">
            <w:pPr>
              <w:pStyle w:val="TableText"/>
            </w:pPr>
            <w:r w:rsidRPr="000B315F">
              <w:t>Leather &amp; textiles</w:t>
            </w:r>
          </w:p>
        </w:tc>
        <w:tc>
          <w:tcPr>
            <w:tcW w:w="850" w:type="dxa"/>
            <w:tcBorders>
              <w:right w:val="single" w:sz="4" w:space="0" w:color="808080"/>
            </w:tcBorders>
            <w:tcMar>
              <w:left w:w="0" w:type="dxa"/>
            </w:tcMar>
            <w:vAlign w:val="bottom"/>
          </w:tcPr>
          <w:p w:rsidR="00213569" w:rsidRPr="000B315F" w:rsidRDefault="00213569" w:rsidP="000B315F">
            <w:pPr>
              <w:pStyle w:val="TableText"/>
              <w:spacing w:before="40" w:after="40" w:line="240" w:lineRule="auto"/>
            </w:pPr>
            <w:r>
              <w:rPr>
                <w:rFonts w:cs="Arial"/>
                <w:sz w:val="20"/>
              </w:rPr>
              <w:t>174</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678</w:t>
            </w:r>
          </w:p>
        </w:tc>
        <w:tc>
          <w:tcPr>
            <w:tcW w:w="851"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139</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541</w:t>
            </w:r>
          </w:p>
        </w:tc>
        <w:tc>
          <w:tcPr>
            <w:tcW w:w="807"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95</w:t>
            </w:r>
          </w:p>
        </w:tc>
        <w:tc>
          <w:tcPr>
            <w:tcW w:w="752"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371</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18</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72</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34</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131</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13</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52</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8</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31</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9</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35</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491</w:t>
            </w:r>
          </w:p>
        </w:tc>
        <w:tc>
          <w:tcPr>
            <w:tcW w:w="709" w:type="dxa"/>
            <w:tcBorders>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rFonts w:cs="Arial"/>
                <w:szCs w:val="18"/>
              </w:rPr>
              <w:t>1</w:t>
            </w:r>
            <w:r w:rsidR="00213569" w:rsidRPr="00213569">
              <w:rPr>
                <w:rFonts w:cs="Arial"/>
                <w:szCs w:val="18"/>
              </w:rPr>
              <w:t>912</w:t>
            </w:r>
          </w:p>
        </w:tc>
        <w:tc>
          <w:tcPr>
            <w:tcW w:w="850" w:type="dxa"/>
            <w:tcBorders>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t>2</w:t>
            </w:r>
            <w:r w:rsidR="00213569" w:rsidRPr="000B315F">
              <w:t>040</w:t>
            </w:r>
          </w:p>
        </w:tc>
      </w:tr>
      <w:tr w:rsidR="00213569" w:rsidRPr="00CA2103" w:rsidTr="00DF3FE6">
        <w:tc>
          <w:tcPr>
            <w:tcW w:w="392" w:type="dxa"/>
            <w:vMerge/>
          </w:tcPr>
          <w:p w:rsidR="00213569" w:rsidRPr="000B315F" w:rsidRDefault="00213569" w:rsidP="00D31FAA">
            <w:pPr>
              <w:pStyle w:val="TableText"/>
            </w:pPr>
          </w:p>
        </w:tc>
        <w:tc>
          <w:tcPr>
            <w:tcW w:w="1026" w:type="dxa"/>
          </w:tcPr>
          <w:p w:rsidR="00213569" w:rsidRPr="000B315F" w:rsidRDefault="00213569" w:rsidP="00D31FAA">
            <w:pPr>
              <w:pStyle w:val="TableText"/>
            </w:pPr>
            <w:r w:rsidRPr="000B315F">
              <w:t>Tyres &amp; other rubber</w:t>
            </w:r>
          </w:p>
        </w:tc>
        <w:tc>
          <w:tcPr>
            <w:tcW w:w="850" w:type="dxa"/>
            <w:tcBorders>
              <w:right w:val="single" w:sz="4" w:space="0" w:color="808080"/>
            </w:tcBorders>
            <w:tcMar>
              <w:left w:w="0" w:type="dxa"/>
            </w:tcMar>
            <w:vAlign w:val="bottom"/>
          </w:tcPr>
          <w:p w:rsidR="00213569" w:rsidRPr="000B315F" w:rsidRDefault="00213569" w:rsidP="000B315F">
            <w:pPr>
              <w:pStyle w:val="TableText"/>
              <w:spacing w:before="40" w:after="40" w:line="240" w:lineRule="auto"/>
            </w:pPr>
            <w:r>
              <w:rPr>
                <w:rFonts w:cs="Arial"/>
                <w:sz w:val="20"/>
              </w:rPr>
              <w:t>29</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93</w:t>
            </w:r>
          </w:p>
        </w:tc>
        <w:tc>
          <w:tcPr>
            <w:tcW w:w="851"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119</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379</w:t>
            </w:r>
          </w:p>
        </w:tc>
        <w:tc>
          <w:tcPr>
            <w:tcW w:w="807"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62</w:t>
            </w:r>
          </w:p>
        </w:tc>
        <w:tc>
          <w:tcPr>
            <w:tcW w:w="752"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197</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6</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20</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22</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70</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9</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29</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4</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13</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6</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19</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258</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820</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749</w:t>
            </w:r>
          </w:p>
        </w:tc>
      </w:tr>
      <w:tr w:rsidR="00213569" w:rsidRPr="00CA2103" w:rsidTr="005553A7">
        <w:tc>
          <w:tcPr>
            <w:tcW w:w="1418" w:type="dxa"/>
            <w:gridSpan w:val="2"/>
          </w:tcPr>
          <w:p w:rsidR="00213569" w:rsidRPr="000B315F" w:rsidRDefault="00213569" w:rsidP="00BE38CA">
            <w:pPr>
              <w:pStyle w:val="TableText"/>
            </w:pPr>
            <w:r w:rsidRPr="000B315F">
              <w:t>Hazardous</w:t>
            </w:r>
            <w:r w:rsidRPr="000B315F">
              <w:rPr>
                <w:vertAlign w:val="superscript"/>
              </w:rPr>
              <w:t>i</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pPr>
            <w:r w:rsidRPr="000B315F">
              <w:t>n/a</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0</w:t>
            </w:r>
          </w:p>
        </w:tc>
        <w:tc>
          <w:tcPr>
            <w:tcW w:w="851"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807"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752"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0</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0</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27</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szCs w:val="18"/>
              </w:rPr>
              <w:t>0</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0</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27</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szCs w:val="18"/>
              </w:rPr>
              <w:t>0</w:t>
            </w:r>
          </w:p>
        </w:tc>
      </w:tr>
      <w:tr w:rsidR="00213569" w:rsidRPr="00CA2103" w:rsidTr="005553A7">
        <w:tc>
          <w:tcPr>
            <w:tcW w:w="1418" w:type="dxa"/>
            <w:gridSpan w:val="2"/>
          </w:tcPr>
          <w:p w:rsidR="00213569" w:rsidRPr="000B315F" w:rsidRDefault="00213569" w:rsidP="00D31FAA">
            <w:pPr>
              <w:pStyle w:val="TableText"/>
            </w:pPr>
            <w:r w:rsidRPr="000B315F">
              <w:t>SUBTOTAL</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pPr>
          </w:p>
        </w:tc>
        <w:tc>
          <w:tcPr>
            <w:tcW w:w="709" w:type="dxa"/>
            <w:tcBorders>
              <w:left w:val="single" w:sz="4" w:space="0" w:color="808080"/>
            </w:tcBorders>
            <w:shd w:val="clear" w:color="auto" w:fill="D9D9D9" w:themeFill="background1" w:themeFillShade="D9"/>
            <w:tcMar>
              <w:left w:w="0" w:type="dxa"/>
            </w:tcMar>
          </w:tcPr>
          <w:p w:rsidR="00213569" w:rsidRPr="000B315F" w:rsidRDefault="00F77088" w:rsidP="000B315F">
            <w:pPr>
              <w:pStyle w:val="TableText"/>
              <w:spacing w:before="40" w:after="40" w:line="240" w:lineRule="auto"/>
              <w:jc w:val="center"/>
            </w:pPr>
            <w:r>
              <w:rPr>
                <w:rFonts w:cs="Arial"/>
                <w:b/>
                <w:bCs/>
                <w:szCs w:val="18"/>
              </w:rPr>
              <w:t>6</w:t>
            </w:r>
            <w:r w:rsidR="00213569" w:rsidRPr="00213569">
              <w:rPr>
                <w:rFonts w:cs="Arial"/>
                <w:b/>
                <w:bCs/>
                <w:szCs w:val="18"/>
              </w:rPr>
              <w:t>639</w:t>
            </w:r>
          </w:p>
        </w:tc>
        <w:tc>
          <w:tcPr>
            <w:tcW w:w="851" w:type="dxa"/>
            <w:tcBorders>
              <w:right w:val="single" w:sz="4" w:space="0" w:color="808080"/>
            </w:tcBorders>
            <w:shd w:val="clear" w:color="auto" w:fill="D9D9D9" w:themeFill="background1" w:themeFillShade="D9"/>
            <w:tcMar>
              <w:left w:w="0" w:type="dxa"/>
            </w:tcMar>
          </w:tcPr>
          <w:p w:rsidR="00213569" w:rsidRPr="000B315F" w:rsidRDefault="00F77088" w:rsidP="000B315F">
            <w:pPr>
              <w:pStyle w:val="TableText"/>
              <w:spacing w:before="40" w:after="40" w:line="240" w:lineRule="auto"/>
              <w:jc w:val="center"/>
            </w:pPr>
            <w:r>
              <w:rPr>
                <w:rFonts w:cs="Arial"/>
                <w:b/>
                <w:bCs/>
                <w:szCs w:val="18"/>
              </w:rPr>
              <w:t>3</w:t>
            </w:r>
            <w:r w:rsidR="00213569" w:rsidRPr="00213569">
              <w:rPr>
                <w:rFonts w:cs="Arial"/>
                <w:b/>
                <w:bCs/>
                <w:szCs w:val="18"/>
              </w:rPr>
              <w:t>093</w:t>
            </w:r>
          </w:p>
        </w:tc>
        <w:tc>
          <w:tcPr>
            <w:tcW w:w="567" w:type="dxa"/>
            <w:tcBorders>
              <w:left w:val="single" w:sz="4" w:space="0" w:color="808080"/>
            </w:tcBorders>
            <w:tcMar>
              <w:left w:w="0" w:type="dxa"/>
            </w:tcMar>
          </w:tcPr>
          <w:p w:rsidR="00213569" w:rsidRPr="000B315F" w:rsidRDefault="00B540C4" w:rsidP="000B315F">
            <w:pPr>
              <w:pStyle w:val="TableText"/>
              <w:spacing w:before="40" w:after="40" w:line="240" w:lineRule="auto"/>
              <w:jc w:val="center"/>
            </w:pPr>
            <w:r>
              <w:rPr>
                <w:b/>
              </w:rPr>
              <w:t>4</w:t>
            </w:r>
            <w:r w:rsidR="00213569" w:rsidRPr="00213569">
              <w:rPr>
                <w:rFonts w:cs="Arial"/>
                <w:b/>
                <w:bCs/>
                <w:szCs w:val="18"/>
              </w:rPr>
              <w:t>736</w:t>
            </w:r>
          </w:p>
        </w:tc>
        <w:tc>
          <w:tcPr>
            <w:tcW w:w="807" w:type="dxa"/>
            <w:tcBorders>
              <w:right w:val="single" w:sz="4" w:space="0" w:color="808080"/>
            </w:tcBorders>
            <w:tcMar>
              <w:left w:w="0" w:type="dxa"/>
            </w:tcMar>
          </w:tcPr>
          <w:p w:rsidR="00213569" w:rsidRPr="000B315F" w:rsidRDefault="00B540C4" w:rsidP="000B315F">
            <w:pPr>
              <w:pStyle w:val="TableText"/>
              <w:spacing w:before="40" w:after="40" w:line="240" w:lineRule="auto"/>
              <w:jc w:val="center"/>
            </w:pPr>
            <w:r>
              <w:rPr>
                <w:rFonts w:cs="Arial"/>
                <w:b/>
                <w:bCs/>
                <w:szCs w:val="18"/>
              </w:rPr>
              <w:t>2</w:t>
            </w:r>
            <w:r w:rsidR="00213569" w:rsidRPr="00213569">
              <w:rPr>
                <w:rFonts w:cs="Arial"/>
                <w:b/>
                <w:bCs/>
                <w:szCs w:val="18"/>
              </w:rPr>
              <w:t>367</w:t>
            </w:r>
          </w:p>
        </w:tc>
        <w:tc>
          <w:tcPr>
            <w:tcW w:w="752" w:type="dxa"/>
            <w:tcBorders>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b/>
              </w:rPr>
              <w:t>5</w:t>
            </w:r>
            <w:r w:rsidR="00213569" w:rsidRPr="00213569">
              <w:rPr>
                <w:rFonts w:cs="Arial"/>
                <w:b/>
                <w:bCs/>
                <w:szCs w:val="18"/>
              </w:rPr>
              <w:t>107</w:t>
            </w:r>
          </w:p>
        </w:tc>
        <w:tc>
          <w:tcPr>
            <w:tcW w:w="850" w:type="dxa"/>
            <w:tcBorders>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rFonts w:cs="Arial"/>
                <w:b/>
                <w:bCs/>
                <w:szCs w:val="18"/>
              </w:rPr>
              <w:t>1</w:t>
            </w:r>
            <w:r w:rsidR="00213569" w:rsidRPr="00213569">
              <w:rPr>
                <w:rFonts w:cs="Arial"/>
                <w:b/>
                <w:bCs/>
                <w:szCs w:val="18"/>
              </w:rPr>
              <w:t>975</w:t>
            </w:r>
          </w:p>
        </w:tc>
        <w:tc>
          <w:tcPr>
            <w:tcW w:w="567" w:type="dxa"/>
            <w:tcBorders>
              <w:left w:val="single" w:sz="4" w:space="0" w:color="808080"/>
            </w:tcBorders>
            <w:tcMar>
              <w:left w:w="0" w:type="dxa"/>
            </w:tcMar>
          </w:tcPr>
          <w:p w:rsidR="00213569" w:rsidRPr="000B315F" w:rsidRDefault="00B540C4" w:rsidP="000B315F">
            <w:pPr>
              <w:pStyle w:val="TableText"/>
              <w:spacing w:before="40" w:after="40" w:line="240" w:lineRule="auto"/>
              <w:jc w:val="center"/>
            </w:pPr>
            <w:r>
              <w:rPr>
                <w:b/>
              </w:rPr>
              <w:t>1</w:t>
            </w:r>
            <w:r w:rsidR="00213569" w:rsidRPr="00213569">
              <w:rPr>
                <w:rFonts w:cs="Arial"/>
                <w:b/>
                <w:bCs/>
                <w:szCs w:val="18"/>
              </w:rPr>
              <w:t>050</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377</w:t>
            </w:r>
          </w:p>
        </w:tc>
        <w:tc>
          <w:tcPr>
            <w:tcW w:w="567" w:type="dxa"/>
            <w:tcBorders>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b/>
              </w:rPr>
              <w:t>4</w:t>
            </w:r>
            <w:r w:rsidR="00213569" w:rsidRPr="00213569">
              <w:rPr>
                <w:rFonts w:cs="Arial"/>
                <w:b/>
                <w:bCs/>
                <w:szCs w:val="18"/>
              </w:rPr>
              <w:t>087</w:t>
            </w:r>
          </w:p>
        </w:tc>
        <w:tc>
          <w:tcPr>
            <w:tcW w:w="850" w:type="dxa"/>
            <w:tcBorders>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rFonts w:cs="Arial"/>
                <w:b/>
                <w:bCs/>
                <w:szCs w:val="18"/>
              </w:rPr>
              <w:t>1</w:t>
            </w:r>
            <w:r w:rsidR="00213569" w:rsidRPr="00213569">
              <w:rPr>
                <w:rFonts w:cs="Arial"/>
                <w:b/>
                <w:bCs/>
                <w:szCs w:val="18"/>
              </w:rPr>
              <w:t>380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448</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240</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205</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118</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rPr>
                <w:b/>
              </w:rPr>
              <w:t>362</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166</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65194F">
            <w:pPr>
              <w:pStyle w:val="TableText"/>
              <w:spacing w:before="40" w:after="40" w:line="240" w:lineRule="auto"/>
              <w:jc w:val="center"/>
            </w:pPr>
            <w:r w:rsidRPr="000B315F">
              <w:rPr>
                <w:b/>
              </w:rPr>
              <w:t>22</w:t>
            </w:r>
            <w:r w:rsidR="0065194F">
              <w:rPr>
                <w:rFonts w:cs="Arial"/>
                <w:b/>
              </w:rPr>
              <w:t> </w:t>
            </w:r>
            <w:r w:rsidRPr="00213569">
              <w:rPr>
                <w:rFonts w:cs="Arial"/>
                <w:b/>
                <w:bCs/>
                <w:szCs w:val="18"/>
              </w:rPr>
              <w:t>635</w:t>
            </w:r>
          </w:p>
        </w:tc>
        <w:tc>
          <w:tcPr>
            <w:tcW w:w="850" w:type="dxa"/>
            <w:tcBorders>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rFonts w:cs="Arial"/>
                <w:b/>
                <w:bCs/>
                <w:szCs w:val="18"/>
              </w:rPr>
              <w:t>9</w:t>
            </w:r>
            <w:r w:rsidR="00213569" w:rsidRPr="00213569">
              <w:rPr>
                <w:rFonts w:cs="Arial"/>
                <w:b/>
                <w:bCs/>
                <w:szCs w:val="18"/>
              </w:rPr>
              <w:t>717</w:t>
            </w:r>
          </w:p>
        </w:tc>
      </w:tr>
      <w:tr w:rsidR="00213569" w:rsidRPr="00CA2103" w:rsidTr="005553A7">
        <w:tc>
          <w:tcPr>
            <w:tcW w:w="1418" w:type="dxa"/>
            <w:gridSpan w:val="2"/>
          </w:tcPr>
          <w:p w:rsidR="00213569" w:rsidRPr="000B315F" w:rsidRDefault="00213569" w:rsidP="00D31FAA">
            <w:pPr>
              <w:pStyle w:val="TableText"/>
            </w:pPr>
            <w:r w:rsidRPr="000B315F">
              <w:t>Fly ash</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pPr>
            <w:r w:rsidRPr="000B315F">
              <w:t>0.01</w:t>
            </w:r>
          </w:p>
        </w:tc>
        <w:tc>
          <w:tcPr>
            <w:tcW w:w="709" w:type="dxa"/>
            <w:tcBorders>
              <w:left w:val="single" w:sz="4" w:space="0" w:color="808080"/>
            </w:tcBorders>
            <w:shd w:val="clear" w:color="auto" w:fill="D9D9D9" w:themeFill="background1" w:themeFillShade="D9"/>
            <w:tcMar>
              <w:left w:w="0" w:type="dxa"/>
            </w:tcMar>
          </w:tcPr>
          <w:p w:rsidR="00213569" w:rsidRPr="000B315F" w:rsidRDefault="00F77088" w:rsidP="000B315F">
            <w:pPr>
              <w:pStyle w:val="TableText"/>
              <w:spacing w:before="40" w:after="40" w:line="240" w:lineRule="auto"/>
              <w:jc w:val="center"/>
            </w:pPr>
            <w:r>
              <w:t>3</w:t>
            </w:r>
            <w:r w:rsidR="00213569" w:rsidRPr="000B315F">
              <w:t>772</w:t>
            </w:r>
          </w:p>
        </w:tc>
        <w:tc>
          <w:tcPr>
            <w:tcW w:w="851"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38</w:t>
            </w:r>
          </w:p>
        </w:tc>
        <w:tc>
          <w:tcPr>
            <w:tcW w:w="567" w:type="dxa"/>
            <w:tcBorders>
              <w:left w:val="single" w:sz="4" w:space="0" w:color="808080"/>
            </w:tcBorders>
            <w:tcMar>
              <w:left w:w="0" w:type="dxa"/>
            </w:tcMar>
          </w:tcPr>
          <w:p w:rsidR="00213569" w:rsidRPr="000B315F" w:rsidRDefault="00B540C4" w:rsidP="000B315F">
            <w:pPr>
              <w:pStyle w:val="TableText"/>
              <w:spacing w:before="40" w:after="40" w:line="240" w:lineRule="auto"/>
              <w:jc w:val="center"/>
            </w:pPr>
            <w:r>
              <w:t>2</w:t>
            </w:r>
            <w:r w:rsidR="00213569" w:rsidRPr="000B315F">
              <w:t>133</w:t>
            </w:r>
          </w:p>
        </w:tc>
        <w:tc>
          <w:tcPr>
            <w:tcW w:w="807"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21</w:t>
            </w:r>
          </w:p>
        </w:tc>
        <w:tc>
          <w:tcPr>
            <w:tcW w:w="752" w:type="dxa"/>
            <w:tcBorders>
              <w:lef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t>4</w:t>
            </w:r>
            <w:r w:rsidR="00213569" w:rsidRPr="000B315F">
              <w:t>914</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49</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67</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1</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744</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7</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851"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567" w:type="dxa"/>
            <w:tcBorders>
              <w:lef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0</w:t>
            </w:r>
          </w:p>
        </w:tc>
        <w:tc>
          <w:tcPr>
            <w:tcW w:w="709"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0</w:t>
            </w:r>
          </w:p>
        </w:tc>
        <w:tc>
          <w:tcPr>
            <w:tcW w:w="567" w:type="dxa"/>
            <w:tcBorders>
              <w:lef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jc w:val="center"/>
            </w:pPr>
            <w:r w:rsidRPr="000B315F">
              <w:t>0</w:t>
            </w:r>
          </w:p>
        </w:tc>
        <w:tc>
          <w:tcPr>
            <w:tcW w:w="709" w:type="dxa"/>
            <w:tcBorders>
              <w:left w:val="single" w:sz="4" w:space="0" w:color="808080"/>
            </w:tcBorders>
            <w:shd w:val="clear" w:color="auto" w:fill="D9D9D9" w:themeFill="background1" w:themeFillShade="D9"/>
            <w:tcMar>
              <w:left w:w="0" w:type="dxa"/>
            </w:tcMar>
          </w:tcPr>
          <w:p w:rsidR="00213569" w:rsidRPr="000B315F" w:rsidRDefault="00213569" w:rsidP="0065194F">
            <w:pPr>
              <w:pStyle w:val="TableText"/>
              <w:spacing w:before="40" w:after="40" w:line="240" w:lineRule="auto"/>
              <w:jc w:val="center"/>
            </w:pPr>
            <w:r w:rsidRPr="000B315F">
              <w:t>11</w:t>
            </w:r>
            <w:r w:rsidR="0065194F">
              <w:rPr>
                <w:rFonts w:cs="Arial"/>
              </w:rPr>
              <w:t> </w:t>
            </w:r>
            <w:r w:rsidRPr="000B315F">
              <w:t>630</w:t>
            </w:r>
          </w:p>
        </w:tc>
        <w:tc>
          <w:tcPr>
            <w:tcW w:w="850" w:type="dxa"/>
            <w:tcBorders>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0B315F">
              <w:t>116</w:t>
            </w:r>
          </w:p>
        </w:tc>
      </w:tr>
      <w:tr w:rsidR="005553A7" w:rsidRPr="00CA2103" w:rsidTr="005553A7">
        <w:tc>
          <w:tcPr>
            <w:tcW w:w="1418" w:type="dxa"/>
            <w:gridSpan w:val="2"/>
          </w:tcPr>
          <w:p w:rsidR="00213569" w:rsidRPr="000B315F" w:rsidRDefault="00213569" w:rsidP="00D31FAA">
            <w:pPr>
              <w:pStyle w:val="TableText"/>
            </w:pPr>
            <w:r w:rsidRPr="000B315F">
              <w:t>TOTALS</w:t>
            </w:r>
          </w:p>
        </w:tc>
        <w:tc>
          <w:tcPr>
            <w:tcW w:w="850" w:type="dxa"/>
            <w:tcBorders>
              <w:right w:val="single" w:sz="4" w:space="0" w:color="808080"/>
            </w:tcBorders>
            <w:tcMar>
              <w:left w:w="0" w:type="dxa"/>
            </w:tcMar>
          </w:tcPr>
          <w:p w:rsidR="00213569" w:rsidRPr="000B315F" w:rsidRDefault="00213569" w:rsidP="000B315F">
            <w:pPr>
              <w:pStyle w:val="TableText"/>
              <w:spacing w:before="40" w:after="40" w:line="240" w:lineRule="auto"/>
            </w:pPr>
          </w:p>
        </w:tc>
        <w:tc>
          <w:tcPr>
            <w:tcW w:w="709" w:type="dxa"/>
            <w:tcBorders>
              <w:left w:val="single" w:sz="4" w:space="0" w:color="808080"/>
              <w:bottom w:val="single" w:sz="4" w:space="0" w:color="808080"/>
            </w:tcBorders>
            <w:shd w:val="clear" w:color="auto" w:fill="D9D9D9" w:themeFill="background1" w:themeFillShade="D9"/>
            <w:tcMar>
              <w:left w:w="0" w:type="dxa"/>
            </w:tcMar>
          </w:tcPr>
          <w:p w:rsidR="00213569" w:rsidRPr="000B315F" w:rsidRDefault="00213569" w:rsidP="00B540C4">
            <w:pPr>
              <w:pStyle w:val="TableText"/>
              <w:spacing w:before="40" w:after="40" w:line="240" w:lineRule="auto"/>
              <w:jc w:val="center"/>
            </w:pPr>
            <w:r w:rsidRPr="000B315F">
              <w:rPr>
                <w:b/>
              </w:rPr>
              <w:t>10</w:t>
            </w:r>
            <w:r w:rsidR="00DF3FE6">
              <w:rPr>
                <w:b/>
              </w:rPr>
              <w:t>,</w:t>
            </w:r>
            <w:r w:rsidRPr="00213569">
              <w:rPr>
                <w:rFonts w:cs="Arial"/>
                <w:b/>
                <w:bCs/>
                <w:szCs w:val="18"/>
              </w:rPr>
              <w:t>411</w:t>
            </w:r>
          </w:p>
        </w:tc>
        <w:tc>
          <w:tcPr>
            <w:tcW w:w="851" w:type="dxa"/>
            <w:tcBorders>
              <w:bottom w:val="single" w:sz="4" w:space="0" w:color="808080"/>
              <w:right w:val="single" w:sz="4" w:space="0" w:color="808080"/>
            </w:tcBorders>
            <w:shd w:val="clear" w:color="auto" w:fill="D9D9D9" w:themeFill="background1" w:themeFillShade="D9"/>
            <w:tcMar>
              <w:left w:w="0" w:type="dxa"/>
            </w:tcMar>
          </w:tcPr>
          <w:p w:rsidR="00213569" w:rsidRPr="000B315F" w:rsidRDefault="00F77088" w:rsidP="000B315F">
            <w:pPr>
              <w:pStyle w:val="TableText"/>
              <w:spacing w:before="40" w:after="40" w:line="240" w:lineRule="auto"/>
              <w:jc w:val="center"/>
            </w:pPr>
            <w:r>
              <w:rPr>
                <w:rFonts w:cs="Arial"/>
                <w:b/>
                <w:bCs/>
                <w:szCs w:val="18"/>
              </w:rPr>
              <w:t>3</w:t>
            </w:r>
            <w:r w:rsidR="00213569" w:rsidRPr="00213569">
              <w:rPr>
                <w:rFonts w:cs="Arial"/>
                <w:b/>
                <w:bCs/>
                <w:szCs w:val="18"/>
              </w:rPr>
              <w:t>131</w:t>
            </w:r>
          </w:p>
        </w:tc>
        <w:tc>
          <w:tcPr>
            <w:tcW w:w="567" w:type="dxa"/>
            <w:tcBorders>
              <w:left w:val="single" w:sz="4" w:space="0" w:color="808080"/>
              <w:bottom w:val="single" w:sz="4" w:space="0" w:color="808080"/>
            </w:tcBorders>
            <w:tcMar>
              <w:left w:w="0" w:type="dxa"/>
            </w:tcMar>
          </w:tcPr>
          <w:p w:rsidR="00213569" w:rsidRPr="000B315F" w:rsidRDefault="00B540C4" w:rsidP="000B315F">
            <w:pPr>
              <w:pStyle w:val="TableText"/>
              <w:spacing w:before="40" w:after="40" w:line="240" w:lineRule="auto"/>
              <w:jc w:val="center"/>
            </w:pPr>
            <w:r>
              <w:rPr>
                <w:b/>
              </w:rPr>
              <w:t>6</w:t>
            </w:r>
            <w:r w:rsidR="00213569" w:rsidRPr="00213569">
              <w:rPr>
                <w:rFonts w:cs="Arial"/>
                <w:b/>
                <w:bCs/>
                <w:szCs w:val="18"/>
              </w:rPr>
              <w:t>869</w:t>
            </w:r>
          </w:p>
        </w:tc>
        <w:tc>
          <w:tcPr>
            <w:tcW w:w="807" w:type="dxa"/>
            <w:tcBorders>
              <w:bottom w:val="single" w:sz="4" w:space="0" w:color="808080"/>
              <w:right w:val="single" w:sz="4" w:space="0" w:color="808080"/>
            </w:tcBorders>
            <w:tcMar>
              <w:left w:w="0" w:type="dxa"/>
            </w:tcMar>
          </w:tcPr>
          <w:p w:rsidR="00213569" w:rsidRPr="000B315F" w:rsidRDefault="00B540C4" w:rsidP="000B315F">
            <w:pPr>
              <w:pStyle w:val="TableText"/>
              <w:spacing w:before="40" w:after="40" w:line="240" w:lineRule="auto"/>
              <w:jc w:val="center"/>
            </w:pPr>
            <w:r>
              <w:rPr>
                <w:b/>
              </w:rPr>
              <w:t>2</w:t>
            </w:r>
            <w:r w:rsidR="00213569" w:rsidRPr="00213569">
              <w:rPr>
                <w:rFonts w:cs="Arial"/>
                <w:b/>
                <w:bCs/>
                <w:szCs w:val="18"/>
              </w:rPr>
              <w:t>389</w:t>
            </w:r>
          </w:p>
        </w:tc>
        <w:tc>
          <w:tcPr>
            <w:tcW w:w="752" w:type="dxa"/>
            <w:tcBorders>
              <w:left w:val="single" w:sz="4" w:space="0" w:color="808080"/>
              <w:bottom w:val="single" w:sz="4" w:space="0" w:color="808080"/>
            </w:tcBorders>
            <w:shd w:val="clear" w:color="auto" w:fill="D9D9D9" w:themeFill="background1" w:themeFillShade="D9"/>
            <w:tcMar>
              <w:left w:w="0" w:type="dxa"/>
            </w:tcMar>
          </w:tcPr>
          <w:p w:rsidR="00213569" w:rsidRPr="000B315F" w:rsidRDefault="00213569" w:rsidP="0065194F">
            <w:pPr>
              <w:pStyle w:val="TableText"/>
              <w:spacing w:before="40" w:after="40" w:line="240" w:lineRule="auto"/>
              <w:jc w:val="center"/>
            </w:pPr>
            <w:r w:rsidRPr="00213569">
              <w:rPr>
                <w:rFonts w:cs="Arial"/>
                <w:b/>
                <w:bCs/>
                <w:szCs w:val="18"/>
              </w:rPr>
              <w:t>10</w:t>
            </w:r>
            <w:r w:rsidR="00DF3FE6">
              <w:rPr>
                <w:rFonts w:cs="Arial"/>
                <w:b/>
                <w:bCs/>
                <w:szCs w:val="18"/>
              </w:rPr>
              <w:t>,</w:t>
            </w:r>
            <w:r w:rsidRPr="00213569">
              <w:rPr>
                <w:rFonts w:cs="Arial"/>
                <w:b/>
                <w:bCs/>
                <w:szCs w:val="18"/>
              </w:rPr>
              <w:t>021</w:t>
            </w:r>
          </w:p>
        </w:tc>
        <w:tc>
          <w:tcPr>
            <w:tcW w:w="850" w:type="dxa"/>
            <w:tcBorders>
              <w:bottom w:val="single" w:sz="4" w:space="0" w:color="808080"/>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rFonts w:cs="Arial"/>
                <w:b/>
                <w:bCs/>
                <w:szCs w:val="18"/>
              </w:rPr>
              <w:t>2</w:t>
            </w:r>
            <w:r w:rsidR="00213569" w:rsidRPr="00213569">
              <w:rPr>
                <w:rFonts w:cs="Arial"/>
                <w:b/>
                <w:bCs/>
                <w:szCs w:val="18"/>
              </w:rPr>
              <w:t>024</w:t>
            </w:r>
          </w:p>
        </w:tc>
        <w:tc>
          <w:tcPr>
            <w:tcW w:w="567" w:type="dxa"/>
            <w:tcBorders>
              <w:left w:val="single" w:sz="4" w:space="0" w:color="808080"/>
              <w:bottom w:val="single" w:sz="4" w:space="0" w:color="808080"/>
            </w:tcBorders>
            <w:tcMar>
              <w:left w:w="0" w:type="dxa"/>
            </w:tcMar>
          </w:tcPr>
          <w:p w:rsidR="00213569" w:rsidRPr="000B315F" w:rsidRDefault="00B540C4" w:rsidP="000B315F">
            <w:pPr>
              <w:pStyle w:val="TableText"/>
              <w:spacing w:before="40" w:after="40" w:line="240" w:lineRule="auto"/>
              <w:jc w:val="center"/>
            </w:pPr>
            <w:r>
              <w:rPr>
                <w:b/>
              </w:rPr>
              <w:t>1</w:t>
            </w:r>
            <w:r w:rsidR="00213569" w:rsidRPr="00213569">
              <w:rPr>
                <w:rFonts w:cs="Arial"/>
                <w:b/>
                <w:bCs/>
                <w:szCs w:val="18"/>
              </w:rPr>
              <w:t>116</w:t>
            </w:r>
          </w:p>
        </w:tc>
        <w:tc>
          <w:tcPr>
            <w:tcW w:w="851" w:type="dxa"/>
            <w:tcBorders>
              <w:bottom w:val="single" w:sz="4" w:space="0" w:color="808080"/>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377</w:t>
            </w:r>
          </w:p>
        </w:tc>
        <w:tc>
          <w:tcPr>
            <w:tcW w:w="567" w:type="dxa"/>
            <w:tcBorders>
              <w:left w:val="single" w:sz="4" w:space="0" w:color="808080"/>
              <w:bottom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b/>
              </w:rPr>
              <w:t>4</w:t>
            </w:r>
            <w:r w:rsidR="00213569" w:rsidRPr="00213569">
              <w:rPr>
                <w:rFonts w:cs="Arial"/>
                <w:b/>
                <w:bCs/>
                <w:szCs w:val="18"/>
              </w:rPr>
              <w:t>831</w:t>
            </w:r>
          </w:p>
        </w:tc>
        <w:tc>
          <w:tcPr>
            <w:tcW w:w="850" w:type="dxa"/>
            <w:tcBorders>
              <w:bottom w:val="single" w:sz="4" w:space="0" w:color="808080"/>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b/>
              </w:rPr>
              <w:t>1</w:t>
            </w:r>
            <w:r w:rsidR="00213569" w:rsidRPr="00213569">
              <w:rPr>
                <w:rFonts w:cs="Arial"/>
                <w:b/>
                <w:bCs/>
                <w:szCs w:val="18"/>
              </w:rPr>
              <w:t>388</w:t>
            </w:r>
          </w:p>
        </w:tc>
        <w:tc>
          <w:tcPr>
            <w:tcW w:w="567" w:type="dxa"/>
            <w:tcBorders>
              <w:left w:val="single" w:sz="4" w:space="0" w:color="808080"/>
              <w:bottom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448</w:t>
            </w:r>
          </w:p>
        </w:tc>
        <w:tc>
          <w:tcPr>
            <w:tcW w:w="851" w:type="dxa"/>
            <w:tcBorders>
              <w:bottom w:val="single" w:sz="4" w:space="0" w:color="808080"/>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240</w:t>
            </w:r>
          </w:p>
        </w:tc>
        <w:tc>
          <w:tcPr>
            <w:tcW w:w="567" w:type="dxa"/>
            <w:tcBorders>
              <w:left w:val="single" w:sz="4" w:space="0" w:color="808080"/>
              <w:bottom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205</w:t>
            </w:r>
          </w:p>
        </w:tc>
        <w:tc>
          <w:tcPr>
            <w:tcW w:w="709" w:type="dxa"/>
            <w:tcBorders>
              <w:bottom w:val="single" w:sz="4" w:space="0" w:color="808080"/>
              <w:right w:val="single" w:sz="4" w:space="0" w:color="808080"/>
            </w:tcBorders>
            <w:shd w:val="clear" w:color="auto" w:fill="D9D9D9" w:themeFill="background1" w:themeFillShade="D9"/>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118</w:t>
            </w:r>
          </w:p>
        </w:tc>
        <w:tc>
          <w:tcPr>
            <w:tcW w:w="567" w:type="dxa"/>
            <w:tcBorders>
              <w:left w:val="single" w:sz="4" w:space="0" w:color="808080"/>
              <w:bottom w:val="single" w:sz="4" w:space="0" w:color="808080"/>
            </w:tcBorders>
            <w:tcMar>
              <w:left w:w="0" w:type="dxa"/>
            </w:tcMar>
          </w:tcPr>
          <w:p w:rsidR="00213569" w:rsidRPr="000B315F" w:rsidRDefault="00213569" w:rsidP="000B315F">
            <w:pPr>
              <w:pStyle w:val="TableText"/>
              <w:spacing w:before="40" w:after="40" w:line="240" w:lineRule="auto"/>
              <w:jc w:val="center"/>
            </w:pPr>
            <w:r w:rsidRPr="000B315F">
              <w:rPr>
                <w:b/>
              </w:rPr>
              <w:t>362</w:t>
            </w:r>
          </w:p>
        </w:tc>
        <w:tc>
          <w:tcPr>
            <w:tcW w:w="850" w:type="dxa"/>
            <w:tcBorders>
              <w:bottom w:val="single" w:sz="4" w:space="0" w:color="808080"/>
              <w:right w:val="single" w:sz="4" w:space="0" w:color="808080"/>
            </w:tcBorders>
            <w:tcMar>
              <w:left w:w="0" w:type="dxa"/>
            </w:tcMar>
          </w:tcPr>
          <w:p w:rsidR="00213569" w:rsidRPr="000B315F" w:rsidRDefault="00213569" w:rsidP="000B315F">
            <w:pPr>
              <w:pStyle w:val="TableText"/>
              <w:spacing w:before="40" w:after="40" w:line="240" w:lineRule="auto"/>
              <w:jc w:val="center"/>
            </w:pPr>
            <w:r w:rsidRPr="00213569">
              <w:rPr>
                <w:rFonts w:cs="Arial"/>
                <w:b/>
                <w:bCs/>
                <w:szCs w:val="18"/>
              </w:rPr>
              <w:t>166</w:t>
            </w:r>
          </w:p>
        </w:tc>
        <w:tc>
          <w:tcPr>
            <w:tcW w:w="709" w:type="dxa"/>
            <w:tcBorders>
              <w:left w:val="single" w:sz="4" w:space="0" w:color="808080"/>
              <w:bottom w:val="single" w:sz="4" w:space="0" w:color="808080"/>
            </w:tcBorders>
            <w:shd w:val="clear" w:color="auto" w:fill="D9D9D9" w:themeFill="background1" w:themeFillShade="D9"/>
            <w:tcMar>
              <w:left w:w="0" w:type="dxa"/>
            </w:tcMar>
          </w:tcPr>
          <w:p w:rsidR="00213569" w:rsidRPr="000B315F" w:rsidRDefault="00213569" w:rsidP="0065194F">
            <w:pPr>
              <w:pStyle w:val="TableText"/>
              <w:spacing w:before="40" w:after="40" w:line="240" w:lineRule="auto"/>
              <w:jc w:val="center"/>
            </w:pPr>
            <w:r w:rsidRPr="000B315F">
              <w:rPr>
                <w:b/>
              </w:rPr>
              <w:t>34</w:t>
            </w:r>
            <w:r w:rsidR="00DF3FE6">
              <w:rPr>
                <w:rFonts w:cs="Arial"/>
                <w:b/>
              </w:rPr>
              <w:t>,</w:t>
            </w:r>
            <w:r w:rsidRPr="00213569">
              <w:rPr>
                <w:rFonts w:cs="Arial"/>
                <w:b/>
                <w:bCs/>
                <w:szCs w:val="18"/>
              </w:rPr>
              <w:t>264</w:t>
            </w:r>
          </w:p>
        </w:tc>
        <w:tc>
          <w:tcPr>
            <w:tcW w:w="850" w:type="dxa"/>
            <w:tcBorders>
              <w:bottom w:val="single" w:sz="4" w:space="0" w:color="808080"/>
              <w:right w:val="single" w:sz="4" w:space="0" w:color="808080"/>
            </w:tcBorders>
            <w:shd w:val="clear" w:color="auto" w:fill="D9D9D9" w:themeFill="background1" w:themeFillShade="D9"/>
            <w:tcMar>
              <w:left w:w="0" w:type="dxa"/>
            </w:tcMar>
          </w:tcPr>
          <w:p w:rsidR="00213569" w:rsidRPr="000B315F" w:rsidRDefault="00B540C4" w:rsidP="000B315F">
            <w:pPr>
              <w:pStyle w:val="TableText"/>
              <w:spacing w:before="40" w:after="40" w:line="240" w:lineRule="auto"/>
              <w:jc w:val="center"/>
            </w:pPr>
            <w:r>
              <w:rPr>
                <w:b/>
              </w:rPr>
              <w:t>9</w:t>
            </w:r>
            <w:r w:rsidR="00213569" w:rsidRPr="00213569">
              <w:rPr>
                <w:rFonts w:cs="Arial"/>
                <w:b/>
                <w:bCs/>
                <w:szCs w:val="18"/>
              </w:rPr>
              <w:t>833</w:t>
            </w:r>
          </w:p>
        </w:tc>
      </w:tr>
      <w:tr w:rsidR="00FE3FE2" w:rsidRPr="00C36C8F" w:rsidTr="000B315F">
        <w:tc>
          <w:tcPr>
            <w:tcW w:w="15309" w:type="dxa"/>
            <w:gridSpan w:val="21"/>
          </w:tcPr>
          <w:p w:rsidR="00FE3FE2" w:rsidRPr="00C36C8F" w:rsidRDefault="00BB105A" w:rsidP="00D31FAA">
            <w:pPr>
              <w:pStyle w:val="TableText"/>
            </w:pPr>
            <w:r w:rsidRPr="00C36C8F">
              <w:t xml:space="preserve">i. For the purposes of this report, these materials have been excluded from the calculation of embodied greenhouse gases. Further explanation is provided in section </w:t>
            </w:r>
            <w:r w:rsidR="00B9555F" w:rsidRPr="00C36C8F">
              <w:fldChar w:fldCharType="begin"/>
            </w:r>
            <w:r w:rsidRPr="00C36C8F">
              <w:instrText xml:space="preserve"> REF _Ref287972482 \r \h </w:instrText>
            </w:r>
            <w:r w:rsidR="00B9555F" w:rsidRPr="00C36C8F">
              <w:fldChar w:fldCharType="separate"/>
            </w:r>
            <w:r w:rsidR="00AE7E3B">
              <w:t>5.2</w:t>
            </w:r>
            <w:r w:rsidR="00B9555F" w:rsidRPr="00C36C8F">
              <w:fldChar w:fldCharType="end"/>
            </w:r>
            <w:r w:rsidRPr="00C36C8F">
              <w:t>.</w:t>
            </w:r>
          </w:p>
        </w:tc>
      </w:tr>
    </w:tbl>
    <w:p w:rsidR="00D14763" w:rsidRPr="00C36C8F" w:rsidRDefault="00D14763" w:rsidP="00BB105A">
      <w:pPr>
        <w:pStyle w:val="Caption"/>
        <w:spacing w:after="0"/>
        <w:rPr>
          <w:noProof/>
        </w:rPr>
      </w:pPr>
      <w:bookmarkStart w:id="234" w:name="_Ref287267583"/>
      <w:r w:rsidRPr="00C36C8F">
        <w:rPr>
          <w:noProof/>
        </w:rPr>
        <w:t xml:space="preserve">Table </w:t>
      </w:r>
      <w:r w:rsidR="00B9555F" w:rsidRPr="00C36C8F">
        <w:rPr>
          <w:noProof/>
        </w:rPr>
        <w:fldChar w:fldCharType="begin"/>
      </w:r>
      <w:r w:rsidRPr="00C36C8F">
        <w:rPr>
          <w:noProof/>
        </w:rPr>
        <w:instrText xml:space="preserve"> STYLEREF "_Heading1" \n </w:instrText>
      </w:r>
      <w:r w:rsidR="00B9555F" w:rsidRPr="00C36C8F">
        <w:rPr>
          <w:noProof/>
        </w:rPr>
        <w:fldChar w:fldCharType="separate"/>
      </w:r>
      <w:r w:rsidR="00AE7E3B">
        <w:rPr>
          <w:noProof/>
        </w:rPr>
        <w:t>5</w:t>
      </w:r>
      <w:r w:rsidR="00B9555F" w:rsidRPr="00C36C8F">
        <w:rPr>
          <w:noProof/>
        </w:rPr>
        <w:fldChar w:fldCharType="end"/>
      </w:r>
      <w:r w:rsidRPr="00C36C8F">
        <w:rPr>
          <w:noProof/>
        </w:rPr>
        <w:t>-</w:t>
      </w:r>
      <w:r w:rsidR="00B9555F" w:rsidRPr="00C36C8F">
        <w:rPr>
          <w:noProof/>
        </w:rPr>
        <w:fldChar w:fldCharType="begin"/>
      </w:r>
      <w:r w:rsidRPr="00C36C8F">
        <w:rPr>
          <w:noProof/>
        </w:rPr>
        <w:instrText xml:space="preserve"> SEQ Table \* Arabic </w:instrText>
      </w:r>
      <w:r w:rsidR="00B9555F" w:rsidRPr="00C36C8F">
        <w:rPr>
          <w:noProof/>
        </w:rPr>
        <w:fldChar w:fldCharType="separate"/>
      </w:r>
      <w:r w:rsidR="00AE7E3B">
        <w:rPr>
          <w:noProof/>
        </w:rPr>
        <w:t>47</w:t>
      </w:r>
      <w:r w:rsidR="00B9555F" w:rsidRPr="00C36C8F">
        <w:rPr>
          <w:noProof/>
        </w:rPr>
        <w:fldChar w:fldCharType="end"/>
      </w:r>
      <w:bookmarkEnd w:id="234"/>
      <w:r w:rsidRPr="00C36C8F">
        <w:rPr>
          <w:noProof/>
        </w:rPr>
        <w:tab/>
        <w:t xml:space="preserve">Embodied </w:t>
      </w:r>
      <w:r w:rsidR="007C571D" w:rsidRPr="00C36C8F">
        <w:rPr>
          <w:noProof/>
        </w:rPr>
        <w:t>greenhouse gas</w:t>
      </w:r>
      <w:r w:rsidRPr="00C36C8F">
        <w:rPr>
          <w:noProof/>
        </w:rPr>
        <w:t xml:space="preserve"> </w:t>
      </w:r>
      <w:r w:rsidR="007C571D" w:rsidRPr="00C36C8F">
        <w:rPr>
          <w:noProof/>
        </w:rPr>
        <w:t>in</w:t>
      </w:r>
      <w:r w:rsidRPr="00C36C8F">
        <w:rPr>
          <w:noProof/>
        </w:rPr>
        <w:t xml:space="preserve"> material disposed to l</w:t>
      </w:r>
      <w:r w:rsidR="00514AE5" w:rsidRPr="00C36C8F">
        <w:rPr>
          <w:noProof/>
        </w:rPr>
        <w:t>andfill by jurisdiction (2008–</w:t>
      </w:r>
      <w:r w:rsidRPr="00C36C8F">
        <w:rPr>
          <w:noProof/>
        </w:rPr>
        <w:t>09)</w:t>
      </w:r>
    </w:p>
    <w:p w:rsidR="00D14763" w:rsidRPr="00C36C8F" w:rsidRDefault="00D14763" w:rsidP="00D14763">
      <w:pPr>
        <w:spacing w:after="0" w:line="240" w:lineRule="auto"/>
        <w:ind w:left="0"/>
        <w:rPr>
          <w:noProof/>
        </w:rPr>
        <w:sectPr w:rsidR="00D14763" w:rsidRPr="00C36C8F" w:rsidSect="00860B52">
          <w:headerReference w:type="default" r:id="rId60"/>
          <w:footerReference w:type="default" r:id="rId61"/>
          <w:pgSz w:w="16840" w:h="11907" w:orient="landscape" w:code="9"/>
          <w:pgMar w:top="1134" w:right="1134" w:bottom="1134" w:left="1134" w:header="567" w:footer="567" w:gutter="0"/>
          <w:cols w:space="708"/>
          <w:docGrid w:linePitch="360"/>
        </w:sectPr>
      </w:pPr>
    </w:p>
    <w:p w:rsidR="00D14763" w:rsidRPr="00C36C8F" w:rsidRDefault="00D14763" w:rsidP="00D14763">
      <w:pPr>
        <w:pStyle w:val="Heading2"/>
      </w:pPr>
      <w:bookmarkStart w:id="235" w:name="_Ref287972482"/>
      <w:bookmarkStart w:id="236" w:name="_Toc325020115"/>
      <w:bookmarkStart w:id="237" w:name="_Toc305049763"/>
      <w:r w:rsidRPr="00C36C8F">
        <w:rPr>
          <w:noProof/>
        </w:rPr>
        <w:t>Environmental assessment of resource recovery</w:t>
      </w:r>
      <w:bookmarkEnd w:id="235"/>
      <w:bookmarkEnd w:id="236"/>
      <w:bookmarkEnd w:id="237"/>
    </w:p>
    <w:p w:rsidR="00D14763" w:rsidRPr="00C36C8F" w:rsidRDefault="00D14763" w:rsidP="00982ACC">
      <w:pPr>
        <w:pStyle w:val="ParaIndent"/>
        <w:jc w:val="both"/>
      </w:pPr>
      <w:r w:rsidRPr="00C36C8F">
        <w:t>There are many different processes that are involved in the resource recovery sector. A complete assessment of resource recovery processes and the net emissions and abatement is beyond the scope of this study.</w:t>
      </w:r>
    </w:p>
    <w:p w:rsidR="00D14763" w:rsidRPr="00C36C8F" w:rsidRDefault="00D14763" w:rsidP="00982ACC">
      <w:pPr>
        <w:pStyle w:val="ParaIndent"/>
        <w:jc w:val="both"/>
      </w:pPr>
      <w:r w:rsidRPr="00C36C8F">
        <w:t>Life cycle assessments have consistently demonstrated that for most materials and most circumstances, recycling results in net savings in energy and net reductions in greenhouse gas emissions (Ackerman 1997, Grant et al. 2003, Eriksson et al. 2005, Diaz and Warith 2006)</w:t>
      </w:r>
      <w:r w:rsidR="00BE38CA" w:rsidRPr="00C36C8F">
        <w:t xml:space="preserve"> </w:t>
      </w:r>
      <w:r w:rsidR="0065037C" w:rsidRPr="00C36C8F">
        <w:t>compared to production from virgin materials</w:t>
      </w:r>
      <w:r w:rsidRPr="00C36C8F">
        <w:t xml:space="preserve">. A recent Australian study was carried out by Hyder for the </w:t>
      </w:r>
      <w:r w:rsidR="002D3A18" w:rsidRPr="00C36C8F">
        <w:t>Australian</w:t>
      </w:r>
      <w:r w:rsidRPr="00C36C8F">
        <w:t xml:space="preserve"> Council of Recyclers (2008). It suggests recycling saved 8.8</w:t>
      </w:r>
      <w:r w:rsidR="00F65A95" w:rsidRPr="00C36C8F">
        <w:t xml:space="preserve"> </w:t>
      </w:r>
      <w:r w:rsidRPr="00C36C8F">
        <w:t>Mt CO</w:t>
      </w:r>
      <w:r w:rsidRPr="00C36C8F">
        <w:rPr>
          <w:vertAlign w:val="subscript"/>
        </w:rPr>
        <w:t>2</w:t>
      </w:r>
      <w:r w:rsidRPr="00C36C8F">
        <w:t xml:space="preserve">-e in 2006, equivalent to about 1.5% of Australia’s total emissions. </w:t>
      </w:r>
      <w:fldSimple w:instr=" REF _Ref284606117 \h  \* MERGEFORMAT ">
        <w:r w:rsidR="00AE7E3B" w:rsidRPr="00C36C8F">
          <w:t xml:space="preserve">Figure </w:t>
        </w:r>
        <w:r w:rsidR="00AE7E3B">
          <w:rPr>
            <w:noProof/>
          </w:rPr>
          <w:t>5</w:t>
        </w:r>
        <w:r w:rsidR="00AE7E3B" w:rsidRPr="00C36C8F">
          <w:rPr>
            <w:noProof/>
          </w:rPr>
          <w:t>-</w:t>
        </w:r>
        <w:r w:rsidR="00AE7E3B">
          <w:rPr>
            <w:noProof/>
          </w:rPr>
          <w:t>28</w:t>
        </w:r>
      </w:fldSimple>
      <w:r w:rsidRPr="00C36C8F">
        <w:t xml:space="preserve"> is derived from that report and shows the greenhouse benefits of recycling various materials on an annual basis.</w:t>
      </w:r>
    </w:p>
    <w:tbl>
      <w:tblPr>
        <w:tblW w:w="8510" w:type="dxa"/>
        <w:tblInd w:w="1134" w:type="dxa"/>
        <w:tblLayout w:type="fixed"/>
        <w:tblCellMar>
          <w:left w:w="0" w:type="dxa"/>
          <w:right w:w="0" w:type="dxa"/>
        </w:tblCellMar>
        <w:tblLook w:val="0000"/>
      </w:tblPr>
      <w:tblGrid>
        <w:gridCol w:w="8510"/>
      </w:tblGrid>
      <w:tr w:rsidR="00D14763" w:rsidRPr="00C36C8F" w:rsidTr="00BE69D2">
        <w:trPr>
          <w:cantSplit/>
        </w:trPr>
        <w:tc>
          <w:tcPr>
            <w:tcW w:w="8510" w:type="dxa"/>
          </w:tcPr>
          <w:p w:rsidR="008A50EC" w:rsidRPr="00C36C8F" w:rsidRDefault="008A50EC" w:rsidP="008A50EC">
            <w:pPr>
              <w:pStyle w:val="TableText0"/>
              <w:keepNext/>
              <w:ind w:left="0"/>
            </w:pPr>
            <w:r w:rsidRPr="00C36C8F">
              <w:rPr>
                <w:noProof/>
                <w:lang w:eastAsia="en-AU"/>
              </w:rPr>
              <w:drawing>
                <wp:inline distT="0" distB="0" distL="0" distR="0">
                  <wp:extent cx="5029200" cy="2247900"/>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D14763" w:rsidRPr="00C36C8F" w:rsidTr="00BE69D2">
        <w:trPr>
          <w:cantSplit/>
        </w:trPr>
        <w:tc>
          <w:tcPr>
            <w:tcW w:w="8505" w:type="dxa"/>
          </w:tcPr>
          <w:p w:rsidR="00D14763" w:rsidRPr="00C36C8F" w:rsidRDefault="00D14763" w:rsidP="00BE69D2">
            <w:pPr>
              <w:pStyle w:val="Caption"/>
            </w:pPr>
            <w:bookmarkStart w:id="238" w:name="_Ref284606117"/>
            <w:r w:rsidRPr="00C36C8F">
              <w:t xml:space="preserve">Figure </w:t>
            </w:r>
            <w:r w:rsidR="00B9555F" w:rsidRPr="00C36C8F">
              <w:fldChar w:fldCharType="begin"/>
            </w:r>
            <w:r w:rsidR="0008255D" w:rsidRPr="00C36C8F">
              <w:instrText xml:space="preserve"> STYLEREF "_Heading1" \n </w:instrText>
            </w:r>
            <w:r w:rsidR="00B9555F" w:rsidRPr="00C36C8F">
              <w:fldChar w:fldCharType="separate"/>
            </w:r>
            <w:r w:rsidR="00AE7E3B">
              <w:rPr>
                <w:noProof/>
              </w:rPr>
              <w:t>5</w:t>
            </w:r>
            <w:r w:rsidR="00B9555F" w:rsidRPr="00C36C8F">
              <w:rPr>
                <w:noProof/>
              </w:rPr>
              <w:fldChar w:fldCharType="end"/>
            </w:r>
            <w:r w:rsidRPr="00C36C8F">
              <w:t>-</w:t>
            </w:r>
            <w:r w:rsidR="00B9555F" w:rsidRPr="00C36C8F">
              <w:fldChar w:fldCharType="begin"/>
            </w:r>
            <w:r w:rsidR="0008255D" w:rsidRPr="00C36C8F">
              <w:instrText xml:space="preserve"> SEQ Figure \* Arabic </w:instrText>
            </w:r>
            <w:r w:rsidR="00B9555F" w:rsidRPr="00C36C8F">
              <w:fldChar w:fldCharType="separate"/>
            </w:r>
            <w:r w:rsidR="00AE7E3B">
              <w:rPr>
                <w:noProof/>
              </w:rPr>
              <w:t>28</w:t>
            </w:r>
            <w:r w:rsidR="00B9555F" w:rsidRPr="00C36C8F">
              <w:rPr>
                <w:noProof/>
              </w:rPr>
              <w:fldChar w:fldCharType="end"/>
            </w:r>
            <w:bookmarkEnd w:id="238"/>
            <w:r w:rsidRPr="00C36C8F">
              <w:tab/>
              <w:t>The greenhouse benefits of recycling by material type</w:t>
            </w:r>
            <w:r w:rsidRPr="00C36C8F">
              <w:br/>
              <w:t>Source: ACOR (2008)</w:t>
            </w:r>
          </w:p>
        </w:tc>
      </w:tr>
    </w:tbl>
    <w:p w:rsidR="00BE38CA" w:rsidRPr="00C36C8F" w:rsidRDefault="00BE38CA" w:rsidP="00982ACC">
      <w:pPr>
        <w:pStyle w:val="BodyText"/>
        <w:spacing w:after="180"/>
        <w:ind w:left="1077"/>
        <w:jc w:val="both"/>
      </w:pPr>
    </w:p>
    <w:p w:rsidR="00D14763" w:rsidRPr="00C36C8F" w:rsidRDefault="00D14763" w:rsidP="00982ACC">
      <w:pPr>
        <w:pStyle w:val="BodyText"/>
        <w:spacing w:after="180"/>
        <w:ind w:left="1077"/>
        <w:jc w:val="both"/>
      </w:pPr>
      <w:r w:rsidRPr="00C36C8F">
        <w:t>Whilst the above lifecycle analysis is net of the energy required to recover and recycle these materials, it may not reflect the energy benefits per tonne of material that is being disposed to landfill in a mixed landfill waste stream. The energy inputs required to separate and recover materials from a mixed waste stream can be significant and would reduce the net benefits outlined above. Once again, this emphasises the importance of material segregation to ensure an efficient materials recycling process.</w:t>
      </w:r>
    </w:p>
    <w:p w:rsidR="00D14763" w:rsidRPr="00C36C8F" w:rsidRDefault="00D14763" w:rsidP="00982ACC">
      <w:pPr>
        <w:pStyle w:val="BodyText"/>
        <w:spacing w:after="180"/>
        <w:ind w:left="1080"/>
        <w:jc w:val="both"/>
      </w:pPr>
      <w:r w:rsidRPr="00C36C8F">
        <w:t xml:space="preserve">There is also a greenhouse benefit from the use of compost. This is derived from substitution of chemical fertilisers (the manufacture of which is greenhouse intensive) and from long-term enhancement of carbon in soil humic materials. The magnitude of these benefits is difficult to estimate and circumstance specific. </w:t>
      </w:r>
    </w:p>
    <w:p w:rsidR="00A96A4A" w:rsidRPr="00C36C8F" w:rsidRDefault="00D14763" w:rsidP="00982ACC">
      <w:pPr>
        <w:pStyle w:val="BodyText"/>
        <w:spacing w:after="180"/>
        <w:ind w:left="1080"/>
        <w:jc w:val="both"/>
      </w:pPr>
      <w:r w:rsidRPr="00C36C8F">
        <w:t xml:space="preserve">A major European study (Smith </w:t>
      </w:r>
      <w:r w:rsidRPr="00C36C8F">
        <w:rPr>
          <w:i/>
        </w:rPr>
        <w:t>et al</w:t>
      </w:r>
      <w:r w:rsidRPr="00C36C8F">
        <w:t>. 2001) attempted to estimate rough average values for these factors. It assigned a credit of 35 kg CO</w:t>
      </w:r>
      <w:r w:rsidRPr="00C36C8F">
        <w:rPr>
          <w:vertAlign w:val="subscript"/>
        </w:rPr>
        <w:t>2</w:t>
      </w:r>
      <w:r w:rsidRPr="00C36C8F">
        <w:t>-e from offsetting fertiliser use for each tonne of compost used in agriculture. It also estimated that a rough average of 8% of carbon in compost would remain stored after 100 years, which is equivalent to 54 kg CO</w:t>
      </w:r>
      <w:r w:rsidRPr="00C36C8F">
        <w:rPr>
          <w:vertAlign w:val="subscript"/>
        </w:rPr>
        <w:t>2</w:t>
      </w:r>
      <w:r w:rsidRPr="00C36C8F">
        <w:t>-e per tonne of compost. Both of these quantities are relatively small compared with the methane potential of organic inputs. This means that the main benefit of compost would typically be avoidance of landfill emissions, but this benefit would be debatable where landfill gas recovery rates are high.</w:t>
      </w:r>
      <w:bookmarkEnd w:id="225"/>
      <w:bookmarkEnd w:id="226"/>
      <w:bookmarkEnd w:id="227"/>
      <w:bookmarkEnd w:id="228"/>
    </w:p>
    <w:p w:rsidR="00A61455" w:rsidRPr="00C36C8F" w:rsidRDefault="00A61455" w:rsidP="00982ACC">
      <w:r w:rsidRPr="00C36C8F">
        <w:br w:type="page"/>
      </w:r>
    </w:p>
    <w:p w:rsidR="00D14763" w:rsidRPr="00C36C8F" w:rsidRDefault="00D14763" w:rsidP="00D14763">
      <w:pPr>
        <w:pStyle w:val="Heading1"/>
      </w:pPr>
      <w:bookmarkStart w:id="239" w:name="_Ref284327737"/>
      <w:bookmarkStart w:id="240" w:name="_Toc325020116"/>
      <w:bookmarkStart w:id="241" w:name="_Toc305049764"/>
      <w:bookmarkStart w:id="242" w:name="_Ref284327745"/>
      <w:r w:rsidRPr="00C36C8F">
        <w:t>STRATEGIES &amp; POLICIES</w:t>
      </w:r>
      <w:bookmarkEnd w:id="239"/>
      <w:bookmarkEnd w:id="240"/>
      <w:bookmarkEnd w:id="241"/>
    </w:p>
    <w:p w:rsidR="00D14763" w:rsidRPr="00C36C8F" w:rsidRDefault="00D14763" w:rsidP="00982ACC">
      <w:pPr>
        <w:pStyle w:val="ParaIndent"/>
        <w:jc w:val="both"/>
      </w:pPr>
      <w:r w:rsidRPr="00C36C8F">
        <w:t>The data review period for this report is the 2008–09 financial year. However, due to the timeframe of production (2010–11), the following jurisdictional summary provides a context for both the data review period and the waste management framework at the time of production</w:t>
      </w:r>
      <w:r w:rsidR="006B0BCA">
        <w:t xml:space="preserve">, being generally the middle of </w:t>
      </w:r>
      <w:r w:rsidR="0040431B">
        <w:t xml:space="preserve">the </w:t>
      </w:r>
      <w:r w:rsidR="006B0BCA">
        <w:t>2011 calendar year</w:t>
      </w:r>
      <w:r w:rsidRPr="00C36C8F">
        <w:t>. The material presente</w:t>
      </w:r>
      <w:r w:rsidR="006B0BCA">
        <w:t>d in this section of the report</w:t>
      </w:r>
      <w:r w:rsidRPr="00C36C8F">
        <w:t xml:space="preserve"> is intended to provide an overview for each jurisdiction.</w:t>
      </w:r>
      <w:r w:rsidR="00690F1F" w:rsidRPr="00C36C8F">
        <w:t xml:space="preserve"> </w:t>
      </w:r>
      <w:r w:rsidRPr="00C36C8F">
        <w:t>Further detailed information and clarification of jurisdicti</w:t>
      </w:r>
      <w:r w:rsidR="006B0BCA">
        <w:t>onal definitions and variations</w:t>
      </w:r>
      <w:r w:rsidRPr="00C36C8F">
        <w:t xml:space="preserve"> should be sought from the source documents referenced for each jurisdiction.</w:t>
      </w:r>
    </w:p>
    <w:p w:rsidR="00A96A4A" w:rsidRPr="00C36C8F" w:rsidRDefault="00A96A4A" w:rsidP="00982ACC">
      <w:pPr>
        <w:pStyle w:val="ParaIndent"/>
        <w:jc w:val="both"/>
      </w:pPr>
      <w:r w:rsidRPr="00C36C8F">
        <w:t>This section of the report is based on desktop research undertaken to obtain an overview of the key waste management strategies/policies in place in Australia at the state and territory level. Where there was little information available, state agencies were contacted to confirm any further details. This section of the report has been updated from the 2009 report.</w:t>
      </w:r>
    </w:p>
    <w:p w:rsidR="00D14763" w:rsidRPr="00C36C8F" w:rsidRDefault="00D14763" w:rsidP="00982ACC">
      <w:pPr>
        <w:pStyle w:val="ParaIndent"/>
        <w:jc w:val="both"/>
      </w:pPr>
      <w:r w:rsidRPr="00C36C8F">
        <w:t>In November 2008, Australian governments committed to developing a National Waste Policy. This national approach to key areas in waste management, recycling and resource recovery has been seen as a way to improve consistency of regulatory and administrative arrangements across jurisdictions. The National Waste Policy commitment and process has helped to stimulate and inform a range of reviews of jurisdictional strategies and programs across Australia, which are outlined in this section of the report.</w:t>
      </w:r>
    </w:p>
    <w:p w:rsidR="00D14763" w:rsidRPr="00C36C8F" w:rsidRDefault="00D14763" w:rsidP="00982ACC">
      <w:pPr>
        <w:pStyle w:val="ParaIndent"/>
        <w:jc w:val="both"/>
      </w:pPr>
      <w:r w:rsidRPr="00C36C8F">
        <w:t>Beyond the recent work in reviewing and developing jurisdictional strategies, the National Waste Policy process has also seen the Australian Government commit to developing and implementing requirements under the National Product Stewardship Framework. The Environment Protection and Heritage Council (EPHC) agreed to consider a comprehensive work program in 2011, including timeframes for addressing existing product stewardship priority waste issues.</w:t>
      </w:r>
    </w:p>
    <w:p w:rsidR="00D14763" w:rsidRPr="00C36C8F" w:rsidRDefault="00D14763" w:rsidP="00982ACC">
      <w:pPr>
        <w:pStyle w:val="ParaIndent"/>
        <w:jc w:val="both"/>
      </w:pPr>
      <w:r w:rsidRPr="00C36C8F">
        <w:t>Following is an overview of key policies and strategies in place across jurisdictions. Some similarities exist and these include:</w:t>
      </w:r>
    </w:p>
    <w:p w:rsidR="00D14763" w:rsidRPr="00C36C8F" w:rsidRDefault="00D14763" w:rsidP="00982ACC">
      <w:pPr>
        <w:pStyle w:val="BulletPoints"/>
        <w:tabs>
          <w:tab w:val="clear" w:pos="567"/>
          <w:tab w:val="left" w:pos="1134"/>
          <w:tab w:val="num" w:pos="1701"/>
          <w:tab w:val="left" w:pos="2268"/>
        </w:tabs>
        <w:spacing w:after="180"/>
        <w:ind w:left="1701"/>
        <w:jc w:val="both"/>
      </w:pPr>
      <w:r w:rsidRPr="000B315F">
        <w:rPr>
          <w:b/>
        </w:rPr>
        <w:t>Strategy documents</w:t>
      </w:r>
      <w:r w:rsidR="00BE38CA" w:rsidRPr="00C36C8F">
        <w:t xml:space="preserve"> </w:t>
      </w:r>
      <w:r w:rsidR="0065037C" w:rsidRPr="00C36C8F">
        <w:t>-</w:t>
      </w:r>
      <w:r w:rsidRPr="00C36C8F">
        <w:t xml:space="preserve"> All jurisdictions have a current waste strategy or overarching strategy directives for waste management. In most cases these documents include targets for overall waste generation, diversion of waste from landfill and resource recovery. Where strategies have recently been reviewed and endorsed, they acknowledge the overarching objectives of the </w:t>
      </w:r>
      <w:r w:rsidR="005338E9" w:rsidRPr="00C36C8F">
        <w:rPr>
          <w:i/>
        </w:rPr>
        <w:t>National Waste Policy</w:t>
      </w:r>
      <w:r w:rsidRPr="00C36C8F">
        <w:t xml:space="preserve"> and associated processes.</w:t>
      </w:r>
    </w:p>
    <w:p w:rsidR="00D14763" w:rsidRPr="00C36C8F" w:rsidRDefault="00D14763" w:rsidP="00982ACC">
      <w:pPr>
        <w:pStyle w:val="BulletPoints"/>
        <w:tabs>
          <w:tab w:val="clear" w:pos="567"/>
          <w:tab w:val="left" w:pos="1134"/>
          <w:tab w:val="num" w:pos="1701"/>
          <w:tab w:val="left" w:pos="2268"/>
        </w:tabs>
        <w:spacing w:after="180"/>
        <w:ind w:left="1701"/>
        <w:jc w:val="both"/>
      </w:pPr>
      <w:r w:rsidRPr="000B315F">
        <w:rPr>
          <w:b/>
        </w:rPr>
        <w:t>Landfill levies</w:t>
      </w:r>
      <w:r w:rsidR="00BE38CA" w:rsidRPr="00C36C8F">
        <w:t xml:space="preserve"> </w:t>
      </w:r>
      <w:r w:rsidR="0065037C" w:rsidRPr="00C36C8F">
        <w:t>-</w:t>
      </w:r>
      <w:r w:rsidRPr="00C36C8F">
        <w:t xml:space="preserve"> Most jurisdictions now have some form of levy applied or scheduled for introduction on waste disposed to landfill. The application of the levies varies across jurisdictions. Some jurisdictions have a levy based on the </w:t>
      </w:r>
      <w:r w:rsidR="006C41E7" w:rsidRPr="00C36C8F">
        <w:t xml:space="preserve">stem </w:t>
      </w:r>
      <w:r w:rsidRPr="00C36C8F">
        <w:t>source sector of the waste and / or geographic area in which it was generated.</w:t>
      </w:r>
    </w:p>
    <w:p w:rsidR="00D14763" w:rsidRPr="00C36C8F" w:rsidRDefault="00D14763" w:rsidP="00982ACC">
      <w:pPr>
        <w:pStyle w:val="BulletPoints"/>
        <w:tabs>
          <w:tab w:val="clear" w:pos="567"/>
          <w:tab w:val="left" w:pos="1134"/>
          <w:tab w:val="num" w:pos="1701"/>
          <w:tab w:val="left" w:pos="2268"/>
        </w:tabs>
        <w:spacing w:after="180"/>
        <w:ind w:left="1701"/>
        <w:jc w:val="both"/>
      </w:pPr>
      <w:r w:rsidRPr="000B315F">
        <w:rPr>
          <w:b/>
        </w:rPr>
        <w:t>Extended producer responsibility</w:t>
      </w:r>
      <w:r w:rsidR="00BE38CA" w:rsidRPr="00C36C8F">
        <w:t xml:space="preserve"> </w:t>
      </w:r>
      <w:r w:rsidR="0065037C" w:rsidRPr="00C36C8F">
        <w:t>-</w:t>
      </w:r>
      <w:r w:rsidRPr="00C36C8F">
        <w:t xml:space="preserve"> Many jurisdictions have acknowledged the importance of EPR programs and have developed priority products, or committed support to national initiatives the National Product Stewardship Framework.</w:t>
      </w:r>
    </w:p>
    <w:p w:rsidR="00D14763" w:rsidRPr="00C36C8F" w:rsidRDefault="00D14763" w:rsidP="00982ACC">
      <w:pPr>
        <w:pStyle w:val="BulletPoints"/>
        <w:tabs>
          <w:tab w:val="clear" w:pos="567"/>
          <w:tab w:val="left" w:pos="1134"/>
          <w:tab w:val="num" w:pos="1701"/>
          <w:tab w:val="left" w:pos="2268"/>
        </w:tabs>
        <w:spacing w:after="180"/>
        <w:ind w:left="1701"/>
        <w:jc w:val="both"/>
      </w:pPr>
      <w:r w:rsidRPr="000B315F">
        <w:rPr>
          <w:b/>
        </w:rPr>
        <w:t>Partnership programs</w:t>
      </w:r>
      <w:r w:rsidR="00BE38CA" w:rsidRPr="00C36C8F">
        <w:t xml:space="preserve"> </w:t>
      </w:r>
      <w:r w:rsidR="0065037C" w:rsidRPr="00C36C8F">
        <w:t>-</w:t>
      </w:r>
      <w:r w:rsidRPr="00C36C8F">
        <w:t xml:space="preserve"> Acknowledgement and support for partnership programs with industry, government and the community is strong across all jurisdictions. These programs are focused primarily on addressing resource recovery, and include support for infrastructure and awareness.</w:t>
      </w:r>
    </w:p>
    <w:p w:rsidR="00D14763" w:rsidRPr="00C36C8F" w:rsidRDefault="00D14763" w:rsidP="00D14763">
      <w:pPr>
        <w:pStyle w:val="Heading2"/>
        <w:spacing w:before="240"/>
      </w:pPr>
      <w:bookmarkStart w:id="243" w:name="_Toc325020117"/>
      <w:bookmarkStart w:id="244" w:name="_Toc305049765"/>
      <w:r w:rsidRPr="00C36C8F">
        <w:t>New South Wales</w:t>
      </w:r>
      <w:bookmarkEnd w:id="243"/>
      <w:bookmarkEnd w:id="244"/>
    </w:p>
    <w:p w:rsidR="00D14763" w:rsidRPr="00C36C8F" w:rsidRDefault="00D14763" w:rsidP="00982ACC">
      <w:pPr>
        <w:pStyle w:val="ParaIndent"/>
        <w:keepNext/>
        <w:keepLines/>
        <w:jc w:val="both"/>
      </w:pPr>
      <w:r w:rsidRPr="00C36C8F">
        <w:t>Information on the programs and strategies being implemented in NSW has been primarily sourced from:</w:t>
      </w:r>
    </w:p>
    <w:p w:rsidR="00D14763" w:rsidRPr="00C36C8F" w:rsidRDefault="005A19AF" w:rsidP="00982ACC">
      <w:pPr>
        <w:pStyle w:val="BulletPoints"/>
        <w:keepNext/>
        <w:keepLines/>
        <w:tabs>
          <w:tab w:val="clear" w:pos="567"/>
          <w:tab w:val="left" w:pos="1134"/>
          <w:tab w:val="num" w:pos="1701"/>
          <w:tab w:val="left" w:pos="2268"/>
        </w:tabs>
        <w:spacing w:after="180"/>
        <w:ind w:left="1701"/>
        <w:jc w:val="both"/>
      </w:pPr>
      <w:r>
        <w:t>t</w:t>
      </w:r>
      <w:r w:rsidR="00BE38CA" w:rsidRPr="00C36C8F">
        <w:t xml:space="preserve">he Office of Environment and Heritage – OEH (formerly </w:t>
      </w:r>
      <w:r w:rsidR="00D14763" w:rsidRPr="00C36C8F">
        <w:t xml:space="preserve">Department of Environment, </w:t>
      </w:r>
      <w:r w:rsidR="00BE38CA" w:rsidRPr="00C36C8F">
        <w:t>Climate Change and Water – DECCW)</w:t>
      </w:r>
      <w:r w:rsidR="00D14763" w:rsidRPr="00C36C8F">
        <w:t xml:space="preserve"> website, www.environment.nsw.gov.au</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 xml:space="preserve">NSW DECC (2007) </w:t>
      </w:r>
      <w:r w:rsidRPr="00C36C8F">
        <w:rPr>
          <w:i/>
        </w:rPr>
        <w:t>Waste Avoidance and Resource Recovery Strategy 2007</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 xml:space="preserve">NSW Government (2006) </w:t>
      </w:r>
      <w:r w:rsidRPr="00C36C8F">
        <w:rPr>
          <w:i/>
        </w:rPr>
        <w:t>State Plan, A New Direction for NSW</w:t>
      </w:r>
    </w:p>
    <w:p w:rsidR="00BE38CA" w:rsidRPr="00C36C8F" w:rsidRDefault="00BE38CA" w:rsidP="00BE38CA">
      <w:pPr>
        <w:pStyle w:val="BulletPoints"/>
        <w:tabs>
          <w:tab w:val="clear" w:pos="567"/>
          <w:tab w:val="left" w:pos="1134"/>
          <w:tab w:val="num" w:pos="1701"/>
          <w:tab w:val="left" w:pos="2268"/>
        </w:tabs>
        <w:spacing w:after="180"/>
        <w:ind w:left="1701"/>
        <w:jc w:val="both"/>
      </w:pPr>
      <w:r w:rsidRPr="00C36C8F">
        <w:t xml:space="preserve">NSW DECCW (2010) </w:t>
      </w:r>
      <w:r w:rsidRPr="00C36C8F">
        <w:rPr>
          <w:i/>
        </w:rPr>
        <w:t>Review of Waste Strategy and Policy in New South Wales</w:t>
      </w:r>
      <w:r w:rsidRPr="00C36C8F">
        <w:t xml:space="preserve"> Report by the Steering Committee for the Review of NSW Waste Strategy and Policy (Richmond Review)</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 xml:space="preserve">NSW DECCW (2010) </w:t>
      </w:r>
      <w:r w:rsidRPr="00C36C8F">
        <w:rPr>
          <w:i/>
        </w:rPr>
        <w:t>NSW Waste Avoidance and Resource Recovery Strategy – Discussion Draft: Strategic Directions and Implementation Plan 2011 – 2015</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 xml:space="preserve">NSW DECCW (2010) </w:t>
      </w:r>
      <w:r w:rsidRPr="00C36C8F">
        <w:rPr>
          <w:i/>
        </w:rPr>
        <w:t>NSW Extended Producer Responsibility Priority Statement 2010</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 xml:space="preserve">Renew NSW website: www.renewnsw.com.au </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Greenhouse Gas Reduction Scheme: www.greenhousegas.nsw.gov.au</w:t>
      </w:r>
      <w:r w:rsidR="005A19AF">
        <w:t>.</w:t>
      </w:r>
    </w:p>
    <w:p w:rsidR="00D14763" w:rsidRPr="00C36C8F" w:rsidRDefault="00D14763" w:rsidP="00982ACC">
      <w:pPr>
        <w:pStyle w:val="ParaIndent"/>
        <w:jc w:val="both"/>
      </w:pPr>
      <w:r w:rsidRPr="00C36C8F">
        <w:t xml:space="preserve">The NSW </w:t>
      </w:r>
      <w:r w:rsidR="00BE38CA" w:rsidRPr="00C36C8F">
        <w:t>OEH</w:t>
      </w:r>
      <w:r w:rsidRPr="00C36C8F">
        <w:t xml:space="preserve"> oversees a regulatory and policy framework that aims to minimise harm to the environment, avoid waste and increase resource recovery. The framework is administered under the principal legislation of the:</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rPr>
          <w:i/>
        </w:rPr>
        <w:t xml:space="preserve">Protection of the Environment Operations Act 1997 </w:t>
      </w:r>
      <w:r w:rsidRPr="00C36C8F">
        <w:t>(POEO Act)</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rPr>
          <w:i/>
        </w:rPr>
        <w:t>Waste Avoidance and Resource Recovery Act 2001</w:t>
      </w:r>
      <w:r w:rsidR="00E50E70">
        <w:rPr>
          <w:i/>
        </w:rPr>
        <w:t xml:space="preserve"> (WARR Act)</w:t>
      </w:r>
      <w:r w:rsidRPr="00C36C8F">
        <w:t xml:space="preserve">. </w:t>
      </w:r>
    </w:p>
    <w:p w:rsidR="00D14763" w:rsidRPr="00C36C8F" w:rsidRDefault="00D14763" w:rsidP="00982ACC">
      <w:pPr>
        <w:pStyle w:val="ParaIndent"/>
        <w:jc w:val="both"/>
      </w:pPr>
      <w:r w:rsidRPr="00C36C8F">
        <w:t>Waste is administered across three geographic regions in NSW. These are the Sydney Metropolitan Area (SMA), the Extended Regulated Area (ERA) which covers the Hunter, Central Coast and Illawarra regions; and the Regional Regulated Area (RRA) which encompasses the remainder of the state. The majority of waste is produced in the SMA and ERA.</w:t>
      </w:r>
    </w:p>
    <w:p w:rsidR="00D14763" w:rsidRPr="00C36C8F" w:rsidRDefault="00D14763" w:rsidP="00982ACC">
      <w:pPr>
        <w:pStyle w:val="Heading40"/>
        <w:spacing w:before="0"/>
        <w:jc w:val="both"/>
      </w:pPr>
      <w:r w:rsidRPr="00C36C8F">
        <w:t>Waste Avoidance and Resource Recovery Strategy</w:t>
      </w:r>
    </w:p>
    <w:p w:rsidR="00D14763" w:rsidRPr="00C36C8F" w:rsidRDefault="00D14763" w:rsidP="00982ACC">
      <w:pPr>
        <w:pStyle w:val="ParaIndent"/>
        <w:jc w:val="both"/>
      </w:pPr>
      <w:r w:rsidRPr="00C36C8F">
        <w:t xml:space="preserve">The NSW </w:t>
      </w:r>
      <w:r w:rsidRPr="00C36C8F">
        <w:rPr>
          <w:i/>
        </w:rPr>
        <w:t>Waste Avoidance and Resource Recovery Strategy</w:t>
      </w:r>
      <w:r w:rsidRPr="00C36C8F">
        <w:t xml:space="preserve"> was initia</w:t>
      </w:r>
      <w:r w:rsidR="00004AC0" w:rsidRPr="00C36C8F">
        <w:t xml:space="preserve">lly developed in 2003 and </w:t>
      </w:r>
      <w:r w:rsidRPr="00C36C8F">
        <w:t xml:space="preserve">revised in 2007. It provides targets for waste reduction and diversion, and sets the programs and policies to achieve these targets. </w:t>
      </w:r>
    </w:p>
    <w:p w:rsidR="00D14763" w:rsidRPr="00C36C8F" w:rsidRDefault="00D14763" w:rsidP="00982ACC">
      <w:pPr>
        <w:pStyle w:val="ParaIndent"/>
        <w:jc w:val="both"/>
      </w:pPr>
      <w:r w:rsidRPr="00C36C8F">
        <w:t xml:space="preserve">The Strategy sits under the NSW Government’s </w:t>
      </w:r>
      <w:r w:rsidRPr="00C36C8F">
        <w:rPr>
          <w:i/>
        </w:rPr>
        <w:t xml:space="preserve">State Plan, A New Direction for NSW </w:t>
      </w:r>
      <w:r w:rsidRPr="00C36C8F">
        <w:t xml:space="preserve">released in 2006. One of the five focus areas within the Plan is Environment for Living. The NSW </w:t>
      </w:r>
      <w:r w:rsidRPr="00C36C8F">
        <w:rPr>
          <w:i/>
        </w:rPr>
        <w:t>Waste Avoidance and Resource Recovery Strategy</w:t>
      </w:r>
      <w:r w:rsidRPr="00C36C8F">
        <w:t xml:space="preserve"> has been identified as contributing to the following priorities listed under Environment for Living:</w:t>
      </w:r>
    </w:p>
    <w:p w:rsidR="00D14763" w:rsidRPr="00C36C8F" w:rsidRDefault="005A19AF" w:rsidP="00982ACC">
      <w:pPr>
        <w:pStyle w:val="BulletPoints"/>
        <w:tabs>
          <w:tab w:val="clear" w:pos="567"/>
          <w:tab w:val="left" w:pos="1134"/>
          <w:tab w:val="num" w:pos="1701"/>
          <w:tab w:val="left" w:pos="2268"/>
        </w:tabs>
        <w:spacing w:after="180"/>
        <w:ind w:left="1701"/>
        <w:jc w:val="both"/>
      </w:pPr>
      <w:r>
        <w:t>a</w:t>
      </w:r>
      <w:r w:rsidR="00D14763" w:rsidRPr="00C36C8F">
        <w:t xml:space="preserve"> secure and sustainable water supply for all users</w:t>
      </w:r>
    </w:p>
    <w:p w:rsidR="00D14763" w:rsidRPr="00C36C8F" w:rsidRDefault="005A19AF" w:rsidP="00982ACC">
      <w:pPr>
        <w:pStyle w:val="BulletPoints"/>
        <w:tabs>
          <w:tab w:val="clear" w:pos="567"/>
          <w:tab w:val="left" w:pos="1134"/>
          <w:tab w:val="num" w:pos="1701"/>
          <w:tab w:val="left" w:pos="2268"/>
        </w:tabs>
        <w:spacing w:after="180"/>
        <w:ind w:left="1701"/>
        <w:jc w:val="both"/>
      </w:pPr>
      <w:r>
        <w:t>a</w:t>
      </w:r>
      <w:r w:rsidR="00D14763" w:rsidRPr="00C36C8F">
        <w:t xml:space="preserve"> reliable electricity supply with increased use of renewable energy</w:t>
      </w:r>
    </w:p>
    <w:p w:rsidR="00D14763" w:rsidRPr="00C36C8F" w:rsidRDefault="005A19AF" w:rsidP="00982ACC">
      <w:pPr>
        <w:pStyle w:val="BulletPoints"/>
        <w:tabs>
          <w:tab w:val="clear" w:pos="567"/>
          <w:tab w:val="left" w:pos="1134"/>
          <w:tab w:val="num" w:pos="1701"/>
          <w:tab w:val="left" w:pos="2268"/>
        </w:tabs>
        <w:spacing w:after="180"/>
        <w:ind w:left="1701"/>
        <w:jc w:val="both"/>
      </w:pPr>
      <w:r>
        <w:t>c</w:t>
      </w:r>
      <w:r w:rsidR="00D14763" w:rsidRPr="00C36C8F">
        <w:t>leaner air and progress on greenhouse gas reductions</w:t>
      </w:r>
    </w:p>
    <w:p w:rsidR="00D14763" w:rsidRPr="00C36C8F" w:rsidRDefault="005A19AF" w:rsidP="00982ACC">
      <w:pPr>
        <w:pStyle w:val="BulletPoints"/>
        <w:tabs>
          <w:tab w:val="clear" w:pos="567"/>
          <w:tab w:val="left" w:pos="1134"/>
          <w:tab w:val="num" w:pos="1701"/>
          <w:tab w:val="left" w:pos="2268"/>
        </w:tabs>
        <w:spacing w:after="180"/>
        <w:ind w:left="1701"/>
        <w:jc w:val="both"/>
      </w:pPr>
      <w:r>
        <w:t>b</w:t>
      </w:r>
      <w:r w:rsidR="00D14763" w:rsidRPr="00C36C8F">
        <w:t>etter outcomes for native vegetation, biodiversity, land, rivers and coastal waterways.</w:t>
      </w:r>
    </w:p>
    <w:p w:rsidR="00D14763" w:rsidRPr="00C36C8F" w:rsidRDefault="00BE38CA" w:rsidP="00982ACC">
      <w:pPr>
        <w:pStyle w:val="ParaIndent"/>
        <w:jc w:val="both"/>
      </w:pPr>
      <w:r w:rsidRPr="00C36C8F">
        <w:t>The 2007 s</w:t>
      </w:r>
      <w:r w:rsidR="00D14763" w:rsidRPr="00C36C8F">
        <w:t xml:space="preserve">trategy retained the four key result areas identified in the development of the original </w:t>
      </w:r>
      <w:r w:rsidRPr="00C36C8F">
        <w:t>s</w:t>
      </w:r>
      <w:r w:rsidR="00D14763" w:rsidRPr="00C36C8F">
        <w:t xml:space="preserve">trategy in 2003. These areas, as well as broad targets for each, are outlined in </w:t>
      </w:r>
      <w:fldSimple w:instr=" REF _Ref283638848 \h  \* MERGEFORMAT ">
        <w:r w:rsidR="00AE7E3B" w:rsidRPr="00C36C8F">
          <w:t xml:space="preserve">Table </w:t>
        </w:r>
        <w:r w:rsidR="00AE7E3B">
          <w:rPr>
            <w:noProof/>
          </w:rPr>
          <w:t>6</w:t>
        </w:r>
        <w:r w:rsidR="00AE7E3B" w:rsidRPr="00C36C8F">
          <w:rPr>
            <w:noProof/>
          </w:rPr>
          <w:t>-</w:t>
        </w:r>
        <w:r w:rsidR="00AE7E3B">
          <w:rPr>
            <w:noProof/>
          </w:rPr>
          <w:t>48</w:t>
        </w:r>
      </w:fldSimple>
      <w:r w:rsidR="00D14763" w:rsidRPr="00C36C8F">
        <w:t>.</w:t>
      </w:r>
    </w:p>
    <w:p w:rsidR="00D14763" w:rsidRPr="00C36C8F" w:rsidRDefault="00D14763" w:rsidP="002C6FE5">
      <w:pPr>
        <w:pStyle w:val="Caption"/>
      </w:pPr>
      <w:bookmarkStart w:id="245" w:name="_Ref283638848"/>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48</w:t>
      </w:r>
      <w:r w:rsidR="00B9555F" w:rsidRPr="00C36C8F">
        <w:rPr>
          <w:noProof/>
        </w:rPr>
        <w:fldChar w:fldCharType="end"/>
      </w:r>
      <w:bookmarkEnd w:id="245"/>
      <w:r w:rsidRPr="00C36C8F">
        <w:tab/>
        <w:t>NSW WARR Strategy key result areas and broad targets</w:t>
      </w:r>
    </w:p>
    <w:tbl>
      <w:tblPr>
        <w:tblW w:w="0" w:type="auto"/>
        <w:tblInd w:w="1191" w:type="dxa"/>
        <w:tblBorders>
          <w:bottom w:val="single" w:sz="18" w:space="0" w:color="808080"/>
          <w:insideH w:val="single" w:sz="4" w:space="0" w:color="808080"/>
        </w:tblBorders>
        <w:tblLayout w:type="fixed"/>
        <w:tblCellMar>
          <w:left w:w="0" w:type="dxa"/>
          <w:right w:w="0" w:type="dxa"/>
        </w:tblCellMar>
        <w:tblLook w:val="0000"/>
      </w:tblPr>
      <w:tblGrid>
        <w:gridCol w:w="1843"/>
        <w:gridCol w:w="5527"/>
      </w:tblGrid>
      <w:tr w:rsidR="00D14763" w:rsidRPr="00C36C8F" w:rsidTr="002C6FE5">
        <w:trPr>
          <w:cantSplit/>
        </w:trPr>
        <w:tc>
          <w:tcPr>
            <w:tcW w:w="1843" w:type="dxa"/>
            <w:shd w:val="clear" w:color="auto" w:fill="auto"/>
            <w:tcMar>
              <w:right w:w="142" w:type="dxa"/>
            </w:tcMar>
          </w:tcPr>
          <w:p w:rsidR="00D14763" w:rsidRPr="00C36C8F" w:rsidRDefault="00D14763" w:rsidP="002C6FE5">
            <w:pPr>
              <w:pStyle w:val="TableHeading"/>
              <w:spacing w:before="0"/>
            </w:pPr>
            <w:r w:rsidRPr="00C36C8F">
              <w:t>Key result area</w:t>
            </w:r>
          </w:p>
        </w:tc>
        <w:tc>
          <w:tcPr>
            <w:tcW w:w="5527" w:type="dxa"/>
            <w:shd w:val="clear" w:color="auto" w:fill="auto"/>
            <w:tcMar>
              <w:right w:w="142" w:type="dxa"/>
            </w:tcMar>
          </w:tcPr>
          <w:p w:rsidR="00D14763" w:rsidRPr="00C36C8F" w:rsidRDefault="00D14763" w:rsidP="002C6FE5">
            <w:pPr>
              <w:pStyle w:val="TableHeading"/>
              <w:spacing w:before="0"/>
            </w:pPr>
            <w:r w:rsidRPr="00C36C8F">
              <w:t>Broad targets</w:t>
            </w:r>
          </w:p>
        </w:tc>
      </w:tr>
      <w:tr w:rsidR="00D14763" w:rsidRPr="00C36C8F" w:rsidTr="002C6FE5">
        <w:trPr>
          <w:cantSplit/>
        </w:trPr>
        <w:tc>
          <w:tcPr>
            <w:tcW w:w="1843" w:type="dxa"/>
            <w:tcMar>
              <w:right w:w="142" w:type="dxa"/>
            </w:tcMar>
          </w:tcPr>
          <w:p w:rsidR="00D14763" w:rsidRPr="00C36C8F" w:rsidRDefault="00D14763" w:rsidP="00BE69D2">
            <w:pPr>
              <w:pStyle w:val="TableText"/>
              <w:keepNext/>
              <w:rPr>
                <w:sz w:val="20"/>
              </w:rPr>
            </w:pPr>
            <w:r w:rsidRPr="00C36C8F">
              <w:rPr>
                <w:sz w:val="20"/>
              </w:rPr>
              <w:t>Preventing and avoiding waste</w:t>
            </w:r>
          </w:p>
        </w:tc>
        <w:tc>
          <w:tcPr>
            <w:tcW w:w="5527" w:type="dxa"/>
            <w:tcMar>
              <w:right w:w="142" w:type="dxa"/>
            </w:tcMar>
          </w:tcPr>
          <w:p w:rsidR="00D14763" w:rsidRPr="00C36C8F" w:rsidRDefault="00D14763" w:rsidP="00BE69D2">
            <w:pPr>
              <w:pStyle w:val="TableText"/>
              <w:keepNext/>
            </w:pPr>
            <w:r w:rsidRPr="00C36C8F">
              <w:t xml:space="preserve">To hold level the total waste generated for 5 years from the release of </w:t>
            </w:r>
            <w:r w:rsidRPr="00C36C8F">
              <w:rPr>
                <w:i/>
              </w:rPr>
              <w:t>Waste Strategy 2003.</w:t>
            </w:r>
          </w:p>
        </w:tc>
      </w:tr>
      <w:tr w:rsidR="00D14763" w:rsidRPr="00C36C8F" w:rsidTr="002C6FE5">
        <w:trPr>
          <w:cantSplit/>
        </w:trPr>
        <w:tc>
          <w:tcPr>
            <w:tcW w:w="1843" w:type="dxa"/>
            <w:tcMar>
              <w:right w:w="142" w:type="dxa"/>
            </w:tcMar>
          </w:tcPr>
          <w:p w:rsidR="00D14763" w:rsidRPr="00C36C8F" w:rsidRDefault="00D14763" w:rsidP="00BE69D2">
            <w:pPr>
              <w:pStyle w:val="TableText"/>
              <w:keepNext/>
              <w:rPr>
                <w:sz w:val="20"/>
              </w:rPr>
            </w:pPr>
            <w:r w:rsidRPr="00C36C8F">
              <w:rPr>
                <w:sz w:val="20"/>
              </w:rPr>
              <w:t>Increasing recovery and use of secondary materials</w:t>
            </w:r>
          </w:p>
        </w:tc>
        <w:tc>
          <w:tcPr>
            <w:tcW w:w="5527" w:type="dxa"/>
            <w:tcMar>
              <w:right w:w="142" w:type="dxa"/>
            </w:tcMar>
          </w:tcPr>
          <w:p w:rsidR="00D14763" w:rsidRPr="00C36C8F" w:rsidRDefault="00D14763" w:rsidP="00BE69D2">
            <w:pPr>
              <w:pStyle w:val="TableText"/>
              <w:keepNext/>
            </w:pPr>
            <w:r w:rsidRPr="00C36C8F">
              <w:t>By 2014, to:</w:t>
            </w:r>
          </w:p>
          <w:p w:rsidR="00D14763" w:rsidRPr="00C36C8F" w:rsidRDefault="00D14763" w:rsidP="002C6FE5">
            <w:pPr>
              <w:pStyle w:val="ListBullet"/>
              <w:spacing w:after="60"/>
              <w:ind w:left="357" w:hanging="357"/>
            </w:pPr>
            <w:r w:rsidRPr="00C36C8F">
              <w:t>Increase recovery and use of materials from the municipal waste stream, from 26% (in 2000) to 66%</w:t>
            </w:r>
            <w:r w:rsidR="00E50E70">
              <w:t>;</w:t>
            </w:r>
          </w:p>
          <w:p w:rsidR="00D14763" w:rsidRPr="00C36C8F" w:rsidRDefault="00D14763" w:rsidP="002C6FE5">
            <w:pPr>
              <w:pStyle w:val="ListBullet"/>
              <w:spacing w:after="60"/>
              <w:ind w:left="357" w:hanging="357"/>
            </w:pPr>
            <w:r w:rsidRPr="00C36C8F">
              <w:t>Increase recovery and use of materials from the commercial and industrial waste stream, from 28% (in 2000) to 63%</w:t>
            </w:r>
            <w:r w:rsidR="00E50E70">
              <w:t>;</w:t>
            </w:r>
            <w:r w:rsidRPr="00C36C8F">
              <w:t xml:space="preserve"> and</w:t>
            </w:r>
          </w:p>
          <w:p w:rsidR="00D14763" w:rsidRPr="00C36C8F" w:rsidRDefault="00D14763" w:rsidP="002C6FE5">
            <w:pPr>
              <w:pStyle w:val="ListBullet"/>
              <w:spacing w:after="60"/>
              <w:ind w:left="357" w:hanging="357"/>
            </w:pPr>
            <w:r w:rsidRPr="00C36C8F">
              <w:t>Increase recovery and use of materials from the construction and demolition sector, from 65% (in 2000) to 76%.</w:t>
            </w:r>
          </w:p>
        </w:tc>
      </w:tr>
      <w:tr w:rsidR="00D14763" w:rsidRPr="00C36C8F" w:rsidTr="002C6FE5">
        <w:trPr>
          <w:cantSplit/>
        </w:trPr>
        <w:tc>
          <w:tcPr>
            <w:tcW w:w="1843" w:type="dxa"/>
            <w:tcBorders>
              <w:bottom w:val="single" w:sz="4" w:space="0" w:color="808080"/>
            </w:tcBorders>
            <w:tcMar>
              <w:right w:w="142" w:type="dxa"/>
            </w:tcMar>
          </w:tcPr>
          <w:p w:rsidR="00D14763" w:rsidRPr="00C36C8F" w:rsidRDefault="00D14763" w:rsidP="00BE69D2">
            <w:pPr>
              <w:pStyle w:val="TableText"/>
              <w:keepNext/>
              <w:rPr>
                <w:sz w:val="20"/>
              </w:rPr>
            </w:pPr>
            <w:r w:rsidRPr="00C36C8F">
              <w:rPr>
                <w:sz w:val="20"/>
              </w:rPr>
              <w:t>Reducing toxicity in products and materials and</w:t>
            </w:r>
          </w:p>
        </w:tc>
        <w:tc>
          <w:tcPr>
            <w:tcW w:w="5527" w:type="dxa"/>
            <w:tcBorders>
              <w:bottom w:val="single" w:sz="4" w:space="0" w:color="808080"/>
            </w:tcBorders>
            <w:tcMar>
              <w:right w:w="142" w:type="dxa"/>
            </w:tcMar>
          </w:tcPr>
          <w:p w:rsidR="00D14763" w:rsidRPr="00C36C8F" w:rsidRDefault="00D14763" w:rsidP="00BE69D2">
            <w:pPr>
              <w:pStyle w:val="TableText"/>
              <w:keepNext/>
            </w:pPr>
            <w:r w:rsidRPr="00C36C8F">
              <w:t>By 2014 or earlier: to phase out priority substances in identified products as a first choice or, if not possible, to achieve maximum recovery for re-use.</w:t>
            </w:r>
          </w:p>
        </w:tc>
      </w:tr>
      <w:tr w:rsidR="00D14763" w:rsidRPr="00C36C8F" w:rsidTr="002C6FE5">
        <w:trPr>
          <w:cantSplit/>
        </w:trPr>
        <w:tc>
          <w:tcPr>
            <w:tcW w:w="1843" w:type="dxa"/>
            <w:tcBorders>
              <w:top w:val="single" w:sz="4" w:space="0" w:color="808080"/>
              <w:bottom w:val="single" w:sz="4" w:space="0" w:color="808080" w:themeColor="background1" w:themeShade="80"/>
            </w:tcBorders>
            <w:tcMar>
              <w:right w:w="142" w:type="dxa"/>
            </w:tcMar>
          </w:tcPr>
          <w:p w:rsidR="00D14763" w:rsidRPr="00C36C8F" w:rsidRDefault="00D14763" w:rsidP="00BE69D2">
            <w:pPr>
              <w:pStyle w:val="TableText"/>
              <w:rPr>
                <w:sz w:val="20"/>
              </w:rPr>
            </w:pPr>
            <w:r w:rsidRPr="00C36C8F">
              <w:rPr>
                <w:sz w:val="20"/>
              </w:rPr>
              <w:t>Reducing litter and illegal dumping.</w:t>
            </w:r>
          </w:p>
        </w:tc>
        <w:tc>
          <w:tcPr>
            <w:tcW w:w="5527" w:type="dxa"/>
            <w:tcBorders>
              <w:top w:val="single" w:sz="4" w:space="0" w:color="808080"/>
              <w:bottom w:val="single" w:sz="4" w:space="0" w:color="808080" w:themeColor="background1" w:themeShade="80"/>
            </w:tcBorders>
            <w:tcMar>
              <w:right w:w="142" w:type="dxa"/>
            </w:tcMar>
          </w:tcPr>
          <w:p w:rsidR="00D14763" w:rsidRPr="00C36C8F" w:rsidRDefault="00D14763" w:rsidP="00BE69D2">
            <w:pPr>
              <w:pStyle w:val="TableText"/>
            </w:pPr>
            <w:r w:rsidRPr="00C36C8F">
              <w:t>Reduce total amount of litter reported annually.</w:t>
            </w:r>
          </w:p>
          <w:p w:rsidR="00D14763" w:rsidRPr="00C36C8F" w:rsidRDefault="00D14763" w:rsidP="00BE69D2">
            <w:pPr>
              <w:pStyle w:val="TableText"/>
            </w:pPr>
            <w:r w:rsidRPr="00C36C8F">
              <w:t>Reduction in total tonnages of illegally dumped material reported by regulatory agencies and RID (illegal dumping) squads annually.</w:t>
            </w:r>
          </w:p>
        </w:tc>
      </w:tr>
    </w:tbl>
    <w:p w:rsidR="00D14763" w:rsidRPr="00C36C8F" w:rsidRDefault="00D14763" w:rsidP="002C6FE5">
      <w:pPr>
        <w:pStyle w:val="ParaIndent"/>
        <w:spacing w:before="120"/>
        <w:jc w:val="both"/>
      </w:pPr>
      <w:r w:rsidRPr="00C36C8F">
        <w:t>To fulfil ongoing review requirements of the Strategy, it must again be updated by 2012. To meet this obligation, the NSW Minister for Climate Change and the Environment in May 2010 commissioned a further review of waste policy and strategy in NSW (Richmond Review). Th</w:t>
      </w:r>
      <w:r w:rsidR="005854DC" w:rsidRPr="00C36C8F">
        <w:t>at</w:t>
      </w:r>
      <w:r w:rsidRPr="00C36C8F">
        <w:t xml:space="preserve"> review, like the 2007 process, assess</w:t>
      </w:r>
      <w:r w:rsidR="005854DC" w:rsidRPr="00C36C8F">
        <w:t>ed</w:t>
      </w:r>
      <w:r w:rsidRPr="00C36C8F">
        <w:t xml:space="preserve"> the progress of the Strategy, particularly in relation to how it is tracking towards meeting the targets established for 2014. </w:t>
      </w:r>
    </w:p>
    <w:p w:rsidR="00D14763" w:rsidRPr="00C36C8F" w:rsidRDefault="00D14763" w:rsidP="00982ACC">
      <w:pPr>
        <w:pStyle w:val="ParaIndent"/>
        <w:jc w:val="both"/>
      </w:pPr>
      <w:r w:rsidRPr="00C36C8F">
        <w:t xml:space="preserve">Further consideration in the review has also been given to the State’s obligations under the Federal Government’s </w:t>
      </w:r>
      <w:r w:rsidRPr="00C36C8F">
        <w:rPr>
          <w:i/>
        </w:rPr>
        <w:t>National Waste Policy</w:t>
      </w:r>
      <w:r w:rsidRPr="00C36C8F">
        <w:t xml:space="preserve"> agenda for the management of waste and resource recovery across all Australian jurisdictions including NSW.</w:t>
      </w:r>
    </w:p>
    <w:p w:rsidR="00D14763" w:rsidRPr="00C36C8F" w:rsidRDefault="00D14763" w:rsidP="00982ACC">
      <w:pPr>
        <w:pStyle w:val="ParaIndent"/>
        <w:jc w:val="both"/>
      </w:pPr>
      <w:r w:rsidRPr="00C36C8F">
        <w:t xml:space="preserve">In December 2010, a draft discussion paper, </w:t>
      </w:r>
      <w:r w:rsidRPr="00C36C8F">
        <w:rPr>
          <w:i/>
        </w:rPr>
        <w:t>Strategic Directions and Implementation Plan 2011–2015</w:t>
      </w:r>
      <w:r w:rsidRPr="00C36C8F">
        <w:t xml:space="preserve"> was released in NSW for public comment until February 2011. This was a response to the Richmond Review.</w:t>
      </w:r>
    </w:p>
    <w:p w:rsidR="00D14763" w:rsidRPr="00C36C8F" w:rsidRDefault="00D14763" w:rsidP="00982ACC">
      <w:pPr>
        <w:pStyle w:val="ParaIndent"/>
        <w:jc w:val="both"/>
      </w:pPr>
      <w:r w:rsidRPr="00C36C8F">
        <w:t xml:space="preserve">The discussion paper proposes sub-targets for each of the 2014 waste targets outlined in </w:t>
      </w:r>
      <w:fldSimple w:instr=" REF _Ref283638848 \h  \* MERGEFORMAT ">
        <w:r w:rsidR="00AE7E3B" w:rsidRPr="00C36C8F">
          <w:t xml:space="preserve">Table </w:t>
        </w:r>
        <w:r w:rsidR="00AE7E3B">
          <w:rPr>
            <w:noProof/>
          </w:rPr>
          <w:t>6</w:t>
        </w:r>
        <w:r w:rsidR="00AE7E3B" w:rsidRPr="00C36C8F">
          <w:rPr>
            <w:noProof/>
          </w:rPr>
          <w:t>-</w:t>
        </w:r>
        <w:r w:rsidR="00AE7E3B">
          <w:rPr>
            <w:noProof/>
          </w:rPr>
          <w:t>48</w:t>
        </w:r>
      </w:fldSimple>
      <w:r w:rsidRPr="00C36C8F">
        <w:t xml:space="preserve"> be developed and implemented, to avoid waste generation and increase resource recovery for specific material types. The specific waste materials identified included food and organics, paper and cardboard.</w:t>
      </w:r>
    </w:p>
    <w:p w:rsidR="00D14763" w:rsidRPr="00C36C8F" w:rsidRDefault="00D14763" w:rsidP="00982ACC">
      <w:pPr>
        <w:pStyle w:val="ParaIndent"/>
        <w:jc w:val="both"/>
      </w:pPr>
      <w:r w:rsidRPr="00C36C8F">
        <w:t>For government, industry and the community to meet the 2014 targets, the discussion paper also proposes five new focus areas be established, each with a series of strategies to ensure appropriate action is taken to achieve the established targets. The five proposed focus areas are:</w:t>
      </w:r>
    </w:p>
    <w:p w:rsidR="00D14763" w:rsidRPr="00C36C8F" w:rsidRDefault="00D14763" w:rsidP="002C6FE5">
      <w:pPr>
        <w:pStyle w:val="BulletPoints"/>
        <w:tabs>
          <w:tab w:val="clear" w:pos="567"/>
          <w:tab w:val="left" w:pos="1134"/>
          <w:tab w:val="num" w:pos="1701"/>
          <w:tab w:val="left" w:pos="2268"/>
        </w:tabs>
        <w:spacing w:after="80"/>
        <w:ind w:left="1701"/>
        <w:jc w:val="both"/>
      </w:pPr>
      <w:r w:rsidRPr="00C36C8F">
        <w:t>making it easier for households to manage their waste</w:t>
      </w:r>
    </w:p>
    <w:p w:rsidR="00D14763" w:rsidRPr="00C36C8F" w:rsidRDefault="00D14763" w:rsidP="002C6FE5">
      <w:pPr>
        <w:pStyle w:val="BulletPoints"/>
        <w:tabs>
          <w:tab w:val="clear" w:pos="567"/>
          <w:tab w:val="left" w:pos="1134"/>
          <w:tab w:val="num" w:pos="1701"/>
          <w:tab w:val="left" w:pos="2268"/>
        </w:tabs>
        <w:spacing w:after="80"/>
        <w:ind w:left="1701"/>
        <w:jc w:val="both"/>
      </w:pPr>
      <w:r w:rsidRPr="00C36C8F">
        <w:t>making it easier for businesses to manage their waste</w:t>
      </w:r>
    </w:p>
    <w:p w:rsidR="00D14763" w:rsidRPr="00C36C8F" w:rsidRDefault="00D14763" w:rsidP="002C6FE5">
      <w:pPr>
        <w:pStyle w:val="BulletPoints"/>
        <w:tabs>
          <w:tab w:val="clear" w:pos="567"/>
          <w:tab w:val="left" w:pos="1134"/>
          <w:tab w:val="num" w:pos="1701"/>
          <w:tab w:val="left" w:pos="2268"/>
        </w:tabs>
        <w:spacing w:after="80"/>
        <w:ind w:left="1701"/>
        <w:jc w:val="both"/>
      </w:pPr>
      <w:r w:rsidRPr="00C36C8F">
        <w:t>reducing or removing problem wastes from the waste streams to ensure that resource recovery is cost effective and produces environmentally safe materials</w:t>
      </w:r>
    </w:p>
    <w:p w:rsidR="00D14763" w:rsidRPr="00C36C8F" w:rsidRDefault="00D14763" w:rsidP="002C6FE5">
      <w:pPr>
        <w:pStyle w:val="BulletPoints"/>
        <w:tabs>
          <w:tab w:val="clear" w:pos="567"/>
          <w:tab w:val="left" w:pos="1134"/>
          <w:tab w:val="num" w:pos="1701"/>
          <w:tab w:val="left" w:pos="2268"/>
        </w:tabs>
        <w:spacing w:after="80"/>
        <w:ind w:left="1701"/>
        <w:jc w:val="both"/>
      </w:pPr>
      <w:r w:rsidRPr="00C36C8F">
        <w:t>facilitating investment in waste infrastructure</w:t>
      </w:r>
    </w:p>
    <w:p w:rsidR="00D14763" w:rsidRPr="00C36C8F" w:rsidRDefault="00D14763" w:rsidP="002C6FE5">
      <w:pPr>
        <w:pStyle w:val="BulletPoints"/>
        <w:tabs>
          <w:tab w:val="clear" w:pos="567"/>
          <w:tab w:val="left" w:pos="1134"/>
          <w:tab w:val="num" w:pos="1701"/>
          <w:tab w:val="left" w:pos="2268"/>
        </w:tabs>
        <w:ind w:left="1701"/>
        <w:jc w:val="both"/>
      </w:pPr>
      <w:r w:rsidRPr="00C36C8F">
        <w:t>reducing litter</w:t>
      </w:r>
      <w:r w:rsidR="002B559B" w:rsidRPr="00C36C8F">
        <w:t xml:space="preserve"> and combating illegal dumping</w:t>
      </w:r>
      <w:r w:rsidR="005B65D5" w:rsidRPr="00C36C8F">
        <w:t>.</w:t>
      </w:r>
    </w:p>
    <w:p w:rsidR="00D14763" w:rsidRPr="00C36C8F" w:rsidRDefault="00D14763" w:rsidP="00982ACC">
      <w:pPr>
        <w:pStyle w:val="Heading40"/>
        <w:spacing w:before="0"/>
      </w:pPr>
      <w:r w:rsidRPr="00C36C8F">
        <w:t>Waste and environment levy</w:t>
      </w:r>
    </w:p>
    <w:p w:rsidR="00D14763" w:rsidRPr="00C36C8F" w:rsidRDefault="00D14763" w:rsidP="00982ACC">
      <w:pPr>
        <w:pStyle w:val="ParaIndent"/>
        <w:jc w:val="both"/>
      </w:pPr>
      <w:r w:rsidRPr="00C36C8F">
        <w:t xml:space="preserve">The waste and environment levy is a regulatory mechanism designed to provide an economic incentive to reduce waste disposal and promote alternative waste technologies. </w:t>
      </w:r>
    </w:p>
    <w:p w:rsidR="00D14763" w:rsidRPr="00C36C8F" w:rsidRDefault="00D14763" w:rsidP="00982ACC">
      <w:pPr>
        <w:pStyle w:val="ParaIndent"/>
        <w:jc w:val="both"/>
      </w:pPr>
      <w:r w:rsidRPr="00C36C8F">
        <w:t xml:space="preserve">Under Section 88 of the POEO Act, licensed waste facilities pay a contribution for waste received at the facility. A range of exemptions and deductions are applied to the levy in order to promote resource recovery. The levy rates increase annually. The rates for 2008–09 to 2011–12 are outlined in </w:t>
      </w:r>
      <w:fldSimple w:instr=" REF _Ref283639000 \h  \* MERGEFORMAT ">
        <w:r w:rsidR="00AE7E3B" w:rsidRPr="00C36C8F">
          <w:t xml:space="preserve">Table </w:t>
        </w:r>
        <w:r w:rsidR="00AE7E3B">
          <w:rPr>
            <w:noProof/>
          </w:rPr>
          <w:t>6</w:t>
        </w:r>
        <w:r w:rsidR="00AE7E3B" w:rsidRPr="00C36C8F">
          <w:rPr>
            <w:noProof/>
          </w:rPr>
          <w:t>-</w:t>
        </w:r>
        <w:r w:rsidR="00AE7E3B">
          <w:rPr>
            <w:noProof/>
          </w:rPr>
          <w:t>49</w:t>
        </w:r>
      </w:fldSimple>
      <w:r w:rsidRPr="00C36C8F">
        <w:t>.</w:t>
      </w:r>
      <w:r w:rsidR="004F48EB" w:rsidRPr="00C36C8F">
        <w:t xml:space="preserve"> They are scheduled to increase by a further $10+CPI each year until 2015–16.</w:t>
      </w:r>
    </w:p>
    <w:p w:rsidR="00D14763" w:rsidRPr="00C36C8F" w:rsidRDefault="00D14763" w:rsidP="00D14763">
      <w:pPr>
        <w:pStyle w:val="Caption"/>
      </w:pPr>
      <w:bookmarkStart w:id="246" w:name="_Ref283639000"/>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49</w:t>
      </w:r>
      <w:r w:rsidR="00B9555F" w:rsidRPr="00C36C8F">
        <w:rPr>
          <w:noProof/>
        </w:rPr>
        <w:fldChar w:fldCharType="end"/>
      </w:r>
      <w:bookmarkEnd w:id="246"/>
      <w:r w:rsidRPr="00C36C8F">
        <w:tab/>
        <w:t>NSW Landfill levy fee schedule: 2008–09 to 2011–12</w:t>
      </w:r>
    </w:p>
    <w:tbl>
      <w:tblPr>
        <w:tblW w:w="3780" w:type="pct"/>
        <w:tblInd w:w="1190" w:type="dxa"/>
        <w:tblBorders>
          <w:bottom w:val="single" w:sz="18" w:space="0" w:color="808080"/>
          <w:insideH w:val="single" w:sz="4" w:space="0" w:color="808080"/>
        </w:tblBorders>
        <w:tblLayout w:type="fixed"/>
        <w:tblCellMar>
          <w:left w:w="0" w:type="dxa"/>
          <w:right w:w="0" w:type="dxa"/>
        </w:tblCellMar>
        <w:tblLook w:val="0000"/>
      </w:tblPr>
      <w:tblGrid>
        <w:gridCol w:w="3084"/>
        <w:gridCol w:w="1403"/>
        <w:gridCol w:w="1398"/>
        <w:gridCol w:w="1402"/>
      </w:tblGrid>
      <w:tr w:rsidR="00D14763" w:rsidRPr="00C36C8F" w:rsidTr="00BE69D2">
        <w:trPr>
          <w:cantSplit/>
        </w:trPr>
        <w:tc>
          <w:tcPr>
            <w:tcW w:w="2116" w:type="pct"/>
            <w:vMerge w:val="restart"/>
            <w:shd w:val="clear" w:color="auto" w:fill="auto"/>
          </w:tcPr>
          <w:p w:rsidR="00D14763" w:rsidRPr="00C36C8F" w:rsidRDefault="00D14763" w:rsidP="00BE69D2">
            <w:pPr>
              <w:pStyle w:val="TableHeading"/>
            </w:pPr>
            <w:r w:rsidRPr="00C36C8F">
              <w:t>Period</w:t>
            </w:r>
          </w:p>
        </w:tc>
        <w:tc>
          <w:tcPr>
            <w:tcW w:w="2884" w:type="pct"/>
            <w:gridSpan w:val="3"/>
            <w:shd w:val="clear" w:color="auto" w:fill="auto"/>
          </w:tcPr>
          <w:p w:rsidR="00D14763" w:rsidRPr="00C36C8F" w:rsidRDefault="00D14763" w:rsidP="00BE69D2">
            <w:pPr>
              <w:pStyle w:val="TableHeading"/>
              <w:jc w:val="center"/>
            </w:pPr>
            <w:r w:rsidRPr="00C36C8F">
              <w:t>Levy ($ per tonne) per geographic area</w:t>
            </w:r>
          </w:p>
        </w:tc>
      </w:tr>
      <w:tr w:rsidR="00D14763" w:rsidRPr="00C36C8F" w:rsidTr="00BE69D2">
        <w:trPr>
          <w:cantSplit/>
        </w:trPr>
        <w:tc>
          <w:tcPr>
            <w:tcW w:w="2116" w:type="pct"/>
            <w:vMerge/>
            <w:shd w:val="clear" w:color="auto" w:fill="auto"/>
          </w:tcPr>
          <w:p w:rsidR="00D14763" w:rsidRPr="00C36C8F" w:rsidRDefault="00D14763" w:rsidP="00BE69D2">
            <w:pPr>
              <w:pStyle w:val="TableText"/>
              <w:keepNext/>
            </w:pPr>
          </w:p>
        </w:tc>
        <w:tc>
          <w:tcPr>
            <w:tcW w:w="963" w:type="pct"/>
            <w:shd w:val="clear" w:color="auto" w:fill="auto"/>
          </w:tcPr>
          <w:p w:rsidR="00D14763" w:rsidRPr="00C36C8F" w:rsidRDefault="00D14763" w:rsidP="00BE69D2">
            <w:pPr>
              <w:pStyle w:val="TableHeading"/>
              <w:jc w:val="center"/>
            </w:pPr>
            <w:r w:rsidRPr="00C36C8F">
              <w:t>SMA</w:t>
            </w:r>
          </w:p>
        </w:tc>
        <w:tc>
          <w:tcPr>
            <w:tcW w:w="959" w:type="pct"/>
            <w:shd w:val="clear" w:color="auto" w:fill="auto"/>
          </w:tcPr>
          <w:p w:rsidR="00D14763" w:rsidRPr="00C36C8F" w:rsidRDefault="00D14763" w:rsidP="00BE69D2">
            <w:pPr>
              <w:pStyle w:val="TableHeading"/>
              <w:jc w:val="center"/>
            </w:pPr>
            <w:r w:rsidRPr="00C36C8F">
              <w:t>ERA</w:t>
            </w:r>
          </w:p>
        </w:tc>
        <w:tc>
          <w:tcPr>
            <w:tcW w:w="962" w:type="pct"/>
            <w:shd w:val="clear" w:color="auto" w:fill="auto"/>
          </w:tcPr>
          <w:p w:rsidR="00D14763" w:rsidRPr="00C36C8F" w:rsidRDefault="00D14763" w:rsidP="00BE69D2">
            <w:pPr>
              <w:pStyle w:val="TableHeading"/>
              <w:jc w:val="center"/>
            </w:pPr>
            <w:r w:rsidRPr="00C36C8F">
              <w:t>RRA</w:t>
            </w:r>
          </w:p>
        </w:tc>
      </w:tr>
      <w:tr w:rsidR="00D14763" w:rsidRPr="00C36C8F" w:rsidTr="00BE69D2">
        <w:trPr>
          <w:cantSplit/>
        </w:trPr>
        <w:tc>
          <w:tcPr>
            <w:tcW w:w="2116" w:type="pct"/>
          </w:tcPr>
          <w:p w:rsidR="00D14763" w:rsidRPr="00C36C8F" w:rsidRDefault="00D14763" w:rsidP="00686C04">
            <w:pPr>
              <w:pStyle w:val="TableText"/>
              <w:keepNext/>
            </w:pPr>
            <w:r w:rsidRPr="00C36C8F">
              <w:t>2008–09</w:t>
            </w:r>
          </w:p>
        </w:tc>
        <w:tc>
          <w:tcPr>
            <w:tcW w:w="963" w:type="pct"/>
            <w:vAlign w:val="center"/>
          </w:tcPr>
          <w:p w:rsidR="00D14763" w:rsidRPr="00C36C8F" w:rsidRDefault="00D14763" w:rsidP="00BE69D2">
            <w:pPr>
              <w:pStyle w:val="TableText"/>
              <w:keepNext/>
              <w:jc w:val="center"/>
            </w:pPr>
            <w:r w:rsidRPr="00C36C8F">
              <w:t>46.70</w:t>
            </w:r>
          </w:p>
        </w:tc>
        <w:tc>
          <w:tcPr>
            <w:tcW w:w="959" w:type="pct"/>
            <w:vAlign w:val="center"/>
          </w:tcPr>
          <w:p w:rsidR="00D14763" w:rsidRPr="00C36C8F" w:rsidRDefault="00D14763" w:rsidP="00BE69D2">
            <w:pPr>
              <w:pStyle w:val="TableText"/>
              <w:keepNext/>
              <w:jc w:val="center"/>
            </w:pPr>
            <w:r w:rsidRPr="00C36C8F">
              <w:t>40.00</w:t>
            </w:r>
          </w:p>
        </w:tc>
        <w:tc>
          <w:tcPr>
            <w:tcW w:w="962" w:type="pct"/>
            <w:vAlign w:val="center"/>
          </w:tcPr>
          <w:p w:rsidR="00D14763" w:rsidRPr="00C36C8F" w:rsidRDefault="00D14763" w:rsidP="00BE69D2">
            <w:pPr>
              <w:pStyle w:val="TableText"/>
              <w:keepNext/>
              <w:jc w:val="center"/>
            </w:pPr>
            <w:r w:rsidRPr="00C36C8F">
              <w:t>NA</w:t>
            </w:r>
          </w:p>
        </w:tc>
      </w:tr>
      <w:tr w:rsidR="00D14763" w:rsidRPr="00C36C8F" w:rsidTr="00BE69D2">
        <w:trPr>
          <w:cantSplit/>
        </w:trPr>
        <w:tc>
          <w:tcPr>
            <w:tcW w:w="2116" w:type="pct"/>
          </w:tcPr>
          <w:p w:rsidR="00D14763" w:rsidRPr="00C36C8F" w:rsidRDefault="00D14763" w:rsidP="00686C04">
            <w:pPr>
              <w:pStyle w:val="TableText"/>
              <w:keepNext/>
            </w:pPr>
            <w:r w:rsidRPr="00C36C8F">
              <w:t>2009–10</w:t>
            </w:r>
          </w:p>
        </w:tc>
        <w:tc>
          <w:tcPr>
            <w:tcW w:w="963" w:type="pct"/>
            <w:vAlign w:val="center"/>
          </w:tcPr>
          <w:p w:rsidR="00D14763" w:rsidRPr="00C36C8F" w:rsidRDefault="00D14763" w:rsidP="00BE69D2">
            <w:pPr>
              <w:pStyle w:val="TableText"/>
              <w:keepNext/>
              <w:jc w:val="center"/>
            </w:pPr>
            <w:r w:rsidRPr="00C36C8F">
              <w:t>58.80</w:t>
            </w:r>
          </w:p>
        </w:tc>
        <w:tc>
          <w:tcPr>
            <w:tcW w:w="959" w:type="pct"/>
            <w:vAlign w:val="center"/>
          </w:tcPr>
          <w:p w:rsidR="00D14763" w:rsidRPr="00C36C8F" w:rsidRDefault="00D14763" w:rsidP="00BE69D2">
            <w:pPr>
              <w:pStyle w:val="TableText"/>
              <w:keepNext/>
              <w:jc w:val="center"/>
            </w:pPr>
            <w:r w:rsidRPr="00C36C8F">
              <w:t>52.40</w:t>
            </w:r>
          </w:p>
        </w:tc>
        <w:tc>
          <w:tcPr>
            <w:tcW w:w="962" w:type="pct"/>
            <w:vAlign w:val="center"/>
          </w:tcPr>
          <w:p w:rsidR="00D14763" w:rsidRPr="00C36C8F" w:rsidRDefault="00D14763" w:rsidP="00BE69D2">
            <w:pPr>
              <w:pStyle w:val="TableText"/>
              <w:keepNext/>
              <w:jc w:val="center"/>
            </w:pPr>
            <w:r w:rsidRPr="00C36C8F">
              <w:t>10.00</w:t>
            </w:r>
          </w:p>
        </w:tc>
      </w:tr>
      <w:tr w:rsidR="00D14763" w:rsidRPr="00C36C8F" w:rsidTr="00BE69D2">
        <w:trPr>
          <w:cantSplit/>
        </w:trPr>
        <w:tc>
          <w:tcPr>
            <w:tcW w:w="2116" w:type="pct"/>
            <w:tcBorders>
              <w:bottom w:val="single" w:sz="4" w:space="0" w:color="808080"/>
            </w:tcBorders>
          </w:tcPr>
          <w:p w:rsidR="00D14763" w:rsidRPr="00C36C8F" w:rsidRDefault="00D14763" w:rsidP="00686C04">
            <w:pPr>
              <w:pStyle w:val="TableText"/>
              <w:keepNext/>
            </w:pPr>
            <w:r w:rsidRPr="00C36C8F">
              <w:t>2010–11</w:t>
            </w:r>
          </w:p>
        </w:tc>
        <w:tc>
          <w:tcPr>
            <w:tcW w:w="963" w:type="pct"/>
            <w:tcBorders>
              <w:bottom w:val="single" w:sz="4" w:space="0" w:color="808080"/>
            </w:tcBorders>
            <w:vAlign w:val="center"/>
          </w:tcPr>
          <w:p w:rsidR="00D14763" w:rsidRPr="00C36C8F" w:rsidRDefault="00D14763" w:rsidP="00BE69D2">
            <w:pPr>
              <w:pStyle w:val="TableText"/>
              <w:keepNext/>
              <w:jc w:val="center"/>
            </w:pPr>
            <w:r w:rsidRPr="00C36C8F">
              <w:t>70.30</w:t>
            </w:r>
          </w:p>
        </w:tc>
        <w:tc>
          <w:tcPr>
            <w:tcW w:w="959" w:type="pct"/>
            <w:tcBorders>
              <w:bottom w:val="single" w:sz="4" w:space="0" w:color="808080"/>
            </w:tcBorders>
            <w:vAlign w:val="center"/>
          </w:tcPr>
          <w:p w:rsidR="00D14763" w:rsidRPr="00C36C8F" w:rsidRDefault="00D14763" w:rsidP="00BE69D2">
            <w:pPr>
              <w:pStyle w:val="TableText"/>
              <w:keepNext/>
              <w:jc w:val="center"/>
            </w:pPr>
            <w:r w:rsidRPr="00C36C8F">
              <w:t>65.30</w:t>
            </w:r>
          </w:p>
        </w:tc>
        <w:tc>
          <w:tcPr>
            <w:tcW w:w="962" w:type="pct"/>
            <w:tcBorders>
              <w:bottom w:val="single" w:sz="4" w:space="0" w:color="808080"/>
            </w:tcBorders>
            <w:vAlign w:val="center"/>
          </w:tcPr>
          <w:p w:rsidR="00D14763" w:rsidRPr="00C36C8F" w:rsidRDefault="00D14763" w:rsidP="00BE69D2">
            <w:pPr>
              <w:pStyle w:val="TableText"/>
              <w:keepNext/>
              <w:jc w:val="center"/>
            </w:pPr>
            <w:r w:rsidRPr="00C36C8F">
              <w:t>20.40</w:t>
            </w:r>
          </w:p>
        </w:tc>
      </w:tr>
      <w:tr w:rsidR="00D14763" w:rsidRPr="00C36C8F" w:rsidTr="00BE69D2">
        <w:trPr>
          <w:cantSplit/>
        </w:trPr>
        <w:tc>
          <w:tcPr>
            <w:tcW w:w="2116" w:type="pct"/>
            <w:tcBorders>
              <w:top w:val="single" w:sz="4" w:space="0" w:color="808080"/>
              <w:bottom w:val="single" w:sz="4" w:space="0" w:color="808080" w:themeColor="background1" w:themeShade="80"/>
            </w:tcBorders>
          </w:tcPr>
          <w:p w:rsidR="00D14763" w:rsidRPr="00C36C8F" w:rsidRDefault="00D14763" w:rsidP="00686C04">
            <w:pPr>
              <w:pStyle w:val="TableText"/>
            </w:pPr>
            <w:r w:rsidRPr="00C36C8F">
              <w:t>2011–12</w:t>
            </w:r>
          </w:p>
        </w:tc>
        <w:tc>
          <w:tcPr>
            <w:tcW w:w="963" w:type="pct"/>
            <w:tcBorders>
              <w:top w:val="single" w:sz="4" w:space="0" w:color="808080"/>
              <w:bottom w:val="single" w:sz="4" w:space="0" w:color="808080" w:themeColor="background1" w:themeShade="80"/>
            </w:tcBorders>
            <w:vAlign w:val="center"/>
          </w:tcPr>
          <w:p w:rsidR="00D14763" w:rsidRPr="00C36C8F" w:rsidRDefault="00D14763" w:rsidP="00BE69D2">
            <w:pPr>
              <w:pStyle w:val="TableText"/>
              <w:jc w:val="center"/>
            </w:pPr>
            <w:r w:rsidRPr="00C36C8F">
              <w:t>80.30</w:t>
            </w:r>
          </w:p>
        </w:tc>
        <w:tc>
          <w:tcPr>
            <w:tcW w:w="959" w:type="pct"/>
            <w:tcBorders>
              <w:top w:val="single" w:sz="4" w:space="0" w:color="808080"/>
              <w:bottom w:val="single" w:sz="4" w:space="0" w:color="808080" w:themeColor="background1" w:themeShade="80"/>
            </w:tcBorders>
            <w:vAlign w:val="center"/>
          </w:tcPr>
          <w:p w:rsidR="00D14763" w:rsidRPr="00C36C8F" w:rsidRDefault="00D14763" w:rsidP="00BE69D2">
            <w:pPr>
              <w:pStyle w:val="TableText"/>
              <w:jc w:val="center"/>
            </w:pPr>
            <w:r w:rsidRPr="00C36C8F">
              <w:t>76.80</w:t>
            </w:r>
          </w:p>
        </w:tc>
        <w:tc>
          <w:tcPr>
            <w:tcW w:w="962" w:type="pct"/>
            <w:tcBorders>
              <w:top w:val="single" w:sz="4" w:space="0" w:color="808080"/>
              <w:bottom w:val="single" w:sz="4" w:space="0" w:color="808080" w:themeColor="background1" w:themeShade="80"/>
            </w:tcBorders>
            <w:vAlign w:val="center"/>
          </w:tcPr>
          <w:p w:rsidR="00D14763" w:rsidRPr="00C36C8F" w:rsidRDefault="00D14763" w:rsidP="00BE69D2">
            <w:pPr>
              <w:pStyle w:val="TableText"/>
              <w:jc w:val="center"/>
            </w:pPr>
            <w:r w:rsidRPr="00C36C8F">
              <w:t>30.40</w:t>
            </w:r>
          </w:p>
        </w:tc>
      </w:tr>
    </w:tbl>
    <w:p w:rsidR="00BE38CA" w:rsidRPr="00C36C8F" w:rsidRDefault="00BE38CA" w:rsidP="00982ACC">
      <w:pPr>
        <w:pStyle w:val="Heading40"/>
        <w:spacing w:before="0"/>
        <w:jc w:val="both"/>
      </w:pPr>
    </w:p>
    <w:p w:rsidR="00D14763" w:rsidRPr="00C36C8F" w:rsidRDefault="00D14763" w:rsidP="00982ACC">
      <w:pPr>
        <w:pStyle w:val="Heading40"/>
        <w:spacing w:before="0"/>
        <w:jc w:val="both"/>
      </w:pPr>
      <w:r w:rsidRPr="00C36C8F">
        <w:t>Extended producer responsibility</w:t>
      </w:r>
    </w:p>
    <w:p w:rsidR="00D14763" w:rsidRPr="00C36C8F" w:rsidRDefault="00D14763" w:rsidP="00982ACC">
      <w:pPr>
        <w:pStyle w:val="ParaIndent"/>
        <w:jc w:val="both"/>
      </w:pPr>
      <w:r w:rsidRPr="00C36C8F">
        <w:t xml:space="preserve">The NSW </w:t>
      </w:r>
      <w:r w:rsidR="005338E9" w:rsidRPr="00C36C8F">
        <w:rPr>
          <w:i/>
        </w:rPr>
        <w:t>Waste Avoidance and Resource Recovery Act 2001</w:t>
      </w:r>
      <w:r w:rsidRPr="00C36C8F">
        <w:t xml:space="preserve"> allows for extended producer responsibility (EPR) schemes to be introduced. A series of four EPR priority statements have been released by the Department between 2004 and 2010. The 2010 statement updates the progress of the 17 wastes of concern that have been nominated in previous priority statements. The 2010 priority statement </w:t>
      </w:r>
      <w:r w:rsidR="00BE75BA" w:rsidRPr="00C36C8F">
        <w:t>was</w:t>
      </w:r>
      <w:r w:rsidRPr="00C36C8F">
        <w:t xml:space="preserve"> open for public submission until 1 April 2010, with a submission report scheduled to be released by 30 June 2011. </w:t>
      </w:r>
    </w:p>
    <w:p w:rsidR="00D14763" w:rsidRPr="00C36C8F" w:rsidRDefault="00D14763" w:rsidP="00982ACC">
      <w:pPr>
        <w:pStyle w:val="ParaIndent"/>
        <w:jc w:val="both"/>
      </w:pPr>
      <w:r w:rsidRPr="00C36C8F">
        <w:t xml:space="preserve">The NSW Minister for Climate Change and the Environment wrote to the Environment Protection Heritage Council (EPHC) in November 2010 recommending urgent action for a selection of the 17 wastes of concern. These included e-waste, tyres, packaging and plastic bags. The request also sought action to accelerate programs for paints, timber and mercury containing lamps. </w:t>
      </w:r>
    </w:p>
    <w:p w:rsidR="00D14763" w:rsidRPr="00C36C8F" w:rsidRDefault="00D14763" w:rsidP="00982ACC">
      <w:pPr>
        <w:pStyle w:val="Heading40"/>
        <w:spacing w:before="0"/>
        <w:jc w:val="both"/>
      </w:pPr>
      <w:r w:rsidRPr="00C36C8F">
        <w:t>Other programs of interest</w:t>
      </w:r>
    </w:p>
    <w:p w:rsidR="00D14763" w:rsidRPr="00C36C8F" w:rsidRDefault="00D14763" w:rsidP="00982ACC">
      <w:pPr>
        <w:pStyle w:val="ParaIndent"/>
        <w:keepNext/>
        <w:keepLines/>
        <w:jc w:val="both"/>
      </w:pPr>
      <w:r w:rsidRPr="00C36C8F">
        <w:t>A number of other programs or i</w:t>
      </w:r>
      <w:r w:rsidR="00DA4D44" w:rsidRPr="00C36C8F">
        <w:t>nitiatives of interest are described</w:t>
      </w:r>
      <w:r w:rsidRPr="00C36C8F">
        <w:t xml:space="preserve"> in </w:t>
      </w:r>
      <w:r w:rsidR="00B9555F" w:rsidRPr="00C36C8F">
        <w:fldChar w:fldCharType="begin"/>
      </w:r>
      <w:r w:rsidRPr="00C36C8F">
        <w:instrText xml:space="preserve"> REF _Ref283639065 \h </w:instrText>
      </w:r>
      <w:r w:rsidR="00B9555F" w:rsidRPr="00C36C8F">
        <w:fldChar w:fldCharType="separate"/>
      </w:r>
      <w:r w:rsidR="00AE7E3B" w:rsidRPr="00C36C8F">
        <w:t xml:space="preserve">Table </w:t>
      </w:r>
      <w:r w:rsidR="00AE7E3B">
        <w:rPr>
          <w:noProof/>
        </w:rPr>
        <w:t>6</w:t>
      </w:r>
      <w:r w:rsidR="00AE7E3B" w:rsidRPr="00C36C8F">
        <w:t>-</w:t>
      </w:r>
      <w:r w:rsidR="00AE7E3B">
        <w:rPr>
          <w:noProof/>
        </w:rPr>
        <w:t>50</w:t>
      </w:r>
      <w:r w:rsidR="00B9555F" w:rsidRPr="00C36C8F">
        <w:fldChar w:fldCharType="end"/>
      </w:r>
      <w:r w:rsidRPr="00C36C8F">
        <w:t>.</w:t>
      </w:r>
    </w:p>
    <w:p w:rsidR="00D14763" w:rsidRPr="00C36C8F" w:rsidRDefault="00D14763" w:rsidP="00D14763">
      <w:pPr>
        <w:pStyle w:val="Caption"/>
      </w:pPr>
      <w:bookmarkStart w:id="247" w:name="_Ref283639065"/>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50</w:t>
      </w:r>
      <w:r w:rsidR="00B9555F" w:rsidRPr="00C36C8F">
        <w:rPr>
          <w:noProof/>
        </w:rPr>
        <w:fldChar w:fldCharType="end"/>
      </w:r>
      <w:bookmarkEnd w:id="247"/>
      <w:r w:rsidRPr="00C36C8F">
        <w:tab/>
        <w:t>Other programs or initiatives of interest, NSW</w:t>
      </w:r>
    </w:p>
    <w:tbl>
      <w:tblPr>
        <w:tblW w:w="4412" w:type="pct"/>
        <w:tblInd w:w="1134" w:type="dxa"/>
        <w:tblBorders>
          <w:bottom w:val="single" w:sz="18" w:space="0" w:color="808080"/>
          <w:insideH w:val="single" w:sz="4" w:space="0" w:color="808080"/>
        </w:tblBorders>
        <w:tblLayout w:type="fixed"/>
        <w:tblCellMar>
          <w:left w:w="0" w:type="dxa"/>
          <w:right w:w="0" w:type="dxa"/>
        </w:tblCellMar>
        <w:tblLook w:val="0000"/>
      </w:tblPr>
      <w:tblGrid>
        <w:gridCol w:w="1726"/>
        <w:gridCol w:w="6905"/>
      </w:tblGrid>
      <w:tr w:rsidR="00D14763" w:rsidRPr="00C36C8F" w:rsidTr="002C6FE5">
        <w:trPr>
          <w:cantSplit/>
          <w:tblHeader/>
        </w:trPr>
        <w:tc>
          <w:tcPr>
            <w:tcW w:w="1000" w:type="pct"/>
            <w:tcBorders>
              <w:top w:val="nil"/>
            </w:tcBorders>
            <w:shd w:val="clear" w:color="auto" w:fill="auto"/>
            <w:tcMar>
              <w:right w:w="142" w:type="dxa"/>
            </w:tcMar>
          </w:tcPr>
          <w:p w:rsidR="00D14763" w:rsidRPr="00C36C8F" w:rsidRDefault="00D14763" w:rsidP="00691AE4">
            <w:pPr>
              <w:pStyle w:val="TableHeading"/>
            </w:pPr>
            <w:r w:rsidRPr="00C36C8F">
              <w:t>Program</w:t>
            </w:r>
          </w:p>
        </w:tc>
        <w:tc>
          <w:tcPr>
            <w:tcW w:w="4000" w:type="pct"/>
            <w:tcBorders>
              <w:top w:val="nil"/>
            </w:tcBorders>
            <w:shd w:val="clear" w:color="auto" w:fill="auto"/>
            <w:tcMar>
              <w:right w:w="142" w:type="dxa"/>
            </w:tcMar>
          </w:tcPr>
          <w:p w:rsidR="00D14763" w:rsidRPr="00C36C8F" w:rsidRDefault="00D14763" w:rsidP="00691AE4">
            <w:pPr>
              <w:pStyle w:val="TableHeading"/>
            </w:pPr>
            <w:r w:rsidRPr="00C36C8F">
              <w:t>Details</w:t>
            </w:r>
          </w:p>
        </w:tc>
      </w:tr>
      <w:tr w:rsidR="00D14763" w:rsidRPr="00C36C8F" w:rsidTr="002C6FE5">
        <w:trPr>
          <w:cantSplit/>
        </w:trPr>
        <w:tc>
          <w:tcPr>
            <w:tcW w:w="1000" w:type="pct"/>
            <w:tcBorders>
              <w:bottom w:val="single" w:sz="4" w:space="0" w:color="808080"/>
            </w:tcBorders>
            <w:tcMar>
              <w:right w:w="142" w:type="dxa"/>
            </w:tcMar>
          </w:tcPr>
          <w:p w:rsidR="00D14763" w:rsidRPr="00C36C8F" w:rsidRDefault="00D14763" w:rsidP="00691AE4">
            <w:pPr>
              <w:pStyle w:val="TableText"/>
              <w:keepNext/>
            </w:pPr>
            <w:r w:rsidRPr="00C36C8F">
              <w:t>Waste and Sustainability Improvement Payment (WaSIP)</w:t>
            </w:r>
          </w:p>
        </w:tc>
        <w:tc>
          <w:tcPr>
            <w:tcW w:w="4000" w:type="pct"/>
            <w:tcBorders>
              <w:bottom w:val="single" w:sz="4" w:space="0" w:color="808080"/>
            </w:tcBorders>
            <w:tcMar>
              <w:right w:w="142" w:type="dxa"/>
            </w:tcMar>
          </w:tcPr>
          <w:p w:rsidR="00D14763" w:rsidRPr="00C36C8F" w:rsidRDefault="00D14763" w:rsidP="00691AE4">
            <w:pPr>
              <w:pStyle w:val="TableText"/>
              <w:keepNext/>
            </w:pPr>
            <w:r w:rsidRPr="00C36C8F">
              <w:t xml:space="preserve">Councils in the SMA, ERA and RRA are required to commit to meeting the current and future years’ WaSIP Standards. The Standards are established by DECCW in consultation with an Advisory Group and the Local Government and Shires Associations. Compliant Councils are eligible for annual reward payments. </w:t>
            </w:r>
          </w:p>
        </w:tc>
      </w:tr>
      <w:tr w:rsidR="00D14763" w:rsidRPr="00C36C8F" w:rsidTr="002C6FE5">
        <w:trPr>
          <w:cantSplit/>
        </w:trPr>
        <w:tc>
          <w:tcPr>
            <w:tcW w:w="1000" w:type="pct"/>
            <w:tcBorders>
              <w:top w:val="single" w:sz="4" w:space="0" w:color="808080"/>
              <w:bottom w:val="single" w:sz="4" w:space="0" w:color="7F7F7F" w:themeColor="text1" w:themeTint="80"/>
            </w:tcBorders>
            <w:tcMar>
              <w:right w:w="142" w:type="dxa"/>
            </w:tcMar>
          </w:tcPr>
          <w:p w:rsidR="00D14763" w:rsidRPr="00C36C8F" w:rsidRDefault="00D14763" w:rsidP="00691AE4">
            <w:pPr>
              <w:pStyle w:val="TableText"/>
              <w:keepNext/>
            </w:pPr>
            <w:r w:rsidRPr="00C36C8F">
              <w:t>Voluntary regional waste management groups</w:t>
            </w:r>
          </w:p>
        </w:tc>
        <w:tc>
          <w:tcPr>
            <w:tcW w:w="4000" w:type="pct"/>
            <w:tcBorders>
              <w:top w:val="single" w:sz="4" w:space="0" w:color="808080"/>
              <w:bottom w:val="single" w:sz="4" w:space="0" w:color="7F7F7F" w:themeColor="text1" w:themeTint="80"/>
            </w:tcBorders>
            <w:tcMar>
              <w:right w:w="142" w:type="dxa"/>
            </w:tcMar>
          </w:tcPr>
          <w:p w:rsidR="00D14763" w:rsidRPr="00C36C8F" w:rsidRDefault="00D14763" w:rsidP="00691AE4">
            <w:pPr>
              <w:pStyle w:val="TableText"/>
              <w:keepNext/>
            </w:pPr>
            <w:r w:rsidRPr="00C36C8F">
              <w:t>Renew NSW develops and implements regional waste management and resource recovery plans. Renew NSW consists of eight voluntary regional waste management groups. These groups cover 90% of rural and regional NSW, representing over 100 councils and 1.2 million residents.</w:t>
            </w:r>
          </w:p>
        </w:tc>
      </w:tr>
      <w:tr w:rsidR="00D14763" w:rsidRPr="00C36C8F" w:rsidTr="002C6FE5">
        <w:trPr>
          <w:cantSplit/>
        </w:trPr>
        <w:tc>
          <w:tcPr>
            <w:tcW w:w="1000" w:type="pct"/>
            <w:tcBorders>
              <w:top w:val="single" w:sz="4" w:space="0" w:color="7F7F7F" w:themeColor="text1" w:themeTint="80"/>
              <w:bottom w:val="single" w:sz="4" w:space="0" w:color="808080"/>
            </w:tcBorders>
            <w:tcMar>
              <w:right w:w="142" w:type="dxa"/>
            </w:tcMar>
          </w:tcPr>
          <w:p w:rsidR="00D14763" w:rsidRPr="00C36C8F" w:rsidRDefault="00D14763" w:rsidP="00691AE4">
            <w:pPr>
              <w:pStyle w:val="TableText"/>
              <w:keepNext/>
            </w:pPr>
            <w:r w:rsidRPr="00C36C8F">
              <w:t>NSW Greenhouse Gas Reduction Scheme (known as GGAS)</w:t>
            </w:r>
          </w:p>
        </w:tc>
        <w:tc>
          <w:tcPr>
            <w:tcW w:w="4000" w:type="pct"/>
            <w:tcBorders>
              <w:top w:val="single" w:sz="4" w:space="0" w:color="7F7F7F" w:themeColor="text1" w:themeTint="80"/>
              <w:bottom w:val="single" w:sz="4" w:space="0" w:color="808080"/>
            </w:tcBorders>
            <w:tcMar>
              <w:right w:w="142" w:type="dxa"/>
            </w:tcMar>
          </w:tcPr>
          <w:p w:rsidR="00D14763" w:rsidRPr="00C36C8F" w:rsidRDefault="00D14763" w:rsidP="00691AE4">
            <w:pPr>
              <w:pStyle w:val="TableText"/>
              <w:keepNext/>
            </w:pPr>
            <w:r w:rsidRPr="00C36C8F">
              <w:t>This scheme has been in place since 2003 provides incentives for smaller landfill sites to capture landfill gas and use it to generate electricity, and for projects that divert putrescible waste from landfill to make electricity. A review of the scheme was announced in November 2010, due to ongoing uncertainty associated with the timing, form and scope of national carbon pricing arrangements.</w:t>
            </w:r>
            <w:r w:rsidR="008925DE">
              <w:t xml:space="preserve"> GGAS ceased on 30 June 2012.</w:t>
            </w:r>
          </w:p>
        </w:tc>
      </w:tr>
      <w:tr w:rsidR="00D14763" w:rsidRPr="00C36C8F" w:rsidTr="002C6FE5">
        <w:trPr>
          <w:cantSplit/>
        </w:trPr>
        <w:tc>
          <w:tcPr>
            <w:tcW w:w="1000" w:type="pct"/>
            <w:tcBorders>
              <w:top w:val="single" w:sz="4" w:space="0" w:color="808080"/>
              <w:bottom w:val="single" w:sz="4" w:space="0" w:color="808080" w:themeColor="background1" w:themeShade="80"/>
            </w:tcBorders>
            <w:tcMar>
              <w:right w:w="142" w:type="dxa"/>
            </w:tcMar>
          </w:tcPr>
          <w:p w:rsidR="00D14763" w:rsidRPr="00C36C8F" w:rsidRDefault="00D14763" w:rsidP="00691AE4">
            <w:pPr>
              <w:pStyle w:val="TableText"/>
              <w:keepNext/>
            </w:pPr>
            <w:r w:rsidRPr="00C36C8F">
              <w:t>Environment protection licences</w:t>
            </w:r>
          </w:p>
        </w:tc>
        <w:tc>
          <w:tcPr>
            <w:tcW w:w="4000" w:type="pct"/>
            <w:tcBorders>
              <w:top w:val="single" w:sz="4" w:space="0" w:color="808080"/>
              <w:bottom w:val="single" w:sz="4" w:space="0" w:color="808080" w:themeColor="background1" w:themeShade="80"/>
            </w:tcBorders>
            <w:tcMar>
              <w:right w:w="142" w:type="dxa"/>
            </w:tcMar>
          </w:tcPr>
          <w:p w:rsidR="00D14763" w:rsidRPr="00C36C8F" w:rsidRDefault="00D14763" w:rsidP="00691AE4">
            <w:pPr>
              <w:pStyle w:val="TableText"/>
              <w:keepNext/>
            </w:pPr>
            <w:r w:rsidRPr="00C36C8F">
              <w:t xml:space="preserve">These licences are issued to owners or operators of various industrial premises. Licence conditions and assessment relate to the waste strategy in force under the </w:t>
            </w:r>
            <w:r w:rsidR="005338E9" w:rsidRPr="00C36C8F">
              <w:rPr>
                <w:i/>
              </w:rPr>
              <w:t>Waste Avoidance and Resource Recovery Act (2001)</w:t>
            </w:r>
            <w:r w:rsidRPr="00C36C8F">
              <w:t>.</w:t>
            </w:r>
          </w:p>
        </w:tc>
      </w:tr>
      <w:tr w:rsidR="00D14763" w:rsidRPr="00C36C8F" w:rsidTr="002C6FE5">
        <w:trPr>
          <w:cantSplit/>
        </w:trPr>
        <w:tc>
          <w:tcPr>
            <w:tcW w:w="1000" w:type="pct"/>
            <w:tcBorders>
              <w:top w:val="single" w:sz="4" w:space="0" w:color="808080" w:themeColor="background1" w:themeShade="80"/>
              <w:bottom w:val="single" w:sz="4" w:space="0" w:color="808080"/>
            </w:tcBorders>
            <w:tcMar>
              <w:right w:w="142" w:type="dxa"/>
            </w:tcMar>
          </w:tcPr>
          <w:p w:rsidR="00D14763" w:rsidRPr="00C36C8F" w:rsidRDefault="00D14763" w:rsidP="00691AE4">
            <w:pPr>
              <w:pStyle w:val="TableText"/>
              <w:keepNext/>
            </w:pPr>
            <w:r w:rsidRPr="00C36C8F">
              <w:rPr>
                <w:rFonts w:ascii="ArialMT" w:hAnsi="ArialMT" w:cs="ArialMT"/>
                <w:color w:val="231F20"/>
                <w:lang w:eastAsia="en-AU"/>
              </w:rPr>
              <w:t>Household chemical clean out</w:t>
            </w:r>
          </w:p>
        </w:tc>
        <w:tc>
          <w:tcPr>
            <w:tcW w:w="4000" w:type="pct"/>
            <w:tcBorders>
              <w:top w:val="single" w:sz="4" w:space="0" w:color="808080" w:themeColor="background1" w:themeShade="80"/>
              <w:bottom w:val="single" w:sz="4" w:space="0" w:color="808080"/>
            </w:tcBorders>
            <w:tcMar>
              <w:right w:w="142" w:type="dxa"/>
            </w:tcMar>
          </w:tcPr>
          <w:p w:rsidR="00D14763" w:rsidRPr="00C36C8F" w:rsidRDefault="00D14763" w:rsidP="00691AE4">
            <w:pPr>
              <w:pStyle w:val="TableText"/>
              <w:keepNext/>
            </w:pPr>
            <w:r w:rsidRPr="00C36C8F">
              <w:t>This program allows a free collection service for householders to safely dispose of household hazardous waste such as paints, oils, lead acid batteries, cleaning products etc. The program facilitated through the DECCW and local government includes the recovery of materials through permanent drop-off sites, and a mobile service delivered through a series of scheduled collection days across the State.</w:t>
            </w:r>
          </w:p>
        </w:tc>
      </w:tr>
      <w:tr w:rsidR="00D14763" w:rsidRPr="00C36C8F" w:rsidTr="002C6FE5">
        <w:trPr>
          <w:cantSplit/>
        </w:trPr>
        <w:tc>
          <w:tcPr>
            <w:tcW w:w="1000" w:type="pct"/>
            <w:tcBorders>
              <w:top w:val="single" w:sz="4" w:space="0" w:color="808080"/>
              <w:bottom w:val="single" w:sz="4" w:space="0" w:color="7F7F7F" w:themeColor="text1" w:themeTint="80"/>
            </w:tcBorders>
            <w:tcMar>
              <w:right w:w="142" w:type="dxa"/>
            </w:tcMar>
          </w:tcPr>
          <w:p w:rsidR="00D14763" w:rsidRPr="00C36C8F" w:rsidRDefault="00D14763" w:rsidP="00BE69D2">
            <w:pPr>
              <w:pStyle w:val="TableText"/>
              <w:rPr>
                <w:rFonts w:ascii="ArialMT" w:hAnsi="ArialMT" w:cs="ArialMT"/>
                <w:color w:val="231F20"/>
                <w:lang w:eastAsia="en-AU"/>
              </w:rPr>
            </w:pPr>
            <w:r w:rsidRPr="00C36C8F">
              <w:rPr>
                <w:rFonts w:ascii="ArialMT" w:hAnsi="ArialMT" w:cs="ArialMT"/>
                <w:color w:val="231F20"/>
                <w:lang w:eastAsia="en-AU"/>
              </w:rPr>
              <w:t>Waste Reduction and Purchasing Policy (WRAPP)</w:t>
            </w:r>
          </w:p>
        </w:tc>
        <w:tc>
          <w:tcPr>
            <w:tcW w:w="4000" w:type="pct"/>
            <w:tcBorders>
              <w:top w:val="single" w:sz="4" w:space="0" w:color="808080"/>
              <w:bottom w:val="single" w:sz="4" w:space="0" w:color="7F7F7F" w:themeColor="text1" w:themeTint="80"/>
            </w:tcBorders>
            <w:tcMar>
              <w:right w:w="142" w:type="dxa"/>
            </w:tcMar>
          </w:tcPr>
          <w:p w:rsidR="00D14763" w:rsidRPr="00C36C8F" w:rsidRDefault="00D14763" w:rsidP="00BE69D2">
            <w:pPr>
              <w:pStyle w:val="TableText"/>
            </w:pPr>
            <w:r w:rsidRPr="00C36C8F">
              <w:t xml:space="preserve">The WRAPP commenced in 1997. It requires all NSW government agencies and state owned corporations to develop and implement a WRAPP Plan aimed at reducing waste and increasing purchase of products of recycled content materials. This includes items such as paper and cardboard, office consumables, toner cartridges, computers and monitors, vegetation waste and construction and demolition waste. </w:t>
            </w:r>
            <w:r w:rsidRPr="00C36C8F">
              <w:rPr>
                <w:i/>
              </w:rPr>
              <w:t>WRAPP Reporting Guidelines 2009</w:t>
            </w:r>
            <w:r w:rsidRPr="00C36C8F">
              <w:t xml:space="preserve"> were released to offer agencies with a revised framework for the program and associated reporting.</w:t>
            </w:r>
          </w:p>
        </w:tc>
      </w:tr>
    </w:tbl>
    <w:p w:rsidR="00DA4D44" w:rsidRPr="00C36C8F" w:rsidRDefault="00DA4D44" w:rsidP="00DA4D44">
      <w:pPr>
        <w:pStyle w:val="ParaIndent"/>
        <w:keepNext/>
        <w:keepLines/>
      </w:pPr>
    </w:p>
    <w:p w:rsidR="00DA4D44" w:rsidRPr="00C36C8F" w:rsidRDefault="00DA4D44" w:rsidP="00DA4D44">
      <w:pPr>
        <w:pStyle w:val="ParaIndent"/>
        <w:keepNext/>
        <w:keepLines/>
      </w:pPr>
      <w:r w:rsidRPr="00C36C8F">
        <w:br w:type="page"/>
      </w:r>
    </w:p>
    <w:p w:rsidR="00D14763" w:rsidRPr="00C36C8F" w:rsidRDefault="00D14763" w:rsidP="00D14763">
      <w:pPr>
        <w:pStyle w:val="Heading2"/>
        <w:spacing w:before="240"/>
      </w:pPr>
      <w:bookmarkStart w:id="248" w:name="_Toc325020118"/>
      <w:bookmarkStart w:id="249" w:name="_Toc305049766"/>
      <w:r w:rsidRPr="00C36C8F">
        <w:t>Victoria</w:t>
      </w:r>
      <w:bookmarkEnd w:id="248"/>
      <w:bookmarkEnd w:id="249"/>
    </w:p>
    <w:p w:rsidR="00D14763" w:rsidRPr="00C36C8F" w:rsidRDefault="00D14763" w:rsidP="00982ACC">
      <w:pPr>
        <w:pStyle w:val="ParaIndent"/>
        <w:jc w:val="both"/>
      </w:pPr>
      <w:r w:rsidRPr="00C36C8F">
        <w:t>Information on the programs and strategies being implemented in Victoria has been sourced from:</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Sustainability Victoria website: www.sustainability.vic.gov.au</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EPA Victoria website: www.epa.vic.gov.au</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Metropolitan Waste Management Group website: www.mwmg.vic.gov.au</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 xml:space="preserve">State Government of Victoria (2005) </w:t>
      </w:r>
      <w:r w:rsidR="005338E9" w:rsidRPr="00C36C8F">
        <w:rPr>
          <w:i/>
        </w:rPr>
        <w:t>Towards Zero Waste Strategy</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 xml:space="preserve">Department of Sustainability and Environment (2009) </w:t>
      </w:r>
      <w:r w:rsidR="005338E9" w:rsidRPr="00C36C8F">
        <w:rPr>
          <w:i/>
        </w:rPr>
        <w:t>Metropolitan Waste and Resource Recovery Strategic Plan</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Sustainability Victoria (2010</w:t>
      </w:r>
      <w:r w:rsidR="005338E9" w:rsidRPr="00C36C8F">
        <w:rPr>
          <w:i/>
        </w:rPr>
        <w:t>) Towards Zero Waste Strategy Progress Report for 2008–09</w:t>
      </w:r>
      <w:r w:rsidRPr="00C36C8F">
        <w:t>.</w:t>
      </w:r>
    </w:p>
    <w:p w:rsidR="00D14763" w:rsidRPr="00C36C8F" w:rsidRDefault="00D14763" w:rsidP="00982ACC">
      <w:pPr>
        <w:pStyle w:val="Heading40"/>
        <w:spacing w:before="0"/>
        <w:jc w:val="both"/>
      </w:pPr>
      <w:r w:rsidRPr="00C36C8F">
        <w:t>Towards Zero Waste strategy</w:t>
      </w:r>
    </w:p>
    <w:p w:rsidR="00D14763" w:rsidRPr="00C36C8F" w:rsidRDefault="00D14763" w:rsidP="00982ACC">
      <w:pPr>
        <w:pStyle w:val="ParaIndent"/>
        <w:keepLines/>
        <w:jc w:val="both"/>
      </w:pPr>
      <w:r w:rsidRPr="00C36C8F">
        <w:t xml:space="preserve">The Victorian Towards Zero Waste Strategy (TZW) sets the strategic direction for solid waste management in Victoria across all sectors. Although released in 2005, the Strategy seeks to minimise solid waste generation and maximise recovery of materials based on 2003 levels, with targets set to 2014. The 2014 targets are outlined in </w:t>
      </w:r>
      <w:fldSimple w:instr=" REF _Ref283639177 \h  \* MERGEFORMAT ">
        <w:r w:rsidR="00AE7E3B" w:rsidRPr="00C36C8F">
          <w:t xml:space="preserve">Table </w:t>
        </w:r>
        <w:r w:rsidR="00AE7E3B">
          <w:rPr>
            <w:noProof/>
          </w:rPr>
          <w:t>6</w:t>
        </w:r>
        <w:r w:rsidR="00AE7E3B" w:rsidRPr="00C36C8F">
          <w:rPr>
            <w:noProof/>
          </w:rPr>
          <w:t>-</w:t>
        </w:r>
        <w:r w:rsidR="00AE7E3B">
          <w:rPr>
            <w:noProof/>
          </w:rPr>
          <w:t>51</w:t>
        </w:r>
      </w:fldSimple>
      <w:r w:rsidRPr="00C36C8F">
        <w:t>.</w:t>
      </w:r>
    </w:p>
    <w:p w:rsidR="00D14763" w:rsidRPr="00C36C8F" w:rsidRDefault="00D14763" w:rsidP="00D14763">
      <w:pPr>
        <w:pStyle w:val="Caption"/>
      </w:pPr>
      <w:bookmarkStart w:id="250" w:name="_Ref283639177"/>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51</w:t>
      </w:r>
      <w:r w:rsidR="00B9555F" w:rsidRPr="00C36C8F">
        <w:rPr>
          <w:noProof/>
        </w:rPr>
        <w:fldChar w:fldCharType="end"/>
      </w:r>
      <w:bookmarkEnd w:id="250"/>
      <w:r w:rsidRPr="00C36C8F">
        <w:tab/>
        <w:t>Victorian TZW Strategy targets</w:t>
      </w:r>
    </w:p>
    <w:tbl>
      <w:tblPr>
        <w:tblW w:w="0" w:type="auto"/>
        <w:tblInd w:w="1191" w:type="dxa"/>
        <w:tblBorders>
          <w:bottom w:val="single" w:sz="18" w:space="0" w:color="808080"/>
          <w:insideH w:val="single" w:sz="4" w:space="0" w:color="808080"/>
        </w:tblBorders>
        <w:tblLayout w:type="fixed"/>
        <w:tblCellMar>
          <w:left w:w="0" w:type="dxa"/>
          <w:right w:w="0" w:type="dxa"/>
        </w:tblCellMar>
        <w:tblLook w:val="0000"/>
      </w:tblPr>
      <w:tblGrid>
        <w:gridCol w:w="1843"/>
        <w:gridCol w:w="5529"/>
      </w:tblGrid>
      <w:tr w:rsidR="00D14763" w:rsidRPr="00C36C8F" w:rsidTr="00BE69D2">
        <w:trPr>
          <w:cantSplit/>
        </w:trPr>
        <w:tc>
          <w:tcPr>
            <w:tcW w:w="1843" w:type="dxa"/>
            <w:shd w:val="clear" w:color="auto" w:fill="auto"/>
          </w:tcPr>
          <w:p w:rsidR="00D14763" w:rsidRPr="00C36C8F" w:rsidRDefault="00D14763" w:rsidP="00BE69D2">
            <w:pPr>
              <w:pStyle w:val="TableHeading"/>
            </w:pPr>
            <w:r w:rsidRPr="00C36C8F">
              <w:t>Target</w:t>
            </w:r>
          </w:p>
        </w:tc>
        <w:tc>
          <w:tcPr>
            <w:tcW w:w="5529" w:type="dxa"/>
            <w:shd w:val="clear" w:color="auto" w:fill="auto"/>
          </w:tcPr>
          <w:p w:rsidR="00D14763" w:rsidRPr="00C36C8F" w:rsidRDefault="00D14763" w:rsidP="00BE69D2">
            <w:pPr>
              <w:pStyle w:val="TableHeading"/>
            </w:pPr>
            <w:r w:rsidRPr="00C36C8F">
              <w:t>Description</w:t>
            </w:r>
          </w:p>
        </w:tc>
      </w:tr>
      <w:tr w:rsidR="00D14763" w:rsidRPr="00C36C8F" w:rsidTr="00BE69D2">
        <w:trPr>
          <w:cantSplit/>
        </w:trPr>
        <w:tc>
          <w:tcPr>
            <w:tcW w:w="1843" w:type="dxa"/>
          </w:tcPr>
          <w:p w:rsidR="00D14763" w:rsidRPr="00C36C8F" w:rsidRDefault="00D14763" w:rsidP="00BE69D2">
            <w:pPr>
              <w:pStyle w:val="TableText"/>
              <w:keepNext/>
            </w:pPr>
            <w:r w:rsidRPr="00C36C8F">
              <w:t>Target 1</w:t>
            </w:r>
          </w:p>
        </w:tc>
        <w:tc>
          <w:tcPr>
            <w:tcW w:w="5529" w:type="dxa"/>
          </w:tcPr>
          <w:p w:rsidR="00D14763" w:rsidRPr="00C36C8F" w:rsidRDefault="00D14763" w:rsidP="00BE69D2">
            <w:pPr>
              <w:pStyle w:val="TableText"/>
              <w:keepNext/>
            </w:pPr>
            <w:r w:rsidRPr="00C36C8F">
              <w:t>A 1.5 million tonne reduction in the projected quantity of solid waste generated, by 2014.</w:t>
            </w:r>
          </w:p>
        </w:tc>
      </w:tr>
      <w:tr w:rsidR="00D14763" w:rsidRPr="00C36C8F" w:rsidTr="00BE69D2">
        <w:trPr>
          <w:cantSplit/>
        </w:trPr>
        <w:tc>
          <w:tcPr>
            <w:tcW w:w="1843" w:type="dxa"/>
          </w:tcPr>
          <w:p w:rsidR="00D14763" w:rsidRPr="00C36C8F" w:rsidRDefault="00D14763" w:rsidP="00BE69D2">
            <w:pPr>
              <w:pStyle w:val="TableText"/>
              <w:keepNext/>
            </w:pPr>
            <w:r w:rsidRPr="00C36C8F">
              <w:t>Target 2</w:t>
            </w:r>
          </w:p>
        </w:tc>
        <w:tc>
          <w:tcPr>
            <w:tcW w:w="5529" w:type="dxa"/>
          </w:tcPr>
          <w:p w:rsidR="00D14763" w:rsidRPr="00C36C8F" w:rsidRDefault="00D14763" w:rsidP="00BE69D2">
            <w:pPr>
              <w:pStyle w:val="TableText"/>
              <w:keepNext/>
            </w:pPr>
            <w:r w:rsidRPr="00C36C8F">
              <w:t>75% by weight of solid waste recovered for re</w:t>
            </w:r>
            <w:r w:rsidR="000A1612" w:rsidRPr="00C36C8F">
              <w:t>-</w:t>
            </w:r>
            <w:r w:rsidRPr="00C36C8F">
              <w:t>use, recycling and/or energy generation by 2014</w:t>
            </w:r>
          </w:p>
        </w:tc>
      </w:tr>
      <w:tr w:rsidR="00D14763" w:rsidRPr="00C36C8F" w:rsidTr="00BE69D2">
        <w:trPr>
          <w:cantSplit/>
        </w:trPr>
        <w:tc>
          <w:tcPr>
            <w:tcW w:w="1843" w:type="dxa"/>
            <w:tcBorders>
              <w:bottom w:val="single" w:sz="4" w:space="0" w:color="808080"/>
            </w:tcBorders>
          </w:tcPr>
          <w:p w:rsidR="00D14763" w:rsidRPr="00C36C8F" w:rsidRDefault="00D14763" w:rsidP="00BE69D2">
            <w:pPr>
              <w:pStyle w:val="TableText"/>
              <w:keepNext/>
            </w:pPr>
            <w:r w:rsidRPr="00C36C8F">
              <w:t>Target 3</w:t>
            </w:r>
          </w:p>
        </w:tc>
        <w:tc>
          <w:tcPr>
            <w:tcW w:w="5529" w:type="dxa"/>
            <w:tcBorders>
              <w:bottom w:val="single" w:sz="4" w:space="0" w:color="808080"/>
            </w:tcBorders>
          </w:tcPr>
          <w:p w:rsidR="00D14763" w:rsidRPr="00C36C8F" w:rsidRDefault="00D14763" w:rsidP="00BE69D2">
            <w:pPr>
              <w:pStyle w:val="TableText"/>
              <w:keepNext/>
            </w:pPr>
            <w:r w:rsidRPr="00C36C8F">
              <w:t>Sectoral targets achieved by 2008–09 and 2014</w:t>
            </w:r>
          </w:p>
        </w:tc>
      </w:tr>
      <w:tr w:rsidR="00D14763" w:rsidRPr="00C36C8F" w:rsidTr="00BE69D2">
        <w:trPr>
          <w:cantSplit/>
        </w:trPr>
        <w:tc>
          <w:tcPr>
            <w:tcW w:w="1843" w:type="dxa"/>
            <w:tcBorders>
              <w:top w:val="single" w:sz="4" w:space="0" w:color="808080"/>
              <w:bottom w:val="single" w:sz="4" w:space="0" w:color="808080" w:themeColor="background1" w:themeShade="80"/>
            </w:tcBorders>
          </w:tcPr>
          <w:p w:rsidR="00D14763" w:rsidRPr="00C36C8F" w:rsidRDefault="00D14763" w:rsidP="00BE69D2">
            <w:pPr>
              <w:pStyle w:val="TableText"/>
            </w:pPr>
            <w:r w:rsidRPr="00C36C8F">
              <w:t>Target 4</w:t>
            </w:r>
          </w:p>
        </w:tc>
        <w:tc>
          <w:tcPr>
            <w:tcW w:w="5529" w:type="dxa"/>
            <w:tcBorders>
              <w:top w:val="single" w:sz="4" w:space="0" w:color="808080"/>
              <w:bottom w:val="single" w:sz="4" w:space="0" w:color="808080" w:themeColor="background1" w:themeShade="80"/>
            </w:tcBorders>
          </w:tcPr>
          <w:p w:rsidR="00D14763" w:rsidRPr="00C36C8F" w:rsidRDefault="00D14763" w:rsidP="00BE69D2">
            <w:pPr>
              <w:pStyle w:val="TableText"/>
            </w:pPr>
            <w:r w:rsidRPr="00C36C8F">
              <w:t>A 25% improvement, from 2003 levels, in littering behaviours by 2014.</w:t>
            </w:r>
          </w:p>
        </w:tc>
      </w:tr>
    </w:tbl>
    <w:p w:rsidR="00D14763" w:rsidRPr="00C36C8F" w:rsidRDefault="00D14763" w:rsidP="005B65D5">
      <w:pPr>
        <w:pStyle w:val="ParaIndent"/>
        <w:spacing w:before="120"/>
        <w:jc w:val="both"/>
      </w:pPr>
      <w:r w:rsidRPr="00C36C8F">
        <w:t xml:space="preserve">The sectoral targets referred to in Target 3 are outlined in </w:t>
      </w:r>
      <w:r w:rsidR="00B9555F" w:rsidRPr="00C36C8F">
        <w:fldChar w:fldCharType="begin"/>
      </w:r>
      <w:r w:rsidRPr="00C36C8F">
        <w:instrText xml:space="preserve"> REF _Ref283639232 \h </w:instrText>
      </w:r>
      <w:r w:rsidR="00B9555F" w:rsidRPr="00C36C8F">
        <w:fldChar w:fldCharType="separate"/>
      </w:r>
      <w:r w:rsidR="00AE7E3B" w:rsidRPr="00C36C8F">
        <w:t xml:space="preserve">Table </w:t>
      </w:r>
      <w:r w:rsidR="00AE7E3B">
        <w:rPr>
          <w:noProof/>
        </w:rPr>
        <w:t>6</w:t>
      </w:r>
      <w:r w:rsidR="00AE7E3B" w:rsidRPr="00C36C8F">
        <w:t>-</w:t>
      </w:r>
      <w:r w:rsidR="00AE7E3B">
        <w:rPr>
          <w:noProof/>
        </w:rPr>
        <w:t>52</w:t>
      </w:r>
      <w:r w:rsidR="00B9555F" w:rsidRPr="00C36C8F">
        <w:fldChar w:fldCharType="end"/>
      </w:r>
      <w:r w:rsidRPr="00C36C8F">
        <w:t>.</w:t>
      </w:r>
    </w:p>
    <w:p w:rsidR="00D14763" w:rsidRPr="00C36C8F" w:rsidRDefault="00D14763" w:rsidP="00D14763">
      <w:pPr>
        <w:pStyle w:val="Caption"/>
      </w:pPr>
      <w:bookmarkStart w:id="251" w:name="_Ref283639232"/>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52</w:t>
      </w:r>
      <w:r w:rsidR="00B9555F" w:rsidRPr="00C36C8F">
        <w:rPr>
          <w:noProof/>
        </w:rPr>
        <w:fldChar w:fldCharType="end"/>
      </w:r>
      <w:bookmarkEnd w:id="251"/>
      <w:r w:rsidRPr="00C36C8F">
        <w:tab/>
        <w:t>Victorian TZW Strategy sectoral targets</w:t>
      </w:r>
    </w:p>
    <w:tbl>
      <w:tblPr>
        <w:tblW w:w="0" w:type="auto"/>
        <w:tblInd w:w="1191" w:type="dxa"/>
        <w:tblBorders>
          <w:bottom w:val="single" w:sz="18" w:space="0" w:color="808080"/>
          <w:insideH w:val="single" w:sz="4" w:space="0" w:color="808080"/>
        </w:tblBorders>
        <w:tblLayout w:type="fixed"/>
        <w:tblCellMar>
          <w:left w:w="0" w:type="dxa"/>
          <w:right w:w="0" w:type="dxa"/>
        </w:tblCellMar>
        <w:tblLook w:val="0000"/>
      </w:tblPr>
      <w:tblGrid>
        <w:gridCol w:w="2935"/>
        <w:gridCol w:w="1430"/>
        <w:gridCol w:w="1650"/>
        <w:gridCol w:w="1357"/>
      </w:tblGrid>
      <w:tr w:rsidR="00D14763" w:rsidRPr="00C36C8F" w:rsidTr="00BE69D2">
        <w:trPr>
          <w:cantSplit/>
        </w:trPr>
        <w:tc>
          <w:tcPr>
            <w:tcW w:w="2935" w:type="dxa"/>
            <w:tcBorders>
              <w:top w:val="nil"/>
              <w:bottom w:val="single" w:sz="4" w:space="0" w:color="808080"/>
            </w:tcBorders>
            <w:shd w:val="clear" w:color="auto" w:fill="auto"/>
            <w:vAlign w:val="center"/>
          </w:tcPr>
          <w:p w:rsidR="00D14763" w:rsidRPr="00C36C8F" w:rsidRDefault="00D14763" w:rsidP="002B559B">
            <w:pPr>
              <w:pStyle w:val="TableHeading"/>
            </w:pPr>
            <w:r w:rsidRPr="00C36C8F">
              <w:t>Recovery rate (by weight)</w:t>
            </w:r>
          </w:p>
        </w:tc>
        <w:tc>
          <w:tcPr>
            <w:tcW w:w="1430" w:type="dxa"/>
            <w:shd w:val="clear" w:color="auto" w:fill="auto"/>
            <w:vAlign w:val="center"/>
          </w:tcPr>
          <w:p w:rsidR="00D14763" w:rsidRPr="00C36C8F" w:rsidRDefault="00D14763" w:rsidP="00BE69D2">
            <w:pPr>
              <w:pStyle w:val="TableHeading"/>
              <w:jc w:val="center"/>
            </w:pPr>
            <w:r w:rsidRPr="00C36C8F">
              <w:t>2002–03</w:t>
            </w:r>
          </w:p>
        </w:tc>
        <w:tc>
          <w:tcPr>
            <w:tcW w:w="1650" w:type="dxa"/>
            <w:shd w:val="clear" w:color="auto" w:fill="auto"/>
            <w:vAlign w:val="center"/>
          </w:tcPr>
          <w:p w:rsidR="00D14763" w:rsidRPr="00C36C8F" w:rsidRDefault="00D14763" w:rsidP="00BE69D2">
            <w:pPr>
              <w:pStyle w:val="TableHeading"/>
              <w:jc w:val="center"/>
            </w:pPr>
            <w:r w:rsidRPr="00C36C8F">
              <w:t>2008–09</w:t>
            </w:r>
          </w:p>
          <w:p w:rsidR="00D14763" w:rsidRPr="00C36C8F" w:rsidRDefault="00D14763" w:rsidP="00BE69D2">
            <w:pPr>
              <w:pStyle w:val="TableHeading"/>
              <w:jc w:val="center"/>
            </w:pPr>
            <w:r w:rsidRPr="00C36C8F">
              <w:t>Progress target</w:t>
            </w:r>
          </w:p>
        </w:tc>
        <w:tc>
          <w:tcPr>
            <w:tcW w:w="1357" w:type="dxa"/>
            <w:shd w:val="clear" w:color="auto" w:fill="auto"/>
            <w:vAlign w:val="center"/>
          </w:tcPr>
          <w:p w:rsidR="00D14763" w:rsidRPr="00C36C8F" w:rsidRDefault="00D14763" w:rsidP="00BE69D2">
            <w:pPr>
              <w:pStyle w:val="TableHeading"/>
              <w:jc w:val="center"/>
            </w:pPr>
            <w:r w:rsidRPr="00C36C8F">
              <w:t>2014 Target</w:t>
            </w:r>
          </w:p>
        </w:tc>
      </w:tr>
      <w:tr w:rsidR="00D14763" w:rsidRPr="00C36C8F" w:rsidTr="00BE69D2">
        <w:trPr>
          <w:cantSplit/>
        </w:trPr>
        <w:tc>
          <w:tcPr>
            <w:tcW w:w="2935" w:type="dxa"/>
            <w:tcBorders>
              <w:top w:val="single" w:sz="4" w:space="0" w:color="808080"/>
            </w:tcBorders>
            <w:vAlign w:val="center"/>
          </w:tcPr>
          <w:p w:rsidR="00D14763" w:rsidRPr="00C36C8F" w:rsidRDefault="00D14763" w:rsidP="002B559B">
            <w:pPr>
              <w:pStyle w:val="TableText"/>
            </w:pPr>
            <w:r w:rsidRPr="00C36C8F">
              <w:t>Municipal waste</w:t>
            </w:r>
          </w:p>
        </w:tc>
        <w:tc>
          <w:tcPr>
            <w:tcW w:w="1430" w:type="dxa"/>
            <w:vAlign w:val="center"/>
          </w:tcPr>
          <w:p w:rsidR="00D14763" w:rsidRPr="00C36C8F" w:rsidRDefault="00D14763" w:rsidP="00BE69D2">
            <w:pPr>
              <w:pStyle w:val="TableText"/>
              <w:jc w:val="center"/>
            </w:pPr>
            <w:r w:rsidRPr="00C36C8F">
              <w:t>35%</w:t>
            </w:r>
          </w:p>
        </w:tc>
        <w:tc>
          <w:tcPr>
            <w:tcW w:w="1650" w:type="dxa"/>
            <w:vAlign w:val="center"/>
          </w:tcPr>
          <w:p w:rsidR="00D14763" w:rsidRPr="00C36C8F" w:rsidRDefault="00D14763" w:rsidP="00BE69D2">
            <w:pPr>
              <w:pStyle w:val="TableText"/>
              <w:jc w:val="center"/>
            </w:pPr>
            <w:r w:rsidRPr="00C36C8F">
              <w:t>45%</w:t>
            </w:r>
          </w:p>
        </w:tc>
        <w:tc>
          <w:tcPr>
            <w:tcW w:w="1357" w:type="dxa"/>
            <w:vAlign w:val="center"/>
          </w:tcPr>
          <w:p w:rsidR="00D14763" w:rsidRPr="00C36C8F" w:rsidRDefault="00D14763" w:rsidP="00BE69D2">
            <w:pPr>
              <w:pStyle w:val="TableText"/>
              <w:jc w:val="center"/>
            </w:pPr>
            <w:r w:rsidRPr="00C36C8F">
              <w:t>65%</w:t>
            </w:r>
          </w:p>
        </w:tc>
      </w:tr>
      <w:tr w:rsidR="00D14763" w:rsidRPr="00C36C8F" w:rsidTr="00BE69D2">
        <w:trPr>
          <w:cantSplit/>
        </w:trPr>
        <w:tc>
          <w:tcPr>
            <w:tcW w:w="2935" w:type="dxa"/>
            <w:vAlign w:val="center"/>
          </w:tcPr>
          <w:p w:rsidR="00D14763" w:rsidRPr="00C36C8F" w:rsidRDefault="00D14763" w:rsidP="002B559B">
            <w:pPr>
              <w:pStyle w:val="TableText"/>
            </w:pPr>
            <w:r w:rsidRPr="00C36C8F">
              <w:t>Commercial &amp; Industrial waste</w:t>
            </w:r>
          </w:p>
        </w:tc>
        <w:tc>
          <w:tcPr>
            <w:tcW w:w="1430" w:type="dxa"/>
            <w:vAlign w:val="center"/>
          </w:tcPr>
          <w:p w:rsidR="00D14763" w:rsidRPr="00C36C8F" w:rsidRDefault="00D14763" w:rsidP="00BE69D2">
            <w:pPr>
              <w:pStyle w:val="TableText"/>
              <w:jc w:val="center"/>
            </w:pPr>
            <w:r w:rsidRPr="00C36C8F">
              <w:t>59%</w:t>
            </w:r>
          </w:p>
        </w:tc>
        <w:tc>
          <w:tcPr>
            <w:tcW w:w="1650" w:type="dxa"/>
            <w:vAlign w:val="center"/>
          </w:tcPr>
          <w:p w:rsidR="00D14763" w:rsidRPr="00C36C8F" w:rsidRDefault="00D14763" w:rsidP="00BE69D2">
            <w:pPr>
              <w:pStyle w:val="TableText"/>
              <w:jc w:val="center"/>
            </w:pPr>
            <w:r w:rsidRPr="00C36C8F">
              <w:t>65%</w:t>
            </w:r>
          </w:p>
        </w:tc>
        <w:tc>
          <w:tcPr>
            <w:tcW w:w="1357" w:type="dxa"/>
            <w:vAlign w:val="center"/>
          </w:tcPr>
          <w:p w:rsidR="00D14763" w:rsidRPr="00C36C8F" w:rsidRDefault="00D14763" w:rsidP="00BE69D2">
            <w:pPr>
              <w:pStyle w:val="TableText"/>
              <w:jc w:val="center"/>
            </w:pPr>
            <w:r w:rsidRPr="00C36C8F">
              <w:t>80%</w:t>
            </w:r>
          </w:p>
        </w:tc>
      </w:tr>
      <w:tr w:rsidR="00D14763" w:rsidRPr="00C36C8F" w:rsidTr="00BE69D2">
        <w:trPr>
          <w:cantSplit/>
        </w:trPr>
        <w:tc>
          <w:tcPr>
            <w:tcW w:w="2935" w:type="dxa"/>
            <w:tcBorders>
              <w:bottom w:val="single" w:sz="4" w:space="0" w:color="808080"/>
            </w:tcBorders>
            <w:vAlign w:val="center"/>
          </w:tcPr>
          <w:p w:rsidR="00D14763" w:rsidRPr="00C36C8F" w:rsidRDefault="00D14763" w:rsidP="002B559B">
            <w:pPr>
              <w:pStyle w:val="TableText"/>
            </w:pPr>
            <w:r w:rsidRPr="00C36C8F">
              <w:t>Construction &amp; Demolition waste</w:t>
            </w:r>
          </w:p>
        </w:tc>
        <w:tc>
          <w:tcPr>
            <w:tcW w:w="1430" w:type="dxa"/>
            <w:tcBorders>
              <w:bottom w:val="single" w:sz="4" w:space="0" w:color="808080"/>
            </w:tcBorders>
            <w:vAlign w:val="center"/>
          </w:tcPr>
          <w:p w:rsidR="00D14763" w:rsidRPr="00C36C8F" w:rsidRDefault="00D14763" w:rsidP="00BE69D2">
            <w:pPr>
              <w:pStyle w:val="TableText"/>
              <w:jc w:val="center"/>
            </w:pPr>
            <w:r w:rsidRPr="00C36C8F">
              <w:t>57%</w:t>
            </w:r>
          </w:p>
        </w:tc>
        <w:tc>
          <w:tcPr>
            <w:tcW w:w="1650" w:type="dxa"/>
            <w:tcBorders>
              <w:bottom w:val="single" w:sz="4" w:space="0" w:color="808080"/>
            </w:tcBorders>
            <w:vAlign w:val="center"/>
          </w:tcPr>
          <w:p w:rsidR="00D14763" w:rsidRPr="00C36C8F" w:rsidRDefault="00D14763" w:rsidP="00BE69D2">
            <w:pPr>
              <w:pStyle w:val="TableText"/>
              <w:jc w:val="center"/>
            </w:pPr>
            <w:r w:rsidRPr="00C36C8F">
              <w:t>65%</w:t>
            </w:r>
          </w:p>
        </w:tc>
        <w:tc>
          <w:tcPr>
            <w:tcW w:w="1357" w:type="dxa"/>
            <w:tcBorders>
              <w:bottom w:val="single" w:sz="4" w:space="0" w:color="808080"/>
            </w:tcBorders>
            <w:vAlign w:val="center"/>
          </w:tcPr>
          <w:p w:rsidR="00D14763" w:rsidRPr="00C36C8F" w:rsidRDefault="00D14763" w:rsidP="00BE69D2">
            <w:pPr>
              <w:pStyle w:val="TableText"/>
              <w:jc w:val="center"/>
            </w:pPr>
            <w:r w:rsidRPr="00C36C8F">
              <w:t>80%</w:t>
            </w:r>
          </w:p>
        </w:tc>
      </w:tr>
      <w:tr w:rsidR="00D14763" w:rsidRPr="00C36C8F" w:rsidTr="00BE69D2">
        <w:trPr>
          <w:cantSplit/>
        </w:trPr>
        <w:tc>
          <w:tcPr>
            <w:tcW w:w="2935" w:type="dxa"/>
            <w:tcBorders>
              <w:top w:val="single" w:sz="4" w:space="0" w:color="808080"/>
              <w:bottom w:val="single" w:sz="4" w:space="0" w:color="808080"/>
            </w:tcBorders>
            <w:vAlign w:val="center"/>
          </w:tcPr>
          <w:p w:rsidR="00D14763" w:rsidRPr="00C36C8F" w:rsidRDefault="00D14763" w:rsidP="002B559B">
            <w:pPr>
              <w:pStyle w:val="TableText"/>
            </w:pPr>
            <w:r w:rsidRPr="00C36C8F">
              <w:t>All solid waste streams</w:t>
            </w:r>
          </w:p>
        </w:tc>
        <w:tc>
          <w:tcPr>
            <w:tcW w:w="1430" w:type="dxa"/>
            <w:tcBorders>
              <w:top w:val="single" w:sz="4" w:space="0" w:color="808080"/>
              <w:bottom w:val="single" w:sz="4" w:space="0" w:color="808080"/>
            </w:tcBorders>
            <w:vAlign w:val="center"/>
          </w:tcPr>
          <w:p w:rsidR="00D14763" w:rsidRPr="00C36C8F" w:rsidRDefault="00D14763" w:rsidP="00BE69D2">
            <w:pPr>
              <w:pStyle w:val="TableText"/>
              <w:jc w:val="center"/>
            </w:pPr>
            <w:r w:rsidRPr="00C36C8F">
              <w:t>51%</w:t>
            </w:r>
          </w:p>
        </w:tc>
        <w:tc>
          <w:tcPr>
            <w:tcW w:w="1650" w:type="dxa"/>
            <w:tcBorders>
              <w:top w:val="single" w:sz="4" w:space="0" w:color="808080"/>
              <w:bottom w:val="single" w:sz="4" w:space="0" w:color="808080"/>
            </w:tcBorders>
            <w:vAlign w:val="center"/>
          </w:tcPr>
          <w:p w:rsidR="00D14763" w:rsidRPr="00C36C8F" w:rsidRDefault="00D14763" w:rsidP="00BE69D2">
            <w:pPr>
              <w:pStyle w:val="TableText"/>
              <w:jc w:val="center"/>
            </w:pPr>
            <w:r w:rsidRPr="00C36C8F">
              <w:t>60%</w:t>
            </w:r>
          </w:p>
        </w:tc>
        <w:tc>
          <w:tcPr>
            <w:tcW w:w="1357" w:type="dxa"/>
            <w:tcBorders>
              <w:top w:val="single" w:sz="4" w:space="0" w:color="808080"/>
              <w:bottom w:val="single" w:sz="4" w:space="0" w:color="808080"/>
            </w:tcBorders>
            <w:vAlign w:val="center"/>
          </w:tcPr>
          <w:p w:rsidR="00D14763" w:rsidRPr="00C36C8F" w:rsidRDefault="00D14763" w:rsidP="00BE69D2">
            <w:pPr>
              <w:pStyle w:val="TableText"/>
              <w:jc w:val="center"/>
            </w:pPr>
            <w:r w:rsidRPr="00C36C8F">
              <w:t>75%</w:t>
            </w:r>
          </w:p>
        </w:tc>
      </w:tr>
    </w:tbl>
    <w:p w:rsidR="00982ACC" w:rsidRPr="00C36C8F" w:rsidRDefault="00982ACC" w:rsidP="00982ACC">
      <w:pPr>
        <w:pStyle w:val="ParaIndent"/>
        <w:jc w:val="both"/>
      </w:pPr>
    </w:p>
    <w:p w:rsidR="00D14763" w:rsidRPr="00C36C8F" w:rsidRDefault="00D14763" w:rsidP="00982ACC">
      <w:pPr>
        <w:pStyle w:val="ParaIndent"/>
        <w:jc w:val="both"/>
      </w:pPr>
      <w:r w:rsidRPr="00C36C8F">
        <w:t xml:space="preserve">TZW also outlines the priority materials and products for each sector. Criteria for determining priority materials focused on the quantity disposed to landfill, the adequacy of recycling systems in place, and the environmental and social costs associated with disposal. Priority products have the same criteria but an emphasis on shared responsibility across the product life cycle. Priority materials and products identified for the municipal sector are outlined in </w:t>
      </w:r>
      <w:r w:rsidR="00B9555F" w:rsidRPr="00C36C8F">
        <w:fldChar w:fldCharType="begin"/>
      </w:r>
      <w:r w:rsidRPr="00C36C8F">
        <w:instrText xml:space="preserve"> REF _Ref283639429 \h </w:instrText>
      </w:r>
      <w:r w:rsidR="00B9555F" w:rsidRPr="00C36C8F">
        <w:fldChar w:fldCharType="separate"/>
      </w:r>
      <w:r w:rsidR="00AE7E3B" w:rsidRPr="00C36C8F">
        <w:t xml:space="preserve">Table </w:t>
      </w:r>
      <w:r w:rsidR="00AE7E3B">
        <w:rPr>
          <w:noProof/>
        </w:rPr>
        <w:t>6</w:t>
      </w:r>
      <w:r w:rsidR="00AE7E3B" w:rsidRPr="00C36C8F">
        <w:t>-</w:t>
      </w:r>
      <w:r w:rsidR="00AE7E3B">
        <w:rPr>
          <w:noProof/>
        </w:rPr>
        <w:t>53</w:t>
      </w:r>
      <w:r w:rsidR="00B9555F" w:rsidRPr="00C36C8F">
        <w:fldChar w:fldCharType="end"/>
      </w:r>
      <w:r w:rsidRPr="00C36C8F">
        <w:t xml:space="preserve">. </w:t>
      </w:r>
    </w:p>
    <w:p w:rsidR="00D14763" w:rsidRPr="00C36C8F" w:rsidRDefault="00D14763" w:rsidP="00D14763">
      <w:pPr>
        <w:pStyle w:val="Caption"/>
      </w:pPr>
      <w:bookmarkStart w:id="252" w:name="_Ref283639429"/>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53</w:t>
      </w:r>
      <w:r w:rsidR="00B9555F" w:rsidRPr="00C36C8F">
        <w:rPr>
          <w:noProof/>
        </w:rPr>
        <w:fldChar w:fldCharType="end"/>
      </w:r>
      <w:bookmarkEnd w:id="252"/>
      <w:r w:rsidRPr="00C36C8F">
        <w:tab/>
        <w:t>Priority materials and products within the municipal sector</w:t>
      </w:r>
    </w:p>
    <w:tbl>
      <w:tblPr>
        <w:tblW w:w="0" w:type="auto"/>
        <w:tblInd w:w="1191" w:type="dxa"/>
        <w:tblBorders>
          <w:bottom w:val="single" w:sz="18" w:space="0" w:color="808080"/>
          <w:insideH w:val="single" w:sz="4" w:space="0" w:color="808080"/>
          <w:insideV w:val="single" w:sz="4" w:space="0" w:color="808080"/>
        </w:tblBorders>
        <w:tblLayout w:type="fixed"/>
        <w:tblCellMar>
          <w:left w:w="0" w:type="dxa"/>
          <w:right w:w="0" w:type="dxa"/>
        </w:tblCellMar>
        <w:tblLook w:val="0000"/>
      </w:tblPr>
      <w:tblGrid>
        <w:gridCol w:w="7456"/>
      </w:tblGrid>
      <w:tr w:rsidR="00D14763" w:rsidRPr="00C36C8F" w:rsidTr="00BE69D2">
        <w:trPr>
          <w:cantSplit/>
        </w:trPr>
        <w:tc>
          <w:tcPr>
            <w:tcW w:w="7456" w:type="dxa"/>
            <w:shd w:val="clear" w:color="auto" w:fill="auto"/>
          </w:tcPr>
          <w:p w:rsidR="00D14763" w:rsidRPr="00C36C8F" w:rsidRDefault="00D14763" w:rsidP="00691AE4">
            <w:pPr>
              <w:pStyle w:val="TableHeading"/>
            </w:pPr>
            <w:r w:rsidRPr="000B315F">
              <w:t>Materials</w:t>
            </w:r>
          </w:p>
        </w:tc>
      </w:tr>
      <w:tr w:rsidR="00D14763" w:rsidRPr="00C36C8F" w:rsidTr="00BE69D2">
        <w:trPr>
          <w:cantSplit/>
        </w:trPr>
        <w:tc>
          <w:tcPr>
            <w:tcW w:w="7456" w:type="dxa"/>
          </w:tcPr>
          <w:p w:rsidR="00D14763" w:rsidRPr="000B315F" w:rsidRDefault="00D14763" w:rsidP="00691AE4">
            <w:pPr>
              <w:pStyle w:val="TableText"/>
              <w:keepNext/>
            </w:pPr>
            <w:r w:rsidRPr="000B315F">
              <w:t>Garden organics</w:t>
            </w:r>
          </w:p>
        </w:tc>
      </w:tr>
      <w:tr w:rsidR="00D14763" w:rsidRPr="00C36C8F" w:rsidTr="00BE69D2">
        <w:trPr>
          <w:cantSplit/>
        </w:trPr>
        <w:tc>
          <w:tcPr>
            <w:tcW w:w="7456" w:type="dxa"/>
          </w:tcPr>
          <w:p w:rsidR="00D14763" w:rsidRPr="000B315F" w:rsidRDefault="00D14763" w:rsidP="00691AE4">
            <w:pPr>
              <w:pStyle w:val="TableText"/>
              <w:keepNext/>
            </w:pPr>
            <w:r w:rsidRPr="000B315F">
              <w:t>Food organics</w:t>
            </w:r>
          </w:p>
        </w:tc>
      </w:tr>
      <w:tr w:rsidR="00D14763" w:rsidRPr="00C36C8F" w:rsidTr="00BE69D2">
        <w:trPr>
          <w:cantSplit/>
        </w:trPr>
        <w:tc>
          <w:tcPr>
            <w:tcW w:w="7456" w:type="dxa"/>
          </w:tcPr>
          <w:p w:rsidR="00D14763" w:rsidRPr="000B315F" w:rsidRDefault="00D14763" w:rsidP="00691AE4">
            <w:pPr>
              <w:pStyle w:val="TableText"/>
              <w:keepNext/>
            </w:pPr>
            <w:r w:rsidRPr="000B315F">
              <w:t>Paper/ cardboard</w:t>
            </w:r>
          </w:p>
        </w:tc>
      </w:tr>
      <w:tr w:rsidR="00D14763" w:rsidRPr="00C36C8F" w:rsidTr="00BE69D2">
        <w:trPr>
          <w:cantSplit/>
        </w:trPr>
        <w:tc>
          <w:tcPr>
            <w:tcW w:w="7456" w:type="dxa"/>
          </w:tcPr>
          <w:p w:rsidR="00D14763" w:rsidRPr="000B315F" w:rsidRDefault="00D14763" w:rsidP="00691AE4">
            <w:pPr>
              <w:pStyle w:val="TableText"/>
              <w:keepNext/>
            </w:pPr>
            <w:r w:rsidRPr="000B315F">
              <w:t>Timber</w:t>
            </w:r>
          </w:p>
        </w:tc>
      </w:tr>
      <w:tr w:rsidR="00D14763" w:rsidRPr="00C36C8F" w:rsidTr="00BE69D2">
        <w:trPr>
          <w:cantSplit/>
        </w:trPr>
        <w:tc>
          <w:tcPr>
            <w:tcW w:w="7456" w:type="dxa"/>
            <w:shd w:val="clear" w:color="auto" w:fill="auto"/>
          </w:tcPr>
          <w:p w:rsidR="00D14763" w:rsidRPr="00C36C8F" w:rsidRDefault="00D14763" w:rsidP="00691AE4">
            <w:pPr>
              <w:pStyle w:val="TableHeading"/>
            </w:pPr>
            <w:r w:rsidRPr="000B315F">
              <w:t>Products</w:t>
            </w:r>
          </w:p>
        </w:tc>
      </w:tr>
      <w:tr w:rsidR="00D14763" w:rsidRPr="00C36C8F" w:rsidTr="00BE69D2">
        <w:trPr>
          <w:cantSplit/>
        </w:trPr>
        <w:tc>
          <w:tcPr>
            <w:tcW w:w="7456" w:type="dxa"/>
          </w:tcPr>
          <w:p w:rsidR="00D14763" w:rsidRPr="000B315F" w:rsidRDefault="00D14763" w:rsidP="00691AE4">
            <w:pPr>
              <w:pStyle w:val="TableText"/>
              <w:keepNext/>
            </w:pPr>
            <w:r w:rsidRPr="000B315F">
              <w:t>Electrical and electronic appliances (including televisions and mobile phones)</w:t>
            </w:r>
          </w:p>
        </w:tc>
      </w:tr>
      <w:tr w:rsidR="00D14763" w:rsidRPr="00C36C8F" w:rsidTr="00BE69D2">
        <w:trPr>
          <w:cantSplit/>
        </w:trPr>
        <w:tc>
          <w:tcPr>
            <w:tcW w:w="7456" w:type="dxa"/>
          </w:tcPr>
          <w:p w:rsidR="00D14763" w:rsidRPr="000B315F" w:rsidRDefault="00D14763" w:rsidP="00691AE4">
            <w:pPr>
              <w:pStyle w:val="TableText"/>
              <w:keepNext/>
            </w:pPr>
            <w:r w:rsidRPr="000B315F">
              <w:t>Computers and peripheral IT equipment</w:t>
            </w:r>
          </w:p>
        </w:tc>
      </w:tr>
      <w:tr w:rsidR="00D14763" w:rsidRPr="00C36C8F" w:rsidTr="00BE69D2">
        <w:trPr>
          <w:cantSplit/>
        </w:trPr>
        <w:tc>
          <w:tcPr>
            <w:tcW w:w="7456" w:type="dxa"/>
          </w:tcPr>
          <w:p w:rsidR="00D14763" w:rsidRPr="000B315F" w:rsidRDefault="00D14763" w:rsidP="00691AE4">
            <w:pPr>
              <w:pStyle w:val="TableText"/>
              <w:keepNext/>
            </w:pPr>
            <w:r w:rsidRPr="000B315F">
              <w:t>Tyres</w:t>
            </w:r>
          </w:p>
        </w:tc>
      </w:tr>
      <w:tr w:rsidR="00D14763" w:rsidRPr="00C36C8F" w:rsidTr="00BE69D2">
        <w:trPr>
          <w:cantSplit/>
        </w:trPr>
        <w:tc>
          <w:tcPr>
            <w:tcW w:w="7456" w:type="dxa"/>
          </w:tcPr>
          <w:p w:rsidR="00D14763" w:rsidRPr="000B315F" w:rsidRDefault="00D14763" w:rsidP="00691AE4">
            <w:pPr>
              <w:pStyle w:val="TableText"/>
              <w:keepNext/>
            </w:pPr>
            <w:r w:rsidRPr="000B315F">
              <w:t>Consumer packaging</w:t>
            </w:r>
          </w:p>
        </w:tc>
      </w:tr>
      <w:tr w:rsidR="00D14763" w:rsidRPr="00C36C8F" w:rsidTr="00BE69D2">
        <w:trPr>
          <w:cantSplit/>
        </w:trPr>
        <w:tc>
          <w:tcPr>
            <w:tcW w:w="7456" w:type="dxa"/>
          </w:tcPr>
          <w:p w:rsidR="00D14763" w:rsidRPr="000B315F" w:rsidRDefault="00D14763" w:rsidP="00691AE4">
            <w:pPr>
              <w:pStyle w:val="TableText"/>
              <w:keepNext/>
            </w:pPr>
            <w:r w:rsidRPr="000B315F">
              <w:t>Paint</w:t>
            </w:r>
          </w:p>
        </w:tc>
      </w:tr>
      <w:tr w:rsidR="00D14763" w:rsidRPr="00C36C8F" w:rsidTr="00BE69D2">
        <w:trPr>
          <w:cantSplit/>
        </w:trPr>
        <w:tc>
          <w:tcPr>
            <w:tcW w:w="7456" w:type="dxa"/>
          </w:tcPr>
          <w:p w:rsidR="00D14763" w:rsidRPr="000B315F" w:rsidRDefault="00D14763" w:rsidP="00691AE4">
            <w:pPr>
              <w:pStyle w:val="TableText"/>
              <w:keepNext/>
            </w:pPr>
            <w:r w:rsidRPr="000B315F">
              <w:t>Mercury-containing lamps including fluorescent lamps</w:t>
            </w:r>
          </w:p>
        </w:tc>
      </w:tr>
      <w:tr w:rsidR="00D14763" w:rsidRPr="00C36C8F" w:rsidTr="00BE69D2">
        <w:trPr>
          <w:cantSplit/>
        </w:trPr>
        <w:tc>
          <w:tcPr>
            <w:tcW w:w="7456" w:type="dxa"/>
          </w:tcPr>
          <w:p w:rsidR="00D14763" w:rsidRPr="000B315F" w:rsidRDefault="00D14763" w:rsidP="00691AE4">
            <w:pPr>
              <w:pStyle w:val="TableText"/>
              <w:keepNext/>
            </w:pPr>
            <w:r w:rsidRPr="000B315F">
              <w:t>Treated timber</w:t>
            </w:r>
          </w:p>
        </w:tc>
      </w:tr>
      <w:tr w:rsidR="00D14763" w:rsidRPr="00C36C8F" w:rsidTr="00BE69D2">
        <w:trPr>
          <w:cantSplit/>
        </w:trPr>
        <w:tc>
          <w:tcPr>
            <w:tcW w:w="7456" w:type="dxa"/>
          </w:tcPr>
          <w:p w:rsidR="00D14763" w:rsidRPr="000B315F" w:rsidRDefault="00D14763" w:rsidP="00691AE4">
            <w:pPr>
              <w:pStyle w:val="TableText"/>
              <w:keepNext/>
            </w:pPr>
            <w:r w:rsidRPr="000B315F">
              <w:t>Batteries</w:t>
            </w:r>
          </w:p>
        </w:tc>
      </w:tr>
      <w:tr w:rsidR="00D14763" w:rsidRPr="00C36C8F" w:rsidTr="00BE69D2">
        <w:trPr>
          <w:cantSplit/>
        </w:trPr>
        <w:tc>
          <w:tcPr>
            <w:tcW w:w="7456" w:type="dxa"/>
            <w:tcBorders>
              <w:bottom w:val="single" w:sz="4" w:space="0" w:color="808080"/>
            </w:tcBorders>
          </w:tcPr>
          <w:p w:rsidR="00D14763" w:rsidRPr="000B315F" w:rsidRDefault="00D14763" w:rsidP="00691AE4">
            <w:pPr>
              <w:pStyle w:val="TableText"/>
              <w:keepNext/>
            </w:pPr>
            <w:r w:rsidRPr="000B315F">
              <w:t>Plastic shopping bags</w:t>
            </w:r>
          </w:p>
        </w:tc>
      </w:tr>
      <w:tr w:rsidR="00D14763" w:rsidRPr="00C36C8F" w:rsidTr="00BE69D2">
        <w:trPr>
          <w:cantSplit/>
        </w:trPr>
        <w:tc>
          <w:tcPr>
            <w:tcW w:w="7456" w:type="dxa"/>
            <w:tcBorders>
              <w:top w:val="single" w:sz="4" w:space="0" w:color="808080"/>
              <w:bottom w:val="single" w:sz="4" w:space="0" w:color="808080"/>
            </w:tcBorders>
          </w:tcPr>
          <w:p w:rsidR="00D14763" w:rsidRPr="000B315F" w:rsidRDefault="00D14763" w:rsidP="00BE69D2">
            <w:pPr>
              <w:pStyle w:val="TableText"/>
            </w:pPr>
            <w:r w:rsidRPr="000B315F">
              <w:t>Motor vehicles</w:t>
            </w:r>
          </w:p>
        </w:tc>
      </w:tr>
    </w:tbl>
    <w:p w:rsidR="00982ACC" w:rsidRPr="00C36C8F" w:rsidRDefault="00982ACC" w:rsidP="00982ACC">
      <w:pPr>
        <w:pStyle w:val="ParaIndent"/>
        <w:jc w:val="both"/>
      </w:pPr>
    </w:p>
    <w:p w:rsidR="00D14763" w:rsidRPr="00C36C8F" w:rsidRDefault="00D14763" w:rsidP="00982ACC">
      <w:pPr>
        <w:pStyle w:val="ParaIndent"/>
        <w:jc w:val="both"/>
      </w:pPr>
      <w:r w:rsidRPr="00C36C8F">
        <w:t xml:space="preserve">The </w:t>
      </w:r>
      <w:r w:rsidR="005338E9" w:rsidRPr="00C36C8F">
        <w:rPr>
          <w:i/>
        </w:rPr>
        <w:t>Towards Zero Waste Strategy Progress Report for 2008–09</w:t>
      </w:r>
      <w:r w:rsidRPr="00C36C8F">
        <w:t xml:space="preserve"> (the fifth year mid-point of the ten year Strategy), reported the following achievements against the Strategy targets as outlined in </w:t>
      </w:r>
      <w:fldSimple w:instr=" REF _Ref283639499 \h  \* MERGEFORMAT ">
        <w:r w:rsidR="00AE7E3B" w:rsidRPr="00C36C8F">
          <w:t xml:space="preserve">Table </w:t>
        </w:r>
        <w:r w:rsidR="00AE7E3B">
          <w:rPr>
            <w:noProof/>
          </w:rPr>
          <w:t>6</w:t>
        </w:r>
        <w:r w:rsidR="00AE7E3B" w:rsidRPr="00C36C8F">
          <w:rPr>
            <w:noProof/>
          </w:rPr>
          <w:t>-</w:t>
        </w:r>
        <w:r w:rsidR="00AE7E3B">
          <w:rPr>
            <w:noProof/>
          </w:rPr>
          <w:t>54</w:t>
        </w:r>
      </w:fldSimple>
      <w:r w:rsidRPr="00C36C8F">
        <w:t>.</w:t>
      </w:r>
    </w:p>
    <w:p w:rsidR="00D14763" w:rsidRPr="00C36C8F" w:rsidRDefault="00D14763" w:rsidP="00D14763">
      <w:pPr>
        <w:pStyle w:val="Caption"/>
      </w:pPr>
      <w:bookmarkStart w:id="253" w:name="_Ref283639499"/>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54</w:t>
      </w:r>
      <w:r w:rsidR="00B9555F" w:rsidRPr="00C36C8F">
        <w:rPr>
          <w:noProof/>
        </w:rPr>
        <w:fldChar w:fldCharType="end"/>
      </w:r>
      <w:bookmarkEnd w:id="253"/>
      <w:r w:rsidRPr="00C36C8F">
        <w:tab/>
        <w:t>Progress on interim targets (2008–09) towards achieving projected targets for 2014</w:t>
      </w:r>
    </w:p>
    <w:tbl>
      <w:tblPr>
        <w:tblW w:w="8646" w:type="dxa"/>
        <w:tblInd w:w="1191" w:type="dxa"/>
        <w:tblBorders>
          <w:bottom w:val="single" w:sz="18" w:space="0" w:color="808080"/>
          <w:insideH w:val="single" w:sz="4" w:space="0" w:color="808080"/>
        </w:tblBorders>
        <w:tblLayout w:type="fixed"/>
        <w:tblCellMar>
          <w:left w:w="0" w:type="dxa"/>
          <w:right w:w="0" w:type="dxa"/>
        </w:tblCellMar>
        <w:tblLook w:val="0000"/>
      </w:tblPr>
      <w:tblGrid>
        <w:gridCol w:w="3685"/>
        <w:gridCol w:w="1701"/>
        <w:gridCol w:w="1559"/>
        <w:gridCol w:w="1701"/>
      </w:tblGrid>
      <w:tr w:rsidR="00D14763" w:rsidRPr="00C36C8F" w:rsidTr="00BE69D2">
        <w:trPr>
          <w:cantSplit/>
        </w:trPr>
        <w:tc>
          <w:tcPr>
            <w:tcW w:w="3685" w:type="dxa"/>
            <w:vMerge w:val="restart"/>
            <w:tcBorders>
              <w:top w:val="nil"/>
              <w:bottom w:val="single" w:sz="4" w:space="0" w:color="808080"/>
            </w:tcBorders>
            <w:shd w:val="clear" w:color="auto" w:fill="auto"/>
          </w:tcPr>
          <w:p w:rsidR="00D14763" w:rsidRPr="00C36C8F" w:rsidRDefault="00D14763" w:rsidP="00BE69D2">
            <w:pPr>
              <w:pStyle w:val="TableHeading"/>
              <w:rPr>
                <w:szCs w:val="18"/>
              </w:rPr>
            </w:pPr>
            <w:r w:rsidRPr="00C36C8F">
              <w:rPr>
                <w:szCs w:val="18"/>
              </w:rPr>
              <w:t>2014 Targets</w:t>
            </w:r>
          </w:p>
        </w:tc>
        <w:tc>
          <w:tcPr>
            <w:tcW w:w="4961" w:type="dxa"/>
            <w:gridSpan w:val="3"/>
            <w:tcBorders>
              <w:top w:val="nil"/>
              <w:bottom w:val="single" w:sz="4" w:space="0" w:color="808080"/>
            </w:tcBorders>
            <w:shd w:val="clear" w:color="auto" w:fill="auto"/>
          </w:tcPr>
          <w:p w:rsidR="00D14763" w:rsidRPr="00C36C8F" w:rsidRDefault="00D14763" w:rsidP="00BE69D2">
            <w:pPr>
              <w:pStyle w:val="TableHeading"/>
              <w:jc w:val="center"/>
              <w:rPr>
                <w:szCs w:val="18"/>
              </w:rPr>
            </w:pPr>
            <w:r w:rsidRPr="00C36C8F">
              <w:rPr>
                <w:szCs w:val="18"/>
              </w:rPr>
              <w:t>2008–09</w:t>
            </w:r>
          </w:p>
        </w:tc>
      </w:tr>
      <w:tr w:rsidR="00D14763" w:rsidRPr="00C36C8F" w:rsidTr="00BE69D2">
        <w:trPr>
          <w:cantSplit/>
        </w:trPr>
        <w:tc>
          <w:tcPr>
            <w:tcW w:w="3685" w:type="dxa"/>
            <w:vMerge/>
            <w:tcBorders>
              <w:top w:val="single" w:sz="4" w:space="0" w:color="808080"/>
              <w:bottom w:val="single" w:sz="4" w:space="0" w:color="808080"/>
            </w:tcBorders>
            <w:shd w:val="clear" w:color="auto" w:fill="auto"/>
          </w:tcPr>
          <w:p w:rsidR="00D14763" w:rsidRPr="00C36C8F" w:rsidRDefault="00D14763" w:rsidP="00BE69D2">
            <w:pPr>
              <w:pStyle w:val="TableText"/>
              <w:keepNext/>
              <w:rPr>
                <w:b/>
                <w:szCs w:val="18"/>
              </w:rPr>
            </w:pPr>
          </w:p>
        </w:tc>
        <w:tc>
          <w:tcPr>
            <w:tcW w:w="1701" w:type="dxa"/>
            <w:tcBorders>
              <w:top w:val="single" w:sz="4" w:space="0" w:color="808080"/>
              <w:bottom w:val="single" w:sz="4" w:space="0" w:color="808080"/>
            </w:tcBorders>
            <w:shd w:val="clear" w:color="auto" w:fill="auto"/>
          </w:tcPr>
          <w:p w:rsidR="00D14763" w:rsidRPr="00C36C8F" w:rsidRDefault="00D14763" w:rsidP="00BE69D2">
            <w:pPr>
              <w:pStyle w:val="TableHeading"/>
              <w:jc w:val="center"/>
              <w:rPr>
                <w:szCs w:val="18"/>
              </w:rPr>
            </w:pPr>
            <w:r w:rsidRPr="00C36C8F">
              <w:rPr>
                <w:szCs w:val="18"/>
              </w:rPr>
              <w:t>Projected target</w:t>
            </w:r>
          </w:p>
        </w:tc>
        <w:tc>
          <w:tcPr>
            <w:tcW w:w="1559" w:type="dxa"/>
            <w:tcBorders>
              <w:top w:val="single" w:sz="4" w:space="0" w:color="808080"/>
              <w:bottom w:val="single" w:sz="4" w:space="0" w:color="808080"/>
            </w:tcBorders>
            <w:shd w:val="clear" w:color="auto" w:fill="auto"/>
          </w:tcPr>
          <w:p w:rsidR="00D14763" w:rsidRPr="00C36C8F" w:rsidRDefault="00D14763" w:rsidP="00BE69D2">
            <w:pPr>
              <w:pStyle w:val="TableHeading"/>
              <w:jc w:val="center"/>
              <w:rPr>
                <w:szCs w:val="18"/>
              </w:rPr>
            </w:pPr>
            <w:r w:rsidRPr="00C36C8F">
              <w:rPr>
                <w:szCs w:val="18"/>
              </w:rPr>
              <w:t>Interim target</w:t>
            </w:r>
          </w:p>
        </w:tc>
        <w:tc>
          <w:tcPr>
            <w:tcW w:w="1701" w:type="dxa"/>
            <w:tcBorders>
              <w:top w:val="single" w:sz="4" w:space="0" w:color="808080"/>
              <w:bottom w:val="single" w:sz="4" w:space="0" w:color="808080"/>
            </w:tcBorders>
            <w:shd w:val="clear" w:color="auto" w:fill="auto"/>
          </w:tcPr>
          <w:p w:rsidR="00D14763" w:rsidRPr="00C36C8F" w:rsidRDefault="00D14763" w:rsidP="00BE69D2">
            <w:pPr>
              <w:pStyle w:val="TableHeading"/>
              <w:jc w:val="center"/>
              <w:rPr>
                <w:szCs w:val="18"/>
              </w:rPr>
            </w:pPr>
            <w:r w:rsidRPr="00C36C8F">
              <w:rPr>
                <w:szCs w:val="18"/>
              </w:rPr>
              <w:t>Actual target</w:t>
            </w:r>
          </w:p>
        </w:tc>
      </w:tr>
      <w:tr w:rsidR="00D14763" w:rsidRPr="00C36C8F" w:rsidTr="00BE69D2">
        <w:trPr>
          <w:cantSplit/>
        </w:trPr>
        <w:tc>
          <w:tcPr>
            <w:tcW w:w="3685" w:type="dxa"/>
            <w:tcBorders>
              <w:top w:val="single" w:sz="4" w:space="0" w:color="808080"/>
              <w:bottom w:val="single" w:sz="4" w:space="0" w:color="808080"/>
            </w:tcBorders>
          </w:tcPr>
          <w:p w:rsidR="00D14763" w:rsidRPr="00C36C8F" w:rsidRDefault="00D14763" w:rsidP="00BE69D2">
            <w:pPr>
              <w:pStyle w:val="TableText"/>
              <w:keepNext/>
              <w:rPr>
                <w:b/>
                <w:szCs w:val="18"/>
              </w:rPr>
            </w:pPr>
            <w:r w:rsidRPr="00C36C8F">
              <w:rPr>
                <w:rFonts w:cs="Arial"/>
                <w:szCs w:val="18"/>
                <w:lang w:eastAsia="en-AU"/>
              </w:rPr>
              <w:t>1.5 million tonne reduction in solid waste generated (reported as total solid waste generated)</w:t>
            </w:r>
          </w:p>
        </w:tc>
        <w:tc>
          <w:tcPr>
            <w:tcW w:w="1701" w:type="dxa"/>
            <w:tcBorders>
              <w:top w:val="single" w:sz="4" w:space="0" w:color="808080"/>
              <w:bottom w:val="single" w:sz="4" w:space="0" w:color="808080"/>
            </w:tcBorders>
            <w:vAlign w:val="center"/>
          </w:tcPr>
          <w:p w:rsidR="00D14763" w:rsidRPr="00C36C8F" w:rsidRDefault="00D14763" w:rsidP="00BE69D2">
            <w:pPr>
              <w:pStyle w:val="TableText"/>
              <w:keepNext/>
              <w:jc w:val="center"/>
              <w:rPr>
                <w:szCs w:val="18"/>
              </w:rPr>
            </w:pPr>
            <w:r w:rsidRPr="00C36C8F">
              <w:rPr>
                <w:szCs w:val="18"/>
              </w:rPr>
              <w:t>10 million tonnes generated</w:t>
            </w:r>
          </w:p>
        </w:tc>
        <w:tc>
          <w:tcPr>
            <w:tcW w:w="1559" w:type="dxa"/>
            <w:tcBorders>
              <w:top w:val="single" w:sz="4" w:space="0" w:color="808080"/>
              <w:bottom w:val="single" w:sz="4" w:space="0" w:color="808080"/>
            </w:tcBorders>
            <w:vAlign w:val="center"/>
          </w:tcPr>
          <w:p w:rsidR="00D14763" w:rsidRPr="00C36C8F" w:rsidRDefault="00D14763" w:rsidP="00BE69D2">
            <w:pPr>
              <w:pStyle w:val="TableText"/>
              <w:keepNext/>
              <w:jc w:val="center"/>
              <w:rPr>
                <w:szCs w:val="18"/>
              </w:rPr>
            </w:pPr>
          </w:p>
        </w:tc>
        <w:tc>
          <w:tcPr>
            <w:tcW w:w="1701" w:type="dxa"/>
            <w:tcBorders>
              <w:top w:val="single" w:sz="4" w:space="0" w:color="808080"/>
              <w:bottom w:val="single" w:sz="4" w:space="0" w:color="808080"/>
            </w:tcBorders>
            <w:vAlign w:val="center"/>
          </w:tcPr>
          <w:p w:rsidR="00D14763" w:rsidRPr="00C36C8F" w:rsidRDefault="00D14763" w:rsidP="00BE69D2">
            <w:pPr>
              <w:pStyle w:val="TableText"/>
              <w:keepNext/>
              <w:jc w:val="center"/>
              <w:rPr>
                <w:szCs w:val="18"/>
              </w:rPr>
            </w:pPr>
            <w:r w:rsidRPr="00C36C8F">
              <w:rPr>
                <w:szCs w:val="18"/>
              </w:rPr>
              <w:t>10.3 million tonnes generated</w:t>
            </w:r>
          </w:p>
        </w:tc>
      </w:tr>
      <w:tr w:rsidR="00D14763" w:rsidRPr="00C36C8F" w:rsidTr="00BE69D2">
        <w:trPr>
          <w:cantSplit/>
        </w:trPr>
        <w:tc>
          <w:tcPr>
            <w:tcW w:w="3685" w:type="dxa"/>
            <w:tcBorders>
              <w:top w:val="single" w:sz="4" w:space="0" w:color="808080"/>
            </w:tcBorders>
          </w:tcPr>
          <w:p w:rsidR="00D14763" w:rsidRPr="00C36C8F" w:rsidRDefault="00D14763" w:rsidP="00BE69D2">
            <w:pPr>
              <w:pStyle w:val="TableText"/>
              <w:keepNext/>
              <w:rPr>
                <w:b/>
                <w:szCs w:val="18"/>
              </w:rPr>
            </w:pPr>
            <w:r w:rsidRPr="00C36C8F">
              <w:rPr>
                <w:rFonts w:cs="Arial"/>
                <w:szCs w:val="18"/>
                <w:lang w:eastAsia="en-AU"/>
              </w:rPr>
              <w:t>75% by weight of solid waste recovered for re</w:t>
            </w:r>
            <w:r w:rsidR="000A1612" w:rsidRPr="00C36C8F">
              <w:rPr>
                <w:rFonts w:cs="Arial"/>
                <w:szCs w:val="18"/>
                <w:lang w:eastAsia="en-AU"/>
              </w:rPr>
              <w:t>-</w:t>
            </w:r>
            <w:r w:rsidRPr="00C36C8F">
              <w:rPr>
                <w:rFonts w:cs="Arial"/>
                <w:szCs w:val="18"/>
                <w:lang w:eastAsia="en-AU"/>
              </w:rPr>
              <w:t>use, recycling and/or energy generation</w:t>
            </w:r>
          </w:p>
        </w:tc>
        <w:tc>
          <w:tcPr>
            <w:tcW w:w="1701" w:type="dxa"/>
            <w:tcBorders>
              <w:top w:val="single" w:sz="4" w:space="0" w:color="808080"/>
            </w:tcBorders>
            <w:vAlign w:val="center"/>
          </w:tcPr>
          <w:p w:rsidR="00D14763" w:rsidRPr="00C36C8F" w:rsidRDefault="00D14763" w:rsidP="00BE69D2">
            <w:pPr>
              <w:pStyle w:val="TableText"/>
              <w:keepNext/>
              <w:jc w:val="center"/>
              <w:rPr>
                <w:szCs w:val="18"/>
              </w:rPr>
            </w:pPr>
          </w:p>
        </w:tc>
        <w:tc>
          <w:tcPr>
            <w:tcW w:w="1559" w:type="dxa"/>
            <w:tcBorders>
              <w:top w:val="single" w:sz="4" w:space="0" w:color="808080"/>
            </w:tcBorders>
            <w:vAlign w:val="center"/>
          </w:tcPr>
          <w:p w:rsidR="00D14763" w:rsidRPr="00C36C8F" w:rsidRDefault="00D14763" w:rsidP="00BE69D2">
            <w:pPr>
              <w:pStyle w:val="TableText"/>
              <w:keepNext/>
              <w:jc w:val="center"/>
              <w:rPr>
                <w:szCs w:val="18"/>
              </w:rPr>
            </w:pPr>
            <w:r w:rsidRPr="00C36C8F">
              <w:rPr>
                <w:szCs w:val="18"/>
              </w:rPr>
              <w:t>60%</w:t>
            </w:r>
          </w:p>
        </w:tc>
        <w:tc>
          <w:tcPr>
            <w:tcW w:w="1701" w:type="dxa"/>
            <w:tcBorders>
              <w:top w:val="single" w:sz="4" w:space="0" w:color="808080"/>
            </w:tcBorders>
            <w:vAlign w:val="center"/>
          </w:tcPr>
          <w:p w:rsidR="00D14763" w:rsidRPr="00C36C8F" w:rsidRDefault="00D14763" w:rsidP="00BE69D2">
            <w:pPr>
              <w:pStyle w:val="TableText"/>
              <w:keepNext/>
              <w:jc w:val="center"/>
              <w:rPr>
                <w:szCs w:val="18"/>
              </w:rPr>
            </w:pPr>
            <w:r w:rsidRPr="00C36C8F">
              <w:rPr>
                <w:szCs w:val="18"/>
              </w:rPr>
              <w:t>64%</w:t>
            </w:r>
          </w:p>
        </w:tc>
      </w:tr>
      <w:tr w:rsidR="00D14763" w:rsidRPr="00C36C8F" w:rsidTr="00BE69D2">
        <w:trPr>
          <w:cantSplit/>
        </w:trPr>
        <w:tc>
          <w:tcPr>
            <w:tcW w:w="3685" w:type="dxa"/>
            <w:tcBorders>
              <w:bottom w:val="single" w:sz="4" w:space="0" w:color="808080"/>
            </w:tcBorders>
          </w:tcPr>
          <w:p w:rsidR="00D14763" w:rsidRPr="00C36C8F" w:rsidRDefault="00D14763" w:rsidP="00BE69D2">
            <w:pPr>
              <w:pStyle w:val="TableText"/>
              <w:keepNext/>
              <w:spacing w:after="0"/>
              <w:rPr>
                <w:rFonts w:cs="Arial"/>
                <w:szCs w:val="18"/>
                <w:lang w:eastAsia="en-AU"/>
              </w:rPr>
            </w:pPr>
            <w:r w:rsidRPr="00C36C8F">
              <w:rPr>
                <w:rFonts w:cs="Arial"/>
                <w:szCs w:val="18"/>
                <w:lang w:eastAsia="en-AU"/>
              </w:rPr>
              <w:t>Sectoral recovery rates achieved:</w:t>
            </w:r>
          </w:p>
          <w:p w:rsidR="00D14763" w:rsidRPr="00C36C8F" w:rsidRDefault="00D14763" w:rsidP="00BE69D2">
            <w:pPr>
              <w:pStyle w:val="TableText"/>
              <w:keepNext/>
              <w:spacing w:after="0"/>
              <w:rPr>
                <w:rFonts w:cs="Arial"/>
                <w:szCs w:val="18"/>
                <w:lang w:eastAsia="en-AU"/>
              </w:rPr>
            </w:pPr>
            <w:r w:rsidRPr="00C36C8F">
              <w:rPr>
                <w:rFonts w:cs="Arial"/>
                <w:szCs w:val="18"/>
                <w:lang w:eastAsia="en-AU"/>
              </w:rPr>
              <w:t>• Municipal solid waste (65%)</w:t>
            </w:r>
          </w:p>
          <w:p w:rsidR="00D14763" w:rsidRPr="00C36C8F" w:rsidRDefault="00D14763" w:rsidP="00BE69D2">
            <w:pPr>
              <w:pStyle w:val="TableText"/>
              <w:keepNext/>
              <w:spacing w:after="0"/>
              <w:rPr>
                <w:rFonts w:cs="Arial"/>
                <w:szCs w:val="18"/>
                <w:lang w:eastAsia="en-AU"/>
              </w:rPr>
            </w:pPr>
            <w:r w:rsidRPr="00C36C8F">
              <w:rPr>
                <w:rFonts w:cs="Arial"/>
                <w:szCs w:val="18"/>
                <w:lang w:eastAsia="en-AU"/>
              </w:rPr>
              <w:t>• Commercial &amp; industrial waste (80%)</w:t>
            </w:r>
          </w:p>
          <w:p w:rsidR="00D14763" w:rsidRPr="00C36C8F" w:rsidRDefault="00D14763" w:rsidP="00BE69D2">
            <w:pPr>
              <w:pStyle w:val="TableText"/>
              <w:keepNext/>
              <w:rPr>
                <w:b/>
                <w:szCs w:val="18"/>
              </w:rPr>
            </w:pPr>
            <w:r w:rsidRPr="00C36C8F">
              <w:rPr>
                <w:rFonts w:cs="Arial"/>
                <w:szCs w:val="18"/>
                <w:lang w:eastAsia="en-AU"/>
              </w:rPr>
              <w:t>• Construction &amp; demolition waste (80%)</w:t>
            </w:r>
          </w:p>
        </w:tc>
        <w:tc>
          <w:tcPr>
            <w:tcW w:w="1701" w:type="dxa"/>
            <w:tcBorders>
              <w:bottom w:val="single" w:sz="4" w:space="0" w:color="808080"/>
            </w:tcBorders>
            <w:vAlign w:val="center"/>
          </w:tcPr>
          <w:p w:rsidR="00D14763" w:rsidRPr="00C36C8F" w:rsidRDefault="00D14763" w:rsidP="00BE69D2">
            <w:pPr>
              <w:pStyle w:val="TableText"/>
              <w:keepNext/>
              <w:jc w:val="center"/>
              <w:rPr>
                <w:szCs w:val="18"/>
              </w:rPr>
            </w:pPr>
          </w:p>
        </w:tc>
        <w:tc>
          <w:tcPr>
            <w:tcW w:w="1559" w:type="dxa"/>
            <w:tcBorders>
              <w:bottom w:val="single" w:sz="4" w:space="0" w:color="808080"/>
            </w:tcBorders>
            <w:vAlign w:val="center"/>
          </w:tcPr>
          <w:p w:rsidR="00D14763" w:rsidRPr="00C36C8F" w:rsidRDefault="00D14763" w:rsidP="00BE69D2">
            <w:pPr>
              <w:pStyle w:val="TableText"/>
              <w:keepNext/>
              <w:jc w:val="center"/>
              <w:rPr>
                <w:szCs w:val="18"/>
              </w:rPr>
            </w:pPr>
          </w:p>
          <w:p w:rsidR="00D14763" w:rsidRPr="00C36C8F" w:rsidRDefault="00D14763" w:rsidP="00BE69D2">
            <w:pPr>
              <w:pStyle w:val="TableText"/>
              <w:keepNext/>
              <w:jc w:val="center"/>
              <w:rPr>
                <w:szCs w:val="18"/>
              </w:rPr>
            </w:pPr>
            <w:r w:rsidRPr="00C36C8F">
              <w:rPr>
                <w:szCs w:val="18"/>
              </w:rPr>
              <w:t>45%</w:t>
            </w:r>
          </w:p>
          <w:p w:rsidR="00D14763" w:rsidRPr="00C36C8F" w:rsidRDefault="00D14763" w:rsidP="00BE69D2">
            <w:pPr>
              <w:pStyle w:val="TableText"/>
              <w:keepNext/>
              <w:jc w:val="center"/>
              <w:rPr>
                <w:szCs w:val="18"/>
              </w:rPr>
            </w:pPr>
            <w:r w:rsidRPr="00C36C8F">
              <w:rPr>
                <w:szCs w:val="18"/>
              </w:rPr>
              <w:t>65%</w:t>
            </w:r>
          </w:p>
          <w:p w:rsidR="00D14763" w:rsidRPr="00C36C8F" w:rsidRDefault="00D14763" w:rsidP="00BE69D2">
            <w:pPr>
              <w:pStyle w:val="TableText"/>
              <w:keepNext/>
              <w:jc w:val="center"/>
              <w:rPr>
                <w:szCs w:val="18"/>
              </w:rPr>
            </w:pPr>
            <w:r w:rsidRPr="00C36C8F">
              <w:rPr>
                <w:szCs w:val="18"/>
              </w:rPr>
              <w:t>65%</w:t>
            </w:r>
          </w:p>
        </w:tc>
        <w:tc>
          <w:tcPr>
            <w:tcW w:w="1701" w:type="dxa"/>
            <w:tcBorders>
              <w:bottom w:val="single" w:sz="4" w:space="0" w:color="808080"/>
            </w:tcBorders>
            <w:vAlign w:val="center"/>
          </w:tcPr>
          <w:p w:rsidR="00D14763" w:rsidRPr="00C36C8F" w:rsidRDefault="00D14763" w:rsidP="00BE69D2">
            <w:pPr>
              <w:pStyle w:val="TableText"/>
              <w:keepNext/>
              <w:jc w:val="center"/>
              <w:rPr>
                <w:szCs w:val="18"/>
              </w:rPr>
            </w:pPr>
          </w:p>
          <w:p w:rsidR="00D14763" w:rsidRPr="00C36C8F" w:rsidRDefault="00D14763" w:rsidP="00BE69D2">
            <w:pPr>
              <w:pStyle w:val="TableText"/>
              <w:keepNext/>
              <w:jc w:val="center"/>
              <w:rPr>
                <w:szCs w:val="18"/>
              </w:rPr>
            </w:pPr>
            <w:r w:rsidRPr="00C36C8F">
              <w:rPr>
                <w:szCs w:val="18"/>
              </w:rPr>
              <w:t>43%</w:t>
            </w:r>
          </w:p>
          <w:p w:rsidR="00D14763" w:rsidRPr="00C36C8F" w:rsidRDefault="00D14763" w:rsidP="00BE69D2">
            <w:pPr>
              <w:pStyle w:val="TableText"/>
              <w:keepNext/>
              <w:jc w:val="center"/>
              <w:rPr>
                <w:szCs w:val="18"/>
              </w:rPr>
            </w:pPr>
            <w:r w:rsidRPr="00C36C8F">
              <w:rPr>
                <w:szCs w:val="18"/>
              </w:rPr>
              <w:t>71%</w:t>
            </w:r>
          </w:p>
          <w:p w:rsidR="00D14763" w:rsidRPr="00C36C8F" w:rsidRDefault="00D14763" w:rsidP="00BE69D2">
            <w:pPr>
              <w:pStyle w:val="TableText"/>
              <w:keepNext/>
              <w:jc w:val="center"/>
              <w:rPr>
                <w:szCs w:val="18"/>
              </w:rPr>
            </w:pPr>
            <w:r w:rsidRPr="00C36C8F">
              <w:rPr>
                <w:szCs w:val="18"/>
              </w:rPr>
              <w:t>71%</w:t>
            </w:r>
          </w:p>
        </w:tc>
      </w:tr>
      <w:tr w:rsidR="00D14763" w:rsidRPr="00C36C8F" w:rsidTr="00BE69D2">
        <w:trPr>
          <w:cantSplit/>
        </w:trPr>
        <w:tc>
          <w:tcPr>
            <w:tcW w:w="3685" w:type="dxa"/>
            <w:tcBorders>
              <w:top w:val="single" w:sz="4" w:space="0" w:color="808080"/>
              <w:bottom w:val="single" w:sz="4" w:space="0" w:color="808080" w:themeColor="background1" w:themeShade="80"/>
            </w:tcBorders>
          </w:tcPr>
          <w:p w:rsidR="00D14763" w:rsidRPr="00C36C8F" w:rsidRDefault="00D14763" w:rsidP="00BE69D2">
            <w:pPr>
              <w:pStyle w:val="TableText"/>
              <w:rPr>
                <w:b/>
                <w:szCs w:val="18"/>
              </w:rPr>
            </w:pPr>
            <w:r w:rsidRPr="00C36C8F">
              <w:rPr>
                <w:rFonts w:cs="Arial"/>
                <w:szCs w:val="18"/>
                <w:lang w:eastAsia="en-AU"/>
              </w:rPr>
              <w:t>A 25% improvement in littering behaviour from 2003 levels</w:t>
            </w:r>
          </w:p>
        </w:tc>
        <w:tc>
          <w:tcPr>
            <w:tcW w:w="1701" w:type="dxa"/>
            <w:tcBorders>
              <w:top w:val="single" w:sz="4" w:space="0" w:color="808080"/>
              <w:bottom w:val="single" w:sz="4" w:space="0" w:color="808080" w:themeColor="background1" w:themeShade="80"/>
            </w:tcBorders>
            <w:vAlign w:val="center"/>
          </w:tcPr>
          <w:p w:rsidR="00D14763" w:rsidRPr="00C36C8F" w:rsidRDefault="00D14763" w:rsidP="00BE69D2">
            <w:pPr>
              <w:pStyle w:val="TableText"/>
              <w:jc w:val="center"/>
              <w:rPr>
                <w:szCs w:val="18"/>
              </w:rPr>
            </w:pPr>
            <w:r w:rsidRPr="00C36C8F">
              <w:rPr>
                <w:szCs w:val="18"/>
              </w:rPr>
              <w:t>13.6%</w:t>
            </w:r>
          </w:p>
        </w:tc>
        <w:tc>
          <w:tcPr>
            <w:tcW w:w="1559" w:type="dxa"/>
            <w:tcBorders>
              <w:top w:val="single" w:sz="4" w:space="0" w:color="808080"/>
              <w:bottom w:val="single" w:sz="4" w:space="0" w:color="808080" w:themeColor="background1" w:themeShade="80"/>
            </w:tcBorders>
            <w:vAlign w:val="center"/>
          </w:tcPr>
          <w:p w:rsidR="00D14763" w:rsidRPr="00C36C8F" w:rsidRDefault="00D14763" w:rsidP="00BE69D2">
            <w:pPr>
              <w:pStyle w:val="TableText"/>
              <w:jc w:val="center"/>
              <w:rPr>
                <w:szCs w:val="18"/>
              </w:rPr>
            </w:pPr>
          </w:p>
        </w:tc>
        <w:tc>
          <w:tcPr>
            <w:tcW w:w="1701" w:type="dxa"/>
            <w:tcBorders>
              <w:top w:val="single" w:sz="4" w:space="0" w:color="808080"/>
              <w:bottom w:val="single" w:sz="4" w:space="0" w:color="808080" w:themeColor="background1" w:themeShade="80"/>
            </w:tcBorders>
            <w:vAlign w:val="center"/>
          </w:tcPr>
          <w:p w:rsidR="00D14763" w:rsidRPr="00C36C8F" w:rsidRDefault="00D14763" w:rsidP="00BE69D2">
            <w:pPr>
              <w:pStyle w:val="TableText"/>
              <w:jc w:val="center"/>
              <w:rPr>
                <w:szCs w:val="18"/>
              </w:rPr>
            </w:pPr>
            <w:r w:rsidRPr="00C36C8F">
              <w:rPr>
                <w:szCs w:val="18"/>
              </w:rPr>
              <w:t>17.2%</w:t>
            </w:r>
          </w:p>
        </w:tc>
      </w:tr>
    </w:tbl>
    <w:p w:rsidR="00982ACC" w:rsidRPr="00C36C8F" w:rsidRDefault="00982ACC" w:rsidP="00982ACC">
      <w:pPr>
        <w:pStyle w:val="Heading40"/>
        <w:spacing w:before="120"/>
        <w:jc w:val="both"/>
      </w:pPr>
    </w:p>
    <w:p w:rsidR="00982ACC" w:rsidRPr="00C36C8F" w:rsidRDefault="00982ACC">
      <w:pPr>
        <w:spacing w:after="0" w:line="240" w:lineRule="auto"/>
        <w:ind w:left="0"/>
        <w:rPr>
          <w:rFonts w:cs="Arial"/>
          <w:b/>
          <w:color w:val="495F70"/>
        </w:rPr>
      </w:pPr>
      <w:r w:rsidRPr="00C36C8F">
        <w:br w:type="page"/>
      </w:r>
    </w:p>
    <w:p w:rsidR="00D14763" w:rsidRPr="00C36C8F" w:rsidRDefault="00D14763" w:rsidP="00982ACC">
      <w:pPr>
        <w:pStyle w:val="Heading40"/>
        <w:spacing w:before="120"/>
        <w:jc w:val="both"/>
      </w:pPr>
      <w:r w:rsidRPr="00C36C8F">
        <w:t>Landfill levy</w:t>
      </w:r>
    </w:p>
    <w:p w:rsidR="00D14763" w:rsidRPr="00C36C8F" w:rsidRDefault="00D14763" w:rsidP="00982ACC">
      <w:pPr>
        <w:pStyle w:val="ParaIndent"/>
        <w:jc w:val="both"/>
      </w:pPr>
      <w:r w:rsidRPr="00C36C8F">
        <w:t>A levy on waste sent to landfill was introduced in metropolitan Melbourne in the early 1990s and later expanded to all other areas of Victoria. The levy provides a financial incentive for diversion of waste from landfill.</w:t>
      </w:r>
    </w:p>
    <w:p w:rsidR="00D14763" w:rsidRPr="00C36C8F" w:rsidRDefault="00D14763" w:rsidP="00982ACC">
      <w:pPr>
        <w:pStyle w:val="ParaIndent"/>
        <w:jc w:val="both"/>
      </w:pPr>
      <w:r w:rsidRPr="00C36C8F">
        <w:t xml:space="preserve">Funds collected through the landfill levy are distributed as required by the </w:t>
      </w:r>
      <w:r w:rsidR="005338E9" w:rsidRPr="00C36C8F">
        <w:rPr>
          <w:i/>
        </w:rPr>
        <w:t>Environment Protection (Distribution of Landfill Levy) Regulations 2002</w:t>
      </w:r>
      <w:r w:rsidRPr="00C36C8F">
        <w:t xml:space="preserve">. On this basis, Victorian landfill levy monies are reinvested to facilitate environmental protection, foster environmentally sustainable resource use, and best practice in waste management. </w:t>
      </w:r>
    </w:p>
    <w:p w:rsidR="00D14763" w:rsidRPr="00C36C8F" w:rsidRDefault="00D14763" w:rsidP="00982ACC">
      <w:pPr>
        <w:pStyle w:val="ParaIndent"/>
        <w:jc w:val="both"/>
      </w:pPr>
      <w:r w:rsidRPr="00C36C8F">
        <w:t>This includes levy monies funding defined activities of the Metropolitan Waste Management Group (MWMG), regional waste management groups (RWMGs), Sustainability Victoria (SV) and EPA Victoria. Program funding through these agencies supports waste management and recovery infrastructure, industry waste reduction programs, education, regulatory controls and enforcement. Levy funds are also allocated through the State Government managed Sustainability Fund, under the directive of the Treasurer and Minister responsible for the Environment portfolio.</w:t>
      </w:r>
    </w:p>
    <w:p w:rsidR="00D14763" w:rsidRPr="00C36C8F" w:rsidRDefault="00D14763" w:rsidP="00982ACC">
      <w:pPr>
        <w:pStyle w:val="ParaIndent"/>
        <w:jc w:val="both"/>
      </w:pPr>
      <w:r w:rsidRPr="00C36C8F">
        <w:t xml:space="preserve">The landfill levy payable per tonne of solid municipal and industrial waste since July 2001 is outlined in </w:t>
      </w:r>
      <w:fldSimple w:instr=" REF _Ref283639650 \h  \* MERGEFORMAT ">
        <w:r w:rsidR="00AE7E3B" w:rsidRPr="00C36C8F">
          <w:t xml:space="preserve">Table </w:t>
        </w:r>
        <w:r w:rsidR="00AE7E3B">
          <w:rPr>
            <w:noProof/>
          </w:rPr>
          <w:t>6</w:t>
        </w:r>
        <w:r w:rsidR="00AE7E3B" w:rsidRPr="00C36C8F">
          <w:rPr>
            <w:noProof/>
          </w:rPr>
          <w:t>-</w:t>
        </w:r>
        <w:r w:rsidR="00AE7E3B">
          <w:rPr>
            <w:noProof/>
          </w:rPr>
          <w:t>55</w:t>
        </w:r>
      </w:fldSimple>
      <w:r w:rsidRPr="00C36C8F">
        <w:t xml:space="preserve">. </w:t>
      </w:r>
    </w:p>
    <w:p w:rsidR="00D14763" w:rsidRPr="00C36C8F" w:rsidRDefault="00D14763" w:rsidP="00D14763">
      <w:pPr>
        <w:pStyle w:val="Caption"/>
      </w:pPr>
      <w:bookmarkStart w:id="254" w:name="_Ref283639650"/>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55</w:t>
      </w:r>
      <w:r w:rsidR="00B9555F" w:rsidRPr="00C36C8F">
        <w:rPr>
          <w:noProof/>
        </w:rPr>
        <w:fldChar w:fldCharType="end"/>
      </w:r>
      <w:bookmarkEnd w:id="254"/>
      <w:r w:rsidRPr="00C36C8F">
        <w:tab/>
        <w:t>Amount payable under the landfill levy per tonne of solid waste disposed</w:t>
      </w:r>
    </w:p>
    <w:tbl>
      <w:tblPr>
        <w:tblW w:w="4329" w:type="pct"/>
        <w:tblInd w:w="1156" w:type="dxa"/>
        <w:tblBorders>
          <w:bottom w:val="single" w:sz="18" w:space="0" w:color="808080"/>
          <w:insideH w:val="single" w:sz="4" w:space="0" w:color="808080"/>
        </w:tblBorders>
        <w:tblLayout w:type="fixed"/>
        <w:tblCellMar>
          <w:left w:w="0" w:type="dxa"/>
          <w:right w:w="0" w:type="dxa"/>
        </w:tblCellMar>
        <w:tblLook w:val="0000"/>
      </w:tblPr>
      <w:tblGrid>
        <w:gridCol w:w="1433"/>
        <w:gridCol w:w="1681"/>
        <w:gridCol w:w="1823"/>
        <w:gridCol w:w="1681"/>
        <w:gridCol w:w="1727"/>
      </w:tblGrid>
      <w:tr w:rsidR="00D14763" w:rsidRPr="00C36C8F" w:rsidTr="00BE69D2">
        <w:trPr>
          <w:trHeight w:val="340"/>
        </w:trPr>
        <w:tc>
          <w:tcPr>
            <w:tcW w:w="859" w:type="pct"/>
            <w:vMerge w:val="restart"/>
            <w:shd w:val="clear" w:color="auto" w:fill="auto"/>
            <w:vAlign w:val="bottom"/>
          </w:tcPr>
          <w:p w:rsidR="00D14763" w:rsidRPr="00C36C8F" w:rsidRDefault="00D14763" w:rsidP="00BE69D2">
            <w:pPr>
              <w:pStyle w:val="TableHeading"/>
              <w:rPr>
                <w:szCs w:val="18"/>
              </w:rPr>
            </w:pPr>
            <w:r w:rsidRPr="00C36C8F">
              <w:rPr>
                <w:szCs w:val="18"/>
              </w:rPr>
              <w:t>Financial year</w:t>
            </w:r>
          </w:p>
          <w:p w:rsidR="00D14763" w:rsidRPr="00C36C8F" w:rsidRDefault="00D14763" w:rsidP="00BE69D2">
            <w:pPr>
              <w:pStyle w:val="TableHeading"/>
              <w:rPr>
                <w:szCs w:val="18"/>
              </w:rPr>
            </w:pPr>
          </w:p>
        </w:tc>
        <w:tc>
          <w:tcPr>
            <w:tcW w:w="4141" w:type="pct"/>
            <w:gridSpan w:val="4"/>
            <w:shd w:val="clear" w:color="auto" w:fill="auto"/>
          </w:tcPr>
          <w:p w:rsidR="00D14763" w:rsidRPr="00C36C8F" w:rsidRDefault="00D14763" w:rsidP="00BE69D2">
            <w:pPr>
              <w:pStyle w:val="TableHeading"/>
              <w:jc w:val="center"/>
              <w:rPr>
                <w:szCs w:val="18"/>
              </w:rPr>
            </w:pPr>
            <w:r w:rsidRPr="00C36C8F">
              <w:rPr>
                <w:iCs/>
                <w:szCs w:val="18"/>
              </w:rPr>
              <w:t>Amount payable (per tonne)</w:t>
            </w:r>
          </w:p>
        </w:tc>
      </w:tr>
      <w:tr w:rsidR="00D14763" w:rsidRPr="00C36C8F" w:rsidTr="00BE69D2">
        <w:trPr>
          <w:trHeight w:val="340"/>
        </w:trPr>
        <w:tc>
          <w:tcPr>
            <w:tcW w:w="859" w:type="pct"/>
            <w:vMerge/>
            <w:shd w:val="clear" w:color="auto" w:fill="auto"/>
          </w:tcPr>
          <w:p w:rsidR="00D14763" w:rsidRPr="00C36C8F" w:rsidRDefault="00D14763" w:rsidP="00BE69D2">
            <w:pPr>
              <w:pStyle w:val="TableText"/>
              <w:keepNext/>
              <w:rPr>
                <w:rFonts w:ascii="Arial Narrow" w:hAnsi="Arial Narrow"/>
                <w:b/>
                <w:szCs w:val="18"/>
              </w:rPr>
            </w:pPr>
          </w:p>
        </w:tc>
        <w:tc>
          <w:tcPr>
            <w:tcW w:w="2099" w:type="pct"/>
            <w:gridSpan w:val="2"/>
            <w:shd w:val="clear" w:color="auto" w:fill="auto"/>
            <w:vAlign w:val="center"/>
          </w:tcPr>
          <w:p w:rsidR="00D14763" w:rsidRPr="00C36C8F" w:rsidRDefault="00D14763" w:rsidP="00BE69D2">
            <w:pPr>
              <w:pStyle w:val="TableHeading"/>
              <w:jc w:val="center"/>
              <w:rPr>
                <w:szCs w:val="18"/>
              </w:rPr>
            </w:pPr>
            <w:r w:rsidRPr="00C36C8F">
              <w:rPr>
                <w:szCs w:val="18"/>
              </w:rPr>
              <w:t>Metropolitan &amp; provincial</w:t>
            </w:r>
          </w:p>
        </w:tc>
        <w:tc>
          <w:tcPr>
            <w:tcW w:w="2041" w:type="pct"/>
            <w:gridSpan w:val="2"/>
            <w:shd w:val="clear" w:color="auto" w:fill="auto"/>
            <w:vAlign w:val="center"/>
          </w:tcPr>
          <w:p w:rsidR="00D14763" w:rsidRPr="00C36C8F" w:rsidRDefault="00D14763" w:rsidP="00BE69D2">
            <w:pPr>
              <w:pStyle w:val="TableHeading"/>
              <w:jc w:val="center"/>
              <w:rPr>
                <w:szCs w:val="18"/>
              </w:rPr>
            </w:pPr>
            <w:r w:rsidRPr="00C36C8F">
              <w:rPr>
                <w:szCs w:val="18"/>
              </w:rPr>
              <w:t>Rural</w:t>
            </w:r>
          </w:p>
        </w:tc>
      </w:tr>
      <w:tr w:rsidR="00D14763" w:rsidRPr="00C36C8F" w:rsidTr="00BE69D2">
        <w:trPr>
          <w:trHeight w:val="340"/>
        </w:trPr>
        <w:tc>
          <w:tcPr>
            <w:tcW w:w="859" w:type="pct"/>
            <w:vMerge/>
            <w:shd w:val="clear" w:color="auto" w:fill="auto"/>
          </w:tcPr>
          <w:p w:rsidR="00D14763" w:rsidRPr="00C36C8F" w:rsidRDefault="00D14763" w:rsidP="00BE69D2">
            <w:pPr>
              <w:pStyle w:val="TableText"/>
              <w:keepNext/>
              <w:rPr>
                <w:rFonts w:ascii="Arial Narrow" w:hAnsi="Arial Narrow"/>
                <w:b/>
                <w:szCs w:val="18"/>
              </w:rPr>
            </w:pPr>
          </w:p>
        </w:tc>
        <w:tc>
          <w:tcPr>
            <w:tcW w:w="1007" w:type="pct"/>
            <w:shd w:val="clear" w:color="auto" w:fill="auto"/>
            <w:vAlign w:val="center"/>
          </w:tcPr>
          <w:p w:rsidR="00D14763" w:rsidRPr="00C36C8F" w:rsidRDefault="00D14763" w:rsidP="00BE69D2">
            <w:pPr>
              <w:pStyle w:val="TableHeading"/>
              <w:jc w:val="center"/>
              <w:rPr>
                <w:szCs w:val="18"/>
              </w:rPr>
            </w:pPr>
            <w:r w:rsidRPr="00C36C8F">
              <w:rPr>
                <w:szCs w:val="18"/>
              </w:rPr>
              <w:t>Municipal</w:t>
            </w:r>
          </w:p>
        </w:tc>
        <w:tc>
          <w:tcPr>
            <w:tcW w:w="1092" w:type="pct"/>
            <w:shd w:val="clear" w:color="auto" w:fill="auto"/>
            <w:vAlign w:val="center"/>
          </w:tcPr>
          <w:p w:rsidR="00D14763" w:rsidRPr="00C36C8F" w:rsidRDefault="00D14763" w:rsidP="00BE69D2">
            <w:pPr>
              <w:pStyle w:val="TableHeading"/>
              <w:jc w:val="center"/>
              <w:rPr>
                <w:szCs w:val="18"/>
              </w:rPr>
            </w:pPr>
            <w:r w:rsidRPr="00C36C8F">
              <w:rPr>
                <w:szCs w:val="18"/>
              </w:rPr>
              <w:t>Industrial</w:t>
            </w:r>
          </w:p>
        </w:tc>
        <w:tc>
          <w:tcPr>
            <w:tcW w:w="1007" w:type="pct"/>
            <w:shd w:val="clear" w:color="auto" w:fill="auto"/>
            <w:vAlign w:val="center"/>
          </w:tcPr>
          <w:p w:rsidR="00D14763" w:rsidRPr="00C36C8F" w:rsidRDefault="00D14763" w:rsidP="00BE69D2">
            <w:pPr>
              <w:pStyle w:val="TableHeading"/>
              <w:jc w:val="center"/>
              <w:rPr>
                <w:szCs w:val="18"/>
              </w:rPr>
            </w:pPr>
            <w:r w:rsidRPr="00C36C8F">
              <w:rPr>
                <w:szCs w:val="18"/>
              </w:rPr>
              <w:t>Municipal</w:t>
            </w:r>
          </w:p>
        </w:tc>
        <w:tc>
          <w:tcPr>
            <w:tcW w:w="1034" w:type="pct"/>
            <w:shd w:val="clear" w:color="auto" w:fill="auto"/>
            <w:vAlign w:val="center"/>
          </w:tcPr>
          <w:p w:rsidR="00D14763" w:rsidRPr="00C36C8F" w:rsidRDefault="00D14763" w:rsidP="00BE69D2">
            <w:pPr>
              <w:pStyle w:val="TableHeading"/>
              <w:jc w:val="center"/>
              <w:rPr>
                <w:szCs w:val="18"/>
              </w:rPr>
            </w:pPr>
            <w:r w:rsidRPr="00C36C8F">
              <w:rPr>
                <w:szCs w:val="18"/>
              </w:rPr>
              <w:t>Industrial</w:t>
            </w:r>
          </w:p>
        </w:tc>
      </w:tr>
      <w:tr w:rsidR="00D14763" w:rsidRPr="00C36C8F" w:rsidTr="00BE69D2">
        <w:trPr>
          <w:trHeight w:val="340"/>
        </w:trPr>
        <w:tc>
          <w:tcPr>
            <w:tcW w:w="859" w:type="pct"/>
          </w:tcPr>
          <w:p w:rsidR="00D14763" w:rsidRPr="000B315F" w:rsidRDefault="00D14763" w:rsidP="00BE69D2">
            <w:pPr>
              <w:pStyle w:val="TableText"/>
              <w:keepNext/>
            </w:pPr>
            <w:r w:rsidRPr="000B315F">
              <w:t>2001–02</w:t>
            </w:r>
          </w:p>
        </w:tc>
        <w:tc>
          <w:tcPr>
            <w:tcW w:w="1007" w:type="pct"/>
            <w:vAlign w:val="center"/>
          </w:tcPr>
          <w:p w:rsidR="00D14763" w:rsidRPr="000B315F" w:rsidRDefault="00D14763" w:rsidP="00BE69D2">
            <w:pPr>
              <w:pStyle w:val="TableText"/>
              <w:keepNext/>
              <w:jc w:val="center"/>
            </w:pPr>
            <w:r w:rsidRPr="000B315F">
              <w:t>$4</w:t>
            </w:r>
          </w:p>
        </w:tc>
        <w:tc>
          <w:tcPr>
            <w:tcW w:w="1092" w:type="pct"/>
            <w:vAlign w:val="center"/>
          </w:tcPr>
          <w:p w:rsidR="00D14763" w:rsidRPr="000B315F" w:rsidRDefault="00D14763" w:rsidP="00BE69D2">
            <w:pPr>
              <w:pStyle w:val="TableText"/>
              <w:keepNext/>
              <w:jc w:val="center"/>
            </w:pPr>
            <w:r w:rsidRPr="000B315F">
              <w:t>$4</w:t>
            </w:r>
          </w:p>
        </w:tc>
        <w:tc>
          <w:tcPr>
            <w:tcW w:w="1007" w:type="pct"/>
            <w:vAlign w:val="center"/>
          </w:tcPr>
          <w:p w:rsidR="00D14763" w:rsidRPr="000B315F" w:rsidRDefault="00D14763" w:rsidP="00BE69D2">
            <w:pPr>
              <w:pStyle w:val="TableText"/>
              <w:keepNext/>
              <w:jc w:val="center"/>
            </w:pPr>
            <w:r w:rsidRPr="000B315F">
              <w:t>$2</w:t>
            </w:r>
          </w:p>
        </w:tc>
        <w:tc>
          <w:tcPr>
            <w:tcW w:w="1034" w:type="pct"/>
            <w:vAlign w:val="center"/>
          </w:tcPr>
          <w:p w:rsidR="00D14763" w:rsidRPr="000B315F" w:rsidRDefault="00D14763" w:rsidP="00BE69D2">
            <w:pPr>
              <w:pStyle w:val="TableText"/>
              <w:keepNext/>
              <w:jc w:val="center"/>
            </w:pPr>
            <w:r w:rsidRPr="000B315F">
              <w:t>$2</w:t>
            </w:r>
          </w:p>
        </w:tc>
      </w:tr>
      <w:tr w:rsidR="00D14763" w:rsidRPr="00C36C8F" w:rsidTr="00BE69D2">
        <w:trPr>
          <w:trHeight w:val="340"/>
        </w:trPr>
        <w:tc>
          <w:tcPr>
            <w:tcW w:w="859" w:type="pct"/>
          </w:tcPr>
          <w:p w:rsidR="00D14763" w:rsidRPr="000B315F" w:rsidRDefault="00D14763" w:rsidP="00BE69D2">
            <w:pPr>
              <w:pStyle w:val="TableText"/>
              <w:keepNext/>
            </w:pPr>
            <w:r w:rsidRPr="000B315F">
              <w:t>2002–03</w:t>
            </w:r>
          </w:p>
        </w:tc>
        <w:tc>
          <w:tcPr>
            <w:tcW w:w="1007" w:type="pct"/>
            <w:vAlign w:val="center"/>
          </w:tcPr>
          <w:p w:rsidR="00D14763" w:rsidRPr="000B315F" w:rsidRDefault="00D14763" w:rsidP="00BE69D2">
            <w:pPr>
              <w:pStyle w:val="TableText"/>
              <w:keepNext/>
              <w:jc w:val="center"/>
            </w:pPr>
            <w:r w:rsidRPr="000B315F">
              <w:t>$4</w:t>
            </w:r>
          </w:p>
        </w:tc>
        <w:tc>
          <w:tcPr>
            <w:tcW w:w="1092" w:type="pct"/>
            <w:vAlign w:val="center"/>
          </w:tcPr>
          <w:p w:rsidR="00D14763" w:rsidRPr="000B315F" w:rsidRDefault="00D14763" w:rsidP="00BE69D2">
            <w:pPr>
              <w:pStyle w:val="TableText"/>
              <w:keepNext/>
              <w:jc w:val="center"/>
            </w:pPr>
            <w:r w:rsidRPr="000B315F">
              <w:t>$5</w:t>
            </w:r>
          </w:p>
        </w:tc>
        <w:tc>
          <w:tcPr>
            <w:tcW w:w="1007" w:type="pct"/>
            <w:vAlign w:val="center"/>
          </w:tcPr>
          <w:p w:rsidR="00D14763" w:rsidRPr="000B315F" w:rsidRDefault="00D14763" w:rsidP="00BE69D2">
            <w:pPr>
              <w:pStyle w:val="TableText"/>
              <w:keepNext/>
              <w:jc w:val="center"/>
            </w:pPr>
            <w:r w:rsidRPr="000B315F">
              <w:t>$2</w:t>
            </w:r>
          </w:p>
        </w:tc>
        <w:tc>
          <w:tcPr>
            <w:tcW w:w="1034" w:type="pct"/>
            <w:vAlign w:val="center"/>
          </w:tcPr>
          <w:p w:rsidR="00D14763" w:rsidRPr="000B315F" w:rsidRDefault="00D14763" w:rsidP="00BE69D2">
            <w:pPr>
              <w:pStyle w:val="TableText"/>
              <w:keepNext/>
              <w:jc w:val="center"/>
            </w:pPr>
            <w:r w:rsidRPr="000B315F">
              <w:t>$3</w:t>
            </w:r>
          </w:p>
        </w:tc>
      </w:tr>
      <w:tr w:rsidR="00D14763" w:rsidRPr="00C36C8F" w:rsidTr="00BE69D2">
        <w:trPr>
          <w:trHeight w:val="340"/>
        </w:trPr>
        <w:tc>
          <w:tcPr>
            <w:tcW w:w="859" w:type="pct"/>
          </w:tcPr>
          <w:p w:rsidR="00D14763" w:rsidRPr="000B315F" w:rsidRDefault="00D14763" w:rsidP="00BE69D2">
            <w:pPr>
              <w:pStyle w:val="TableText"/>
              <w:keepNext/>
            </w:pPr>
            <w:r w:rsidRPr="000B315F">
              <w:t>2003–04</w:t>
            </w:r>
          </w:p>
        </w:tc>
        <w:tc>
          <w:tcPr>
            <w:tcW w:w="1007" w:type="pct"/>
            <w:vAlign w:val="center"/>
          </w:tcPr>
          <w:p w:rsidR="00D14763" w:rsidRPr="000B315F" w:rsidRDefault="00D14763" w:rsidP="00BE69D2">
            <w:pPr>
              <w:pStyle w:val="TableText"/>
              <w:keepNext/>
              <w:jc w:val="center"/>
            </w:pPr>
            <w:r w:rsidRPr="000B315F">
              <w:t>$5</w:t>
            </w:r>
          </w:p>
        </w:tc>
        <w:tc>
          <w:tcPr>
            <w:tcW w:w="1092" w:type="pct"/>
            <w:vAlign w:val="center"/>
          </w:tcPr>
          <w:p w:rsidR="00D14763" w:rsidRPr="000B315F" w:rsidRDefault="00D14763" w:rsidP="00BE69D2">
            <w:pPr>
              <w:pStyle w:val="TableText"/>
              <w:keepNext/>
              <w:jc w:val="center"/>
            </w:pPr>
            <w:r w:rsidRPr="000B315F">
              <w:t>$7</w:t>
            </w:r>
          </w:p>
        </w:tc>
        <w:tc>
          <w:tcPr>
            <w:tcW w:w="1007" w:type="pct"/>
            <w:vAlign w:val="center"/>
          </w:tcPr>
          <w:p w:rsidR="00D14763" w:rsidRPr="000B315F" w:rsidRDefault="00D14763" w:rsidP="00BE69D2">
            <w:pPr>
              <w:pStyle w:val="TableText"/>
              <w:keepNext/>
              <w:jc w:val="center"/>
            </w:pPr>
            <w:r w:rsidRPr="000B315F">
              <w:t>$3</w:t>
            </w:r>
          </w:p>
        </w:tc>
        <w:tc>
          <w:tcPr>
            <w:tcW w:w="1034" w:type="pct"/>
            <w:vAlign w:val="center"/>
          </w:tcPr>
          <w:p w:rsidR="00D14763" w:rsidRPr="000B315F" w:rsidRDefault="00D14763" w:rsidP="00BE69D2">
            <w:pPr>
              <w:pStyle w:val="TableText"/>
              <w:keepNext/>
              <w:jc w:val="center"/>
            </w:pPr>
            <w:r w:rsidRPr="000B315F">
              <w:t>$5</w:t>
            </w:r>
          </w:p>
        </w:tc>
      </w:tr>
      <w:tr w:rsidR="00D14763" w:rsidRPr="00C36C8F" w:rsidTr="00BE69D2">
        <w:trPr>
          <w:trHeight w:val="340"/>
        </w:trPr>
        <w:tc>
          <w:tcPr>
            <w:tcW w:w="859" w:type="pct"/>
          </w:tcPr>
          <w:p w:rsidR="00D14763" w:rsidRPr="000B315F" w:rsidRDefault="00D14763" w:rsidP="00BE69D2">
            <w:pPr>
              <w:pStyle w:val="TableText"/>
              <w:keepNext/>
            </w:pPr>
            <w:r w:rsidRPr="000B315F">
              <w:t>2004–05</w:t>
            </w:r>
          </w:p>
        </w:tc>
        <w:tc>
          <w:tcPr>
            <w:tcW w:w="1007" w:type="pct"/>
            <w:vAlign w:val="center"/>
          </w:tcPr>
          <w:p w:rsidR="00D14763" w:rsidRPr="000B315F" w:rsidRDefault="00D14763" w:rsidP="00BE69D2">
            <w:pPr>
              <w:pStyle w:val="TableText"/>
              <w:keepNext/>
              <w:jc w:val="center"/>
            </w:pPr>
            <w:r w:rsidRPr="000B315F">
              <w:t>$6</w:t>
            </w:r>
          </w:p>
        </w:tc>
        <w:tc>
          <w:tcPr>
            <w:tcW w:w="1092" w:type="pct"/>
            <w:vAlign w:val="center"/>
          </w:tcPr>
          <w:p w:rsidR="00D14763" w:rsidRPr="000B315F" w:rsidRDefault="00D14763" w:rsidP="00BE69D2">
            <w:pPr>
              <w:pStyle w:val="TableText"/>
              <w:keepNext/>
              <w:jc w:val="center"/>
            </w:pPr>
            <w:r w:rsidRPr="000B315F">
              <w:t>$9</w:t>
            </w:r>
          </w:p>
        </w:tc>
        <w:tc>
          <w:tcPr>
            <w:tcW w:w="1007" w:type="pct"/>
            <w:vAlign w:val="center"/>
          </w:tcPr>
          <w:p w:rsidR="00D14763" w:rsidRPr="000B315F" w:rsidRDefault="00D14763" w:rsidP="00BE69D2">
            <w:pPr>
              <w:pStyle w:val="TableText"/>
              <w:keepNext/>
              <w:jc w:val="center"/>
            </w:pPr>
            <w:r w:rsidRPr="000B315F">
              <w:t>$4</w:t>
            </w:r>
          </w:p>
        </w:tc>
        <w:tc>
          <w:tcPr>
            <w:tcW w:w="1034" w:type="pct"/>
            <w:vAlign w:val="center"/>
          </w:tcPr>
          <w:p w:rsidR="00D14763" w:rsidRPr="000B315F" w:rsidRDefault="00D14763" w:rsidP="00BE69D2">
            <w:pPr>
              <w:pStyle w:val="TableText"/>
              <w:keepNext/>
              <w:jc w:val="center"/>
            </w:pPr>
            <w:r w:rsidRPr="000B315F">
              <w:t>$7</w:t>
            </w:r>
          </w:p>
        </w:tc>
      </w:tr>
      <w:tr w:rsidR="00D14763" w:rsidRPr="00C36C8F" w:rsidTr="00BE69D2">
        <w:trPr>
          <w:trHeight w:val="340"/>
        </w:trPr>
        <w:tc>
          <w:tcPr>
            <w:tcW w:w="859" w:type="pct"/>
          </w:tcPr>
          <w:p w:rsidR="00D14763" w:rsidRPr="000B315F" w:rsidRDefault="00D14763" w:rsidP="00BE69D2">
            <w:pPr>
              <w:pStyle w:val="TableText"/>
              <w:keepNext/>
            </w:pPr>
            <w:r w:rsidRPr="000B315F">
              <w:t>2005–06</w:t>
            </w:r>
          </w:p>
        </w:tc>
        <w:tc>
          <w:tcPr>
            <w:tcW w:w="1007" w:type="pct"/>
            <w:vAlign w:val="center"/>
          </w:tcPr>
          <w:p w:rsidR="00D14763" w:rsidRPr="000B315F" w:rsidRDefault="00D14763" w:rsidP="00BE69D2">
            <w:pPr>
              <w:pStyle w:val="TableText"/>
              <w:keepNext/>
              <w:jc w:val="center"/>
            </w:pPr>
            <w:r w:rsidRPr="000B315F">
              <w:t>$7</w:t>
            </w:r>
          </w:p>
        </w:tc>
        <w:tc>
          <w:tcPr>
            <w:tcW w:w="1092" w:type="pct"/>
            <w:vAlign w:val="center"/>
          </w:tcPr>
          <w:p w:rsidR="00D14763" w:rsidRPr="000B315F" w:rsidRDefault="00D14763" w:rsidP="00BE69D2">
            <w:pPr>
              <w:pStyle w:val="TableText"/>
              <w:keepNext/>
              <w:jc w:val="center"/>
            </w:pPr>
            <w:r w:rsidRPr="000B315F">
              <w:t>$11</w:t>
            </w:r>
          </w:p>
        </w:tc>
        <w:tc>
          <w:tcPr>
            <w:tcW w:w="1007" w:type="pct"/>
            <w:vAlign w:val="center"/>
          </w:tcPr>
          <w:p w:rsidR="00D14763" w:rsidRPr="000B315F" w:rsidRDefault="00D14763" w:rsidP="00BE69D2">
            <w:pPr>
              <w:pStyle w:val="TableText"/>
              <w:keepNext/>
              <w:jc w:val="center"/>
            </w:pPr>
            <w:r w:rsidRPr="000B315F">
              <w:t>$5</w:t>
            </w:r>
          </w:p>
        </w:tc>
        <w:tc>
          <w:tcPr>
            <w:tcW w:w="1034" w:type="pct"/>
            <w:vAlign w:val="center"/>
          </w:tcPr>
          <w:p w:rsidR="00D14763" w:rsidRPr="000B315F" w:rsidRDefault="00D14763" w:rsidP="00BE69D2">
            <w:pPr>
              <w:pStyle w:val="TableText"/>
              <w:keepNext/>
              <w:jc w:val="center"/>
            </w:pPr>
            <w:r w:rsidRPr="000B315F">
              <w:t>$9</w:t>
            </w:r>
          </w:p>
        </w:tc>
      </w:tr>
      <w:tr w:rsidR="00D14763" w:rsidRPr="00C36C8F" w:rsidTr="00BE69D2">
        <w:trPr>
          <w:trHeight w:val="340"/>
        </w:trPr>
        <w:tc>
          <w:tcPr>
            <w:tcW w:w="859" w:type="pct"/>
          </w:tcPr>
          <w:p w:rsidR="00D14763" w:rsidRPr="000B315F" w:rsidRDefault="00D14763" w:rsidP="00BE69D2">
            <w:pPr>
              <w:pStyle w:val="TableText"/>
              <w:keepNext/>
            </w:pPr>
            <w:r w:rsidRPr="000B315F">
              <w:t>2006–07</w:t>
            </w:r>
          </w:p>
        </w:tc>
        <w:tc>
          <w:tcPr>
            <w:tcW w:w="1007" w:type="pct"/>
            <w:vAlign w:val="center"/>
          </w:tcPr>
          <w:p w:rsidR="00D14763" w:rsidRPr="000B315F" w:rsidRDefault="00D14763" w:rsidP="00BE69D2">
            <w:pPr>
              <w:pStyle w:val="TableText"/>
              <w:keepNext/>
              <w:jc w:val="center"/>
            </w:pPr>
            <w:r w:rsidRPr="000B315F">
              <w:t>$8</w:t>
            </w:r>
          </w:p>
        </w:tc>
        <w:tc>
          <w:tcPr>
            <w:tcW w:w="1092" w:type="pct"/>
            <w:vAlign w:val="center"/>
          </w:tcPr>
          <w:p w:rsidR="00D14763" w:rsidRPr="000B315F" w:rsidRDefault="00D14763" w:rsidP="00BE69D2">
            <w:pPr>
              <w:pStyle w:val="TableText"/>
              <w:keepNext/>
              <w:jc w:val="center"/>
            </w:pPr>
            <w:r w:rsidRPr="000B315F">
              <w:t>$13</w:t>
            </w:r>
          </w:p>
        </w:tc>
        <w:tc>
          <w:tcPr>
            <w:tcW w:w="1007" w:type="pct"/>
            <w:vAlign w:val="center"/>
          </w:tcPr>
          <w:p w:rsidR="00D14763" w:rsidRPr="000B315F" w:rsidRDefault="00D14763" w:rsidP="00BE69D2">
            <w:pPr>
              <w:pStyle w:val="TableText"/>
              <w:keepNext/>
              <w:jc w:val="center"/>
            </w:pPr>
            <w:r w:rsidRPr="000B315F">
              <w:t>$6</w:t>
            </w:r>
          </w:p>
        </w:tc>
        <w:tc>
          <w:tcPr>
            <w:tcW w:w="1034" w:type="pct"/>
            <w:vAlign w:val="center"/>
          </w:tcPr>
          <w:p w:rsidR="00D14763" w:rsidRPr="000B315F" w:rsidRDefault="00D14763" w:rsidP="00BE69D2">
            <w:pPr>
              <w:pStyle w:val="TableText"/>
              <w:keepNext/>
              <w:jc w:val="center"/>
            </w:pPr>
            <w:r w:rsidRPr="000B315F">
              <w:t>$11</w:t>
            </w:r>
          </w:p>
        </w:tc>
      </w:tr>
      <w:tr w:rsidR="00D14763" w:rsidRPr="00C36C8F" w:rsidTr="00BE69D2">
        <w:trPr>
          <w:trHeight w:val="340"/>
        </w:trPr>
        <w:tc>
          <w:tcPr>
            <w:tcW w:w="859" w:type="pct"/>
          </w:tcPr>
          <w:p w:rsidR="00D14763" w:rsidRPr="000B315F" w:rsidRDefault="00D14763" w:rsidP="00BE69D2">
            <w:pPr>
              <w:pStyle w:val="TableText"/>
              <w:keepNext/>
            </w:pPr>
            <w:r w:rsidRPr="000B315F">
              <w:t>2007–08</w:t>
            </w:r>
          </w:p>
        </w:tc>
        <w:tc>
          <w:tcPr>
            <w:tcW w:w="1007" w:type="pct"/>
            <w:vAlign w:val="center"/>
          </w:tcPr>
          <w:p w:rsidR="00D14763" w:rsidRPr="000B315F" w:rsidRDefault="00D14763" w:rsidP="00BE69D2">
            <w:pPr>
              <w:pStyle w:val="TableText"/>
              <w:keepNext/>
              <w:jc w:val="center"/>
            </w:pPr>
            <w:r w:rsidRPr="000B315F">
              <w:t>$9</w:t>
            </w:r>
          </w:p>
        </w:tc>
        <w:tc>
          <w:tcPr>
            <w:tcW w:w="1092" w:type="pct"/>
            <w:vAlign w:val="center"/>
          </w:tcPr>
          <w:p w:rsidR="00D14763" w:rsidRPr="000B315F" w:rsidRDefault="00D14763" w:rsidP="00BE69D2">
            <w:pPr>
              <w:pStyle w:val="TableText"/>
              <w:keepNext/>
              <w:jc w:val="center"/>
            </w:pPr>
            <w:r w:rsidRPr="000B315F">
              <w:t>$15</w:t>
            </w:r>
          </w:p>
        </w:tc>
        <w:tc>
          <w:tcPr>
            <w:tcW w:w="1007" w:type="pct"/>
            <w:vAlign w:val="center"/>
          </w:tcPr>
          <w:p w:rsidR="00D14763" w:rsidRPr="000B315F" w:rsidRDefault="00D14763" w:rsidP="00BE69D2">
            <w:pPr>
              <w:pStyle w:val="TableText"/>
              <w:keepNext/>
              <w:jc w:val="center"/>
            </w:pPr>
            <w:r w:rsidRPr="000B315F">
              <w:t>$7</w:t>
            </w:r>
          </w:p>
        </w:tc>
        <w:tc>
          <w:tcPr>
            <w:tcW w:w="1034" w:type="pct"/>
            <w:vAlign w:val="center"/>
          </w:tcPr>
          <w:p w:rsidR="00D14763" w:rsidRPr="000B315F" w:rsidRDefault="00D14763" w:rsidP="00BE69D2">
            <w:pPr>
              <w:pStyle w:val="TableText"/>
              <w:keepNext/>
              <w:jc w:val="center"/>
            </w:pPr>
            <w:r w:rsidRPr="000B315F">
              <w:t>$13</w:t>
            </w:r>
          </w:p>
        </w:tc>
      </w:tr>
      <w:tr w:rsidR="00D14763" w:rsidRPr="00C36C8F" w:rsidTr="00BE69D2">
        <w:trPr>
          <w:trHeight w:val="340"/>
        </w:trPr>
        <w:tc>
          <w:tcPr>
            <w:tcW w:w="859" w:type="pct"/>
          </w:tcPr>
          <w:p w:rsidR="00D14763" w:rsidRPr="000B315F" w:rsidRDefault="00D14763" w:rsidP="00BE69D2">
            <w:pPr>
              <w:pStyle w:val="TableText"/>
              <w:keepNext/>
            </w:pPr>
            <w:r w:rsidRPr="000B315F">
              <w:t>2008–09</w:t>
            </w:r>
          </w:p>
        </w:tc>
        <w:tc>
          <w:tcPr>
            <w:tcW w:w="1007" w:type="pct"/>
            <w:vAlign w:val="center"/>
          </w:tcPr>
          <w:p w:rsidR="00D14763" w:rsidRPr="000B315F" w:rsidRDefault="00D14763" w:rsidP="00BE69D2">
            <w:pPr>
              <w:pStyle w:val="TableText"/>
              <w:keepNext/>
              <w:jc w:val="center"/>
            </w:pPr>
            <w:r w:rsidRPr="000B315F">
              <w:t>$9</w:t>
            </w:r>
          </w:p>
        </w:tc>
        <w:tc>
          <w:tcPr>
            <w:tcW w:w="1092" w:type="pct"/>
            <w:vAlign w:val="center"/>
          </w:tcPr>
          <w:p w:rsidR="00D14763" w:rsidRPr="000B315F" w:rsidRDefault="00D14763" w:rsidP="00BE69D2">
            <w:pPr>
              <w:pStyle w:val="TableText"/>
              <w:keepNext/>
              <w:jc w:val="center"/>
            </w:pPr>
            <w:r w:rsidRPr="000B315F">
              <w:t>$15</w:t>
            </w:r>
          </w:p>
        </w:tc>
        <w:tc>
          <w:tcPr>
            <w:tcW w:w="1007" w:type="pct"/>
            <w:vAlign w:val="center"/>
          </w:tcPr>
          <w:p w:rsidR="00D14763" w:rsidRPr="000B315F" w:rsidRDefault="00D14763" w:rsidP="00BE69D2">
            <w:pPr>
              <w:pStyle w:val="TableText"/>
              <w:keepNext/>
              <w:jc w:val="center"/>
            </w:pPr>
            <w:r w:rsidRPr="000B315F">
              <w:t>$7</w:t>
            </w:r>
          </w:p>
        </w:tc>
        <w:tc>
          <w:tcPr>
            <w:tcW w:w="1034" w:type="pct"/>
            <w:vAlign w:val="center"/>
          </w:tcPr>
          <w:p w:rsidR="00D14763" w:rsidRPr="000B315F" w:rsidRDefault="00D14763" w:rsidP="00BE69D2">
            <w:pPr>
              <w:pStyle w:val="TableText"/>
              <w:keepNext/>
              <w:jc w:val="center"/>
            </w:pPr>
            <w:r w:rsidRPr="000B315F">
              <w:t>$13</w:t>
            </w:r>
          </w:p>
        </w:tc>
      </w:tr>
      <w:tr w:rsidR="00D14763" w:rsidRPr="00C36C8F" w:rsidTr="00BE69D2">
        <w:trPr>
          <w:trHeight w:val="340"/>
        </w:trPr>
        <w:tc>
          <w:tcPr>
            <w:tcW w:w="859" w:type="pct"/>
          </w:tcPr>
          <w:p w:rsidR="00D14763" w:rsidRPr="000B315F" w:rsidRDefault="00D14763" w:rsidP="00BE69D2">
            <w:pPr>
              <w:pStyle w:val="TableText"/>
              <w:keepNext/>
            </w:pPr>
            <w:r w:rsidRPr="000B315F">
              <w:t>2009–10</w:t>
            </w:r>
          </w:p>
        </w:tc>
        <w:tc>
          <w:tcPr>
            <w:tcW w:w="1007" w:type="pct"/>
            <w:vAlign w:val="center"/>
          </w:tcPr>
          <w:p w:rsidR="00D14763" w:rsidRPr="000B315F" w:rsidRDefault="00D14763" w:rsidP="00BE69D2">
            <w:pPr>
              <w:pStyle w:val="TableText"/>
              <w:keepNext/>
              <w:jc w:val="center"/>
            </w:pPr>
            <w:r w:rsidRPr="000B315F">
              <w:t>$9</w:t>
            </w:r>
          </w:p>
        </w:tc>
        <w:tc>
          <w:tcPr>
            <w:tcW w:w="1092" w:type="pct"/>
            <w:vAlign w:val="center"/>
          </w:tcPr>
          <w:p w:rsidR="00D14763" w:rsidRPr="000B315F" w:rsidRDefault="00D14763" w:rsidP="00BE69D2">
            <w:pPr>
              <w:pStyle w:val="TableText"/>
              <w:keepNext/>
              <w:jc w:val="center"/>
            </w:pPr>
            <w:r w:rsidRPr="000B315F">
              <w:t>$15</w:t>
            </w:r>
          </w:p>
        </w:tc>
        <w:tc>
          <w:tcPr>
            <w:tcW w:w="1007" w:type="pct"/>
            <w:vAlign w:val="center"/>
          </w:tcPr>
          <w:p w:rsidR="00D14763" w:rsidRPr="000B315F" w:rsidRDefault="00D14763" w:rsidP="00BE69D2">
            <w:pPr>
              <w:pStyle w:val="TableText"/>
              <w:keepNext/>
              <w:jc w:val="center"/>
            </w:pPr>
            <w:r w:rsidRPr="000B315F">
              <w:t>$7</w:t>
            </w:r>
          </w:p>
        </w:tc>
        <w:tc>
          <w:tcPr>
            <w:tcW w:w="1034" w:type="pct"/>
            <w:vAlign w:val="center"/>
          </w:tcPr>
          <w:p w:rsidR="00D14763" w:rsidRPr="000B315F" w:rsidRDefault="00D14763" w:rsidP="00BE69D2">
            <w:pPr>
              <w:pStyle w:val="TableText"/>
              <w:keepNext/>
              <w:jc w:val="center"/>
            </w:pPr>
            <w:r w:rsidRPr="000B315F">
              <w:t>$13</w:t>
            </w:r>
          </w:p>
        </w:tc>
      </w:tr>
      <w:tr w:rsidR="00D14763" w:rsidRPr="00C36C8F" w:rsidTr="00BE69D2">
        <w:trPr>
          <w:trHeight w:val="340"/>
        </w:trPr>
        <w:tc>
          <w:tcPr>
            <w:tcW w:w="859" w:type="pct"/>
            <w:tcBorders>
              <w:bottom w:val="single" w:sz="4" w:space="0" w:color="808080"/>
            </w:tcBorders>
          </w:tcPr>
          <w:p w:rsidR="00D14763" w:rsidRPr="000B315F" w:rsidRDefault="00D14763" w:rsidP="00BE69D2">
            <w:pPr>
              <w:pStyle w:val="TableText"/>
              <w:keepNext/>
            </w:pPr>
            <w:r w:rsidRPr="000B315F">
              <w:t>2010–11</w:t>
            </w:r>
          </w:p>
        </w:tc>
        <w:tc>
          <w:tcPr>
            <w:tcW w:w="1007" w:type="pct"/>
            <w:tcBorders>
              <w:bottom w:val="single" w:sz="4" w:space="0" w:color="808080"/>
            </w:tcBorders>
            <w:vAlign w:val="center"/>
          </w:tcPr>
          <w:p w:rsidR="00D14763" w:rsidRPr="000B315F" w:rsidRDefault="00D14763" w:rsidP="00BE69D2">
            <w:pPr>
              <w:pStyle w:val="TableText"/>
              <w:keepNext/>
              <w:jc w:val="center"/>
            </w:pPr>
            <w:r w:rsidRPr="000B315F">
              <w:t>$30</w:t>
            </w:r>
          </w:p>
        </w:tc>
        <w:tc>
          <w:tcPr>
            <w:tcW w:w="1092" w:type="pct"/>
            <w:tcBorders>
              <w:bottom w:val="single" w:sz="4" w:space="0" w:color="808080"/>
            </w:tcBorders>
            <w:vAlign w:val="center"/>
          </w:tcPr>
          <w:p w:rsidR="00D14763" w:rsidRPr="000B315F" w:rsidRDefault="00D14763" w:rsidP="00BE69D2">
            <w:pPr>
              <w:pStyle w:val="TableText"/>
              <w:keepNext/>
              <w:jc w:val="center"/>
            </w:pPr>
            <w:r w:rsidRPr="000B315F">
              <w:t>$30</w:t>
            </w:r>
          </w:p>
        </w:tc>
        <w:tc>
          <w:tcPr>
            <w:tcW w:w="1007" w:type="pct"/>
            <w:tcBorders>
              <w:bottom w:val="single" w:sz="4" w:space="0" w:color="808080"/>
            </w:tcBorders>
            <w:vAlign w:val="center"/>
          </w:tcPr>
          <w:p w:rsidR="00D14763" w:rsidRPr="000B315F" w:rsidRDefault="00D14763" w:rsidP="00BE69D2">
            <w:pPr>
              <w:pStyle w:val="TableText"/>
              <w:keepNext/>
              <w:jc w:val="center"/>
            </w:pPr>
            <w:r w:rsidRPr="000B315F">
              <w:t>$15</w:t>
            </w:r>
          </w:p>
        </w:tc>
        <w:tc>
          <w:tcPr>
            <w:tcW w:w="1034" w:type="pct"/>
            <w:tcBorders>
              <w:bottom w:val="single" w:sz="4" w:space="0" w:color="808080"/>
            </w:tcBorders>
            <w:vAlign w:val="center"/>
          </w:tcPr>
          <w:p w:rsidR="00D14763" w:rsidRPr="000B315F" w:rsidRDefault="00D14763" w:rsidP="00BE69D2">
            <w:pPr>
              <w:pStyle w:val="TableText"/>
              <w:keepNext/>
              <w:jc w:val="center"/>
            </w:pPr>
            <w:r w:rsidRPr="000B315F">
              <w:t>$25</w:t>
            </w:r>
          </w:p>
        </w:tc>
      </w:tr>
      <w:tr w:rsidR="00D14763" w:rsidRPr="00C36C8F" w:rsidTr="00BE69D2">
        <w:trPr>
          <w:trHeight w:val="340"/>
        </w:trPr>
        <w:tc>
          <w:tcPr>
            <w:tcW w:w="859" w:type="pct"/>
            <w:tcBorders>
              <w:top w:val="single" w:sz="4" w:space="0" w:color="808080"/>
              <w:bottom w:val="single" w:sz="4" w:space="0" w:color="808080" w:themeColor="background1" w:themeShade="80"/>
            </w:tcBorders>
          </w:tcPr>
          <w:p w:rsidR="00D14763" w:rsidRPr="000B315F" w:rsidRDefault="00D14763" w:rsidP="00BE69D2">
            <w:pPr>
              <w:pStyle w:val="TableText"/>
            </w:pPr>
            <w:r w:rsidRPr="000B315F">
              <w:t>2011–12</w:t>
            </w:r>
          </w:p>
        </w:tc>
        <w:tc>
          <w:tcPr>
            <w:tcW w:w="1007" w:type="pct"/>
            <w:tcBorders>
              <w:top w:val="single" w:sz="4" w:space="0" w:color="808080"/>
              <w:bottom w:val="single" w:sz="4" w:space="0" w:color="808080" w:themeColor="background1" w:themeShade="80"/>
            </w:tcBorders>
            <w:vAlign w:val="center"/>
          </w:tcPr>
          <w:p w:rsidR="00D14763" w:rsidRPr="000B315F" w:rsidRDefault="00D14763" w:rsidP="00BE69D2">
            <w:pPr>
              <w:pStyle w:val="TableText"/>
              <w:jc w:val="center"/>
            </w:pPr>
            <w:r w:rsidRPr="000B315F">
              <w:t>$40</w:t>
            </w:r>
          </w:p>
        </w:tc>
        <w:tc>
          <w:tcPr>
            <w:tcW w:w="1092" w:type="pct"/>
            <w:tcBorders>
              <w:top w:val="single" w:sz="4" w:space="0" w:color="808080"/>
              <w:bottom w:val="single" w:sz="4" w:space="0" w:color="808080" w:themeColor="background1" w:themeShade="80"/>
            </w:tcBorders>
            <w:vAlign w:val="center"/>
          </w:tcPr>
          <w:p w:rsidR="00D14763" w:rsidRPr="000B315F" w:rsidRDefault="00D14763" w:rsidP="00BE69D2">
            <w:pPr>
              <w:pStyle w:val="TableText"/>
              <w:jc w:val="center"/>
            </w:pPr>
            <w:r w:rsidRPr="000B315F">
              <w:t>$40</w:t>
            </w:r>
          </w:p>
        </w:tc>
        <w:tc>
          <w:tcPr>
            <w:tcW w:w="1007" w:type="pct"/>
            <w:tcBorders>
              <w:top w:val="single" w:sz="4" w:space="0" w:color="808080"/>
              <w:bottom w:val="single" w:sz="4" w:space="0" w:color="808080" w:themeColor="background1" w:themeShade="80"/>
            </w:tcBorders>
            <w:vAlign w:val="center"/>
          </w:tcPr>
          <w:p w:rsidR="00D14763" w:rsidRPr="000B315F" w:rsidRDefault="00D14763" w:rsidP="00BE69D2">
            <w:pPr>
              <w:pStyle w:val="TableText"/>
              <w:jc w:val="center"/>
            </w:pPr>
            <w:r w:rsidRPr="000B315F">
              <w:t>$20</w:t>
            </w:r>
          </w:p>
        </w:tc>
        <w:tc>
          <w:tcPr>
            <w:tcW w:w="1034" w:type="pct"/>
            <w:tcBorders>
              <w:top w:val="single" w:sz="4" w:space="0" w:color="808080"/>
              <w:bottom w:val="single" w:sz="4" w:space="0" w:color="808080" w:themeColor="background1" w:themeShade="80"/>
            </w:tcBorders>
            <w:vAlign w:val="center"/>
          </w:tcPr>
          <w:p w:rsidR="00D14763" w:rsidRPr="000B315F" w:rsidRDefault="00D14763" w:rsidP="00BE69D2">
            <w:pPr>
              <w:pStyle w:val="TableText"/>
              <w:jc w:val="center"/>
            </w:pPr>
            <w:r w:rsidRPr="000B315F">
              <w:t>$35</w:t>
            </w:r>
          </w:p>
        </w:tc>
      </w:tr>
    </w:tbl>
    <w:p w:rsidR="00587629" w:rsidRPr="00C36C8F" w:rsidRDefault="00587629" w:rsidP="00982ACC">
      <w:pPr>
        <w:pStyle w:val="ParaIndent"/>
        <w:jc w:val="both"/>
      </w:pPr>
    </w:p>
    <w:p w:rsidR="00587629" w:rsidRPr="00C36C8F" w:rsidRDefault="00D14763" w:rsidP="00982ACC">
      <w:pPr>
        <w:pStyle w:val="ParaIndent"/>
        <w:jc w:val="both"/>
      </w:pPr>
      <w:r w:rsidRPr="00C36C8F">
        <w:t>The Victorian State Government agencies involved in the allocation of landfill levy funds announced in October 2010 a range of funding programs to support waste avoidance, reduction and recovery. The</w:t>
      </w:r>
      <w:r w:rsidR="00587629" w:rsidRPr="00C36C8F">
        <w:t>re are</w:t>
      </w:r>
      <w:r w:rsidRPr="00C36C8F">
        <w:t xml:space="preserve"> three programs commencing in 2010–11 and running for four years</w:t>
      </w:r>
      <w:r w:rsidR="00587629" w:rsidRPr="00C36C8F">
        <w:t>.</w:t>
      </w:r>
    </w:p>
    <w:p w:rsidR="00587629" w:rsidRPr="00C36C8F" w:rsidRDefault="00D14763" w:rsidP="00587629">
      <w:pPr>
        <w:pStyle w:val="ParaIndent"/>
        <w:jc w:val="both"/>
      </w:pPr>
      <w:r w:rsidRPr="00C36C8F">
        <w:t>EPA Victoria’s Beyond Waste Fund (formerly the Waste Reduction Fund)</w:t>
      </w:r>
      <w:r w:rsidR="00587629" w:rsidRPr="00C36C8F">
        <w:t xml:space="preserve"> is a</w:t>
      </w:r>
      <w:r w:rsidRPr="00C36C8F">
        <w:t xml:space="preserve"> $14 million initiative over four years, </w:t>
      </w:r>
      <w:r w:rsidR="00587629" w:rsidRPr="00C36C8F">
        <w:t>designed</w:t>
      </w:r>
      <w:r w:rsidRPr="00C36C8F">
        <w:t xml:space="preserve"> to help businesses avoid generating waste, and reduce what is sent to landfill by supporting innovations that lessen the waste generated from their daily operations</w:t>
      </w:r>
      <w:r w:rsidR="009E45B7" w:rsidRPr="00C36C8F">
        <w:t>.</w:t>
      </w:r>
    </w:p>
    <w:p w:rsidR="00587629" w:rsidRPr="00C36C8F" w:rsidRDefault="009E45B7" w:rsidP="00587629">
      <w:pPr>
        <w:pStyle w:val="ParaIndent"/>
        <w:jc w:val="both"/>
      </w:pPr>
      <w:r w:rsidRPr="00C36C8F">
        <w:t>S</w:t>
      </w:r>
      <w:r w:rsidR="00D14763" w:rsidRPr="00C36C8F">
        <w:t>ustainability Victoria’s Driving Investment for New Recycling Fund</w:t>
      </w:r>
      <w:r w:rsidR="00587629" w:rsidRPr="00C36C8F">
        <w:t xml:space="preserve"> is a</w:t>
      </w:r>
      <w:r w:rsidR="00D14763" w:rsidRPr="00C36C8F">
        <w:t xml:space="preserve"> $14 million initiative over four years, </w:t>
      </w:r>
      <w:r w:rsidR="00587629" w:rsidRPr="00C36C8F">
        <w:t xml:space="preserve">designed to </w:t>
      </w:r>
      <w:r w:rsidR="00D14763" w:rsidRPr="00C36C8F">
        <w:t xml:space="preserve">assist councils, waste management </w:t>
      </w:r>
      <w:r w:rsidR="00587629" w:rsidRPr="00C36C8F">
        <w:t>groups and the recycling sector</w:t>
      </w:r>
      <w:r w:rsidR="00D14763" w:rsidRPr="00C36C8F">
        <w:t xml:space="preserve"> provide new infrastructure, and upgrade and increase infrastructure capacity and capability.</w:t>
      </w:r>
    </w:p>
    <w:p w:rsidR="00D14763" w:rsidRPr="00C36C8F" w:rsidRDefault="00587629" w:rsidP="00587629">
      <w:pPr>
        <w:pStyle w:val="ParaIndent"/>
        <w:jc w:val="both"/>
      </w:pPr>
      <w:r w:rsidRPr="00C36C8F">
        <w:t xml:space="preserve">The </w:t>
      </w:r>
      <w:r w:rsidR="00D14763" w:rsidRPr="00C36C8F">
        <w:t>Metropolitan Waste Management Group’s Metropolitan Local Governments Waste and Resource Recovery Fund</w:t>
      </w:r>
      <w:r w:rsidRPr="00C36C8F">
        <w:t xml:space="preserve"> is a</w:t>
      </w:r>
      <w:r w:rsidR="00D14763" w:rsidRPr="00C36C8F">
        <w:t xml:space="preserve"> $5.5 million fund over four years </w:t>
      </w:r>
      <w:r w:rsidRPr="00C36C8F">
        <w:t xml:space="preserve">designed to </w:t>
      </w:r>
      <w:r w:rsidR="00D14763" w:rsidRPr="00C36C8F">
        <w:t>support the delivery of the Metropolitan Waste and Resource Recovery Strategic Plan and the associated achievement of the TZW municipal solid waste targets.</w:t>
      </w:r>
    </w:p>
    <w:p w:rsidR="00D14763" w:rsidRPr="00C36C8F" w:rsidRDefault="00D14763" w:rsidP="00982ACC">
      <w:pPr>
        <w:pStyle w:val="Heading40"/>
        <w:spacing w:before="0"/>
        <w:jc w:val="both"/>
      </w:pPr>
      <w:r w:rsidRPr="00C36C8F">
        <w:t>Waste management groups</w:t>
      </w:r>
    </w:p>
    <w:p w:rsidR="00D14763" w:rsidRPr="00C36C8F" w:rsidRDefault="00D14763" w:rsidP="00982ACC">
      <w:pPr>
        <w:pStyle w:val="ParaIndent"/>
        <w:jc w:val="both"/>
      </w:pPr>
      <w:r w:rsidRPr="00C36C8F">
        <w:t xml:space="preserve">The Metropolitan Waste Management Group (MWMG) was established in October 2006 under the </w:t>
      </w:r>
      <w:r w:rsidRPr="00C36C8F">
        <w:rPr>
          <w:i/>
        </w:rPr>
        <w:t>Environment Protection (Amendment) Act 2006</w:t>
      </w:r>
      <w:r w:rsidRPr="00C36C8F">
        <w:t xml:space="preserve">. The MWMG is the successor to the four former waste management groups located within metropolitan Melbourne. The role of the MWMG is to: </w:t>
      </w:r>
    </w:p>
    <w:p w:rsidR="00D14763" w:rsidRPr="00C36C8F" w:rsidRDefault="005A19AF" w:rsidP="00982ACC">
      <w:pPr>
        <w:pStyle w:val="BulletPoints"/>
        <w:tabs>
          <w:tab w:val="clear" w:pos="567"/>
          <w:tab w:val="left" w:pos="1134"/>
          <w:tab w:val="num" w:pos="1701"/>
          <w:tab w:val="left" w:pos="2268"/>
        </w:tabs>
        <w:spacing w:after="180"/>
        <w:ind w:left="1701"/>
        <w:jc w:val="both"/>
      </w:pPr>
      <w:r>
        <w:t>p</w:t>
      </w:r>
      <w:r w:rsidR="00D14763" w:rsidRPr="00C36C8F">
        <w:t xml:space="preserve">lan for waste management and resource recovery facilities and services across metropolitan Melbourne </w:t>
      </w:r>
    </w:p>
    <w:p w:rsidR="00D14763" w:rsidRPr="00C36C8F" w:rsidRDefault="005A19AF" w:rsidP="00982ACC">
      <w:pPr>
        <w:pStyle w:val="BulletPoints"/>
        <w:tabs>
          <w:tab w:val="clear" w:pos="567"/>
          <w:tab w:val="left" w:pos="1134"/>
          <w:tab w:val="num" w:pos="1701"/>
          <w:tab w:val="left" w:pos="2268"/>
        </w:tabs>
        <w:spacing w:after="180"/>
        <w:ind w:left="1701"/>
        <w:jc w:val="both"/>
      </w:pPr>
      <w:r>
        <w:t>f</w:t>
      </w:r>
      <w:r w:rsidR="00D14763" w:rsidRPr="00C36C8F">
        <w:t xml:space="preserve">acilitate procurement of efficient and sustainable resource recovery and residual waste disposal services for Councils </w:t>
      </w:r>
    </w:p>
    <w:p w:rsidR="00D14763" w:rsidRPr="00C36C8F" w:rsidRDefault="005A19AF" w:rsidP="00982ACC">
      <w:pPr>
        <w:pStyle w:val="BulletPoints"/>
        <w:tabs>
          <w:tab w:val="clear" w:pos="567"/>
          <w:tab w:val="left" w:pos="1134"/>
          <w:tab w:val="num" w:pos="1701"/>
          <w:tab w:val="left" w:pos="2268"/>
        </w:tabs>
        <w:spacing w:after="180"/>
        <w:ind w:left="1701"/>
        <w:jc w:val="both"/>
      </w:pPr>
      <w:r>
        <w:t>h</w:t>
      </w:r>
      <w:r w:rsidR="00D14763" w:rsidRPr="00C36C8F">
        <w:t xml:space="preserve">elp build the capacity and knowledge of Councils and their communities of world best practice waste minimisation and the opportunities and options available to reach the TZW targets and beyond. </w:t>
      </w:r>
    </w:p>
    <w:p w:rsidR="00D14763" w:rsidRPr="00C36C8F" w:rsidRDefault="00D14763" w:rsidP="00982ACC">
      <w:pPr>
        <w:pStyle w:val="ParaIndent"/>
        <w:jc w:val="both"/>
      </w:pPr>
      <w:r w:rsidRPr="00C36C8F">
        <w:t xml:space="preserve">In addition to the MWMG, there are twelve Regional Waste Management Groups (RWMGs) covering all of Victoria beyond metropolitan Melbourne. In 2007, the Department of Sustainability and Environment commenced a review of the twelve RWMGs. In February 2009, Sustainability Victoria accepted major responsibility for the review. On the basis of extensive consultation, the </w:t>
      </w:r>
      <w:r w:rsidRPr="00C36C8F">
        <w:rPr>
          <w:i/>
        </w:rPr>
        <w:t>Review of Regional Waste</w:t>
      </w:r>
      <w:r w:rsidRPr="00C36C8F">
        <w:t xml:space="preserve"> </w:t>
      </w:r>
      <w:r w:rsidRPr="00C36C8F">
        <w:rPr>
          <w:i/>
        </w:rPr>
        <w:t>Management Groups Future Directions Paper Consultation Draft</w:t>
      </w:r>
      <w:r w:rsidRPr="00C36C8F">
        <w:t xml:space="preserve"> was released in 2009. In late 2009 the RWMG were informed of amalgamations of selected RWMGs, however the November 2010 change in the Victorian State Government has seen the proposed amalgamations put on hold. On this basis, the current structure of twelve RWMGs remains.</w:t>
      </w:r>
    </w:p>
    <w:p w:rsidR="00D14763" w:rsidRPr="00C36C8F" w:rsidRDefault="00D14763" w:rsidP="00982ACC">
      <w:pPr>
        <w:pStyle w:val="Heading40"/>
        <w:spacing w:before="0"/>
        <w:jc w:val="both"/>
      </w:pPr>
      <w:r w:rsidRPr="00C36C8F">
        <w:t xml:space="preserve">Metropolitan </w:t>
      </w:r>
      <w:r w:rsidR="009E45B7" w:rsidRPr="00C36C8F">
        <w:t>p</w:t>
      </w:r>
      <w:r w:rsidRPr="00C36C8F">
        <w:t>lan</w:t>
      </w:r>
    </w:p>
    <w:p w:rsidR="00D14763" w:rsidRPr="00C36C8F" w:rsidRDefault="00D14763" w:rsidP="00982ACC">
      <w:pPr>
        <w:pStyle w:val="ParaIndent"/>
        <w:jc w:val="both"/>
      </w:pPr>
      <w:r w:rsidRPr="00C36C8F">
        <w:t xml:space="preserve">The </w:t>
      </w:r>
      <w:r w:rsidRPr="00C36C8F">
        <w:rPr>
          <w:i/>
        </w:rPr>
        <w:t>Metropolitan Waste and Resource Recovery Strategic Plan</w:t>
      </w:r>
      <w:r w:rsidRPr="00C36C8F">
        <w:t xml:space="preserve"> was released in May 2009. The Plan was developed to ensure that the key deliverables and targets of TZW for the metropolitan Melbourne would be met. The Plan includes three components, the Metropolitan Plan, the Municipal Solid Waste Infrastructure Schedule and the Metropolitan Landfill Schedule. </w:t>
      </w:r>
    </w:p>
    <w:p w:rsidR="00D14763" w:rsidRPr="00C36C8F" w:rsidRDefault="00D14763" w:rsidP="00982ACC">
      <w:pPr>
        <w:pStyle w:val="ParaIndent"/>
        <w:jc w:val="both"/>
      </w:pPr>
      <w:r w:rsidRPr="00C36C8F">
        <w:t xml:space="preserve">The </w:t>
      </w:r>
      <w:r w:rsidRPr="00C36C8F">
        <w:rPr>
          <w:i/>
        </w:rPr>
        <w:t>Metropolitan Local Government Waste and Resource Recovery Fund</w:t>
      </w:r>
      <w:r w:rsidR="00587629" w:rsidRPr="00C36C8F">
        <w:rPr>
          <w:i/>
        </w:rPr>
        <w:t>,</w:t>
      </w:r>
      <w:r w:rsidRPr="00C36C8F">
        <w:t xml:space="preserve"> outlined previously in reference to the distribution of landfill levy funding in Victoria, is aimed at supporting local government in Metropolitan Melbourne implement actions outlined in the </w:t>
      </w:r>
      <w:r w:rsidRPr="00C36C8F">
        <w:rPr>
          <w:i/>
        </w:rPr>
        <w:t>Metropolitan Waste and Resource Recovery Strategic Plan</w:t>
      </w:r>
      <w:r w:rsidRPr="00C36C8F">
        <w:t>.</w:t>
      </w:r>
    </w:p>
    <w:p w:rsidR="009947F6" w:rsidRDefault="009947F6">
      <w:pPr>
        <w:spacing w:after="0" w:line="240" w:lineRule="auto"/>
        <w:ind w:left="0"/>
        <w:rPr>
          <w:rFonts w:cs="Arial"/>
          <w:b/>
          <w:color w:val="495F70"/>
        </w:rPr>
      </w:pPr>
      <w:r>
        <w:br w:type="page"/>
      </w:r>
    </w:p>
    <w:p w:rsidR="00D14763" w:rsidRPr="00C36C8F" w:rsidRDefault="00D14763" w:rsidP="00982ACC">
      <w:pPr>
        <w:pStyle w:val="Heading40"/>
        <w:spacing w:before="0"/>
        <w:jc w:val="both"/>
      </w:pPr>
      <w:r w:rsidRPr="00C36C8F">
        <w:t>Product specific programs</w:t>
      </w:r>
    </w:p>
    <w:p w:rsidR="00D14763" w:rsidRPr="00C36C8F" w:rsidRDefault="00D14763" w:rsidP="00982ACC">
      <w:pPr>
        <w:pStyle w:val="ParaIndent"/>
        <w:jc w:val="both"/>
      </w:pPr>
      <w:r w:rsidRPr="00C36C8F">
        <w:t xml:space="preserve">A number of programs have been implemented in Victoria, focusing on improving diversion of specific products or materials. These are outlined in </w:t>
      </w:r>
      <w:fldSimple w:instr=" REF _Ref283640840 \h  \* MERGEFORMAT ">
        <w:r w:rsidR="00AE7E3B" w:rsidRPr="00C36C8F">
          <w:t xml:space="preserve">Table </w:t>
        </w:r>
        <w:r w:rsidR="00AE7E3B">
          <w:rPr>
            <w:noProof/>
          </w:rPr>
          <w:t>6</w:t>
        </w:r>
        <w:r w:rsidR="00AE7E3B" w:rsidRPr="00C36C8F">
          <w:rPr>
            <w:noProof/>
          </w:rPr>
          <w:t>-</w:t>
        </w:r>
        <w:r w:rsidR="00AE7E3B">
          <w:rPr>
            <w:noProof/>
          </w:rPr>
          <w:t>56</w:t>
        </w:r>
      </w:fldSimple>
      <w:r w:rsidRPr="00C36C8F">
        <w:t>.</w:t>
      </w:r>
    </w:p>
    <w:p w:rsidR="00D14763" w:rsidRPr="00C36C8F" w:rsidRDefault="00D14763" w:rsidP="00D14763">
      <w:pPr>
        <w:pStyle w:val="Caption"/>
      </w:pPr>
      <w:bookmarkStart w:id="255" w:name="_Ref283640840"/>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56</w:t>
      </w:r>
      <w:r w:rsidR="00B9555F" w:rsidRPr="00C36C8F">
        <w:rPr>
          <w:noProof/>
        </w:rPr>
        <w:fldChar w:fldCharType="end"/>
      </w:r>
      <w:bookmarkEnd w:id="255"/>
      <w:r w:rsidRPr="00C36C8F">
        <w:tab/>
        <w:t>Product specific programs, Victoria</w:t>
      </w:r>
    </w:p>
    <w:tbl>
      <w:tblPr>
        <w:tblW w:w="4412" w:type="pct"/>
        <w:tblInd w:w="1134" w:type="dxa"/>
        <w:tblBorders>
          <w:bottom w:val="single" w:sz="4" w:space="0" w:color="808080"/>
          <w:insideH w:val="single" w:sz="4" w:space="0" w:color="808080"/>
        </w:tblBorders>
        <w:tblLayout w:type="fixed"/>
        <w:tblCellMar>
          <w:left w:w="0" w:type="dxa"/>
          <w:right w:w="0" w:type="dxa"/>
        </w:tblCellMar>
        <w:tblLook w:val="0000"/>
      </w:tblPr>
      <w:tblGrid>
        <w:gridCol w:w="1583"/>
        <w:gridCol w:w="2158"/>
        <w:gridCol w:w="4890"/>
      </w:tblGrid>
      <w:tr w:rsidR="00D14763" w:rsidRPr="00C36C8F" w:rsidTr="009947F6">
        <w:trPr>
          <w:cantSplit/>
          <w:tblHeader/>
        </w:trPr>
        <w:tc>
          <w:tcPr>
            <w:tcW w:w="917" w:type="pct"/>
            <w:shd w:val="clear" w:color="auto" w:fill="auto"/>
            <w:tcMar>
              <w:right w:w="142" w:type="dxa"/>
            </w:tcMar>
          </w:tcPr>
          <w:p w:rsidR="00D14763" w:rsidRPr="00C36C8F" w:rsidRDefault="00D14763" w:rsidP="00691AE4">
            <w:pPr>
              <w:pStyle w:val="TableHeading"/>
            </w:pPr>
            <w:r w:rsidRPr="00C36C8F">
              <w:t>Program</w:t>
            </w:r>
          </w:p>
        </w:tc>
        <w:tc>
          <w:tcPr>
            <w:tcW w:w="1250" w:type="pct"/>
            <w:shd w:val="clear" w:color="auto" w:fill="auto"/>
            <w:tcMar>
              <w:left w:w="142" w:type="dxa"/>
              <w:right w:w="142" w:type="dxa"/>
            </w:tcMar>
          </w:tcPr>
          <w:p w:rsidR="00D14763" w:rsidRPr="00C36C8F" w:rsidRDefault="00D14763" w:rsidP="00691AE4">
            <w:pPr>
              <w:pStyle w:val="TableHeading"/>
            </w:pPr>
            <w:r w:rsidRPr="00C36C8F">
              <w:t>Product focus</w:t>
            </w:r>
          </w:p>
        </w:tc>
        <w:tc>
          <w:tcPr>
            <w:tcW w:w="2833" w:type="pct"/>
            <w:shd w:val="clear" w:color="auto" w:fill="auto"/>
            <w:tcMar>
              <w:left w:w="142" w:type="dxa"/>
              <w:right w:w="142" w:type="dxa"/>
            </w:tcMar>
          </w:tcPr>
          <w:p w:rsidR="00D14763" w:rsidRPr="00C36C8F" w:rsidRDefault="00D14763" w:rsidP="00691AE4">
            <w:pPr>
              <w:pStyle w:val="TableHeading"/>
            </w:pPr>
            <w:r w:rsidRPr="00C36C8F">
              <w:t>Details</w:t>
            </w:r>
          </w:p>
        </w:tc>
      </w:tr>
      <w:tr w:rsidR="00D14763" w:rsidRPr="00C36C8F" w:rsidTr="009947F6">
        <w:trPr>
          <w:cantSplit/>
        </w:trPr>
        <w:tc>
          <w:tcPr>
            <w:tcW w:w="917" w:type="pct"/>
            <w:tcMar>
              <w:right w:w="142" w:type="dxa"/>
            </w:tcMar>
          </w:tcPr>
          <w:p w:rsidR="00D14763" w:rsidRPr="00C36C8F" w:rsidRDefault="00D14763" w:rsidP="00691AE4">
            <w:pPr>
              <w:pStyle w:val="TableText"/>
              <w:keepNext/>
              <w:rPr>
                <w:szCs w:val="18"/>
              </w:rPr>
            </w:pPr>
            <w:r w:rsidRPr="00C36C8F">
              <w:rPr>
                <w:szCs w:val="18"/>
              </w:rPr>
              <w:t>Batteryback</w:t>
            </w:r>
          </w:p>
        </w:tc>
        <w:tc>
          <w:tcPr>
            <w:tcW w:w="1250" w:type="pct"/>
            <w:tcMar>
              <w:left w:w="142" w:type="dxa"/>
              <w:right w:w="142" w:type="dxa"/>
            </w:tcMar>
          </w:tcPr>
          <w:p w:rsidR="00D14763" w:rsidRPr="00C36C8F" w:rsidRDefault="00D14763" w:rsidP="00691AE4">
            <w:pPr>
              <w:pStyle w:val="TableText"/>
              <w:keepNext/>
              <w:rPr>
                <w:szCs w:val="18"/>
              </w:rPr>
            </w:pPr>
            <w:r w:rsidRPr="00C36C8F">
              <w:rPr>
                <w:szCs w:val="18"/>
              </w:rPr>
              <w:t>Rechargeable batteries from products such as laptops, phones and cameras.</w:t>
            </w:r>
          </w:p>
        </w:tc>
        <w:tc>
          <w:tcPr>
            <w:tcW w:w="2833" w:type="pct"/>
            <w:tcMar>
              <w:left w:w="142" w:type="dxa"/>
              <w:right w:w="142" w:type="dxa"/>
            </w:tcMar>
          </w:tcPr>
          <w:p w:rsidR="00D14763" w:rsidRPr="00C36C8F" w:rsidRDefault="00D14763" w:rsidP="00691AE4">
            <w:pPr>
              <w:pStyle w:val="TableText"/>
              <w:keepNext/>
              <w:rPr>
                <w:szCs w:val="18"/>
              </w:rPr>
            </w:pPr>
            <w:r w:rsidRPr="00C36C8F">
              <w:rPr>
                <w:szCs w:val="18"/>
              </w:rPr>
              <w:t>Batteryback is an industry-government initiative which provides a free recycling service via containers located in selected retail stores.</w:t>
            </w:r>
          </w:p>
        </w:tc>
      </w:tr>
      <w:tr w:rsidR="00D14763" w:rsidRPr="00C36C8F" w:rsidTr="009947F6">
        <w:trPr>
          <w:cantSplit/>
        </w:trPr>
        <w:tc>
          <w:tcPr>
            <w:tcW w:w="917" w:type="pct"/>
            <w:tcMar>
              <w:right w:w="142" w:type="dxa"/>
            </w:tcMar>
          </w:tcPr>
          <w:p w:rsidR="00D14763" w:rsidRPr="00C36C8F" w:rsidRDefault="00D14763" w:rsidP="00691AE4">
            <w:pPr>
              <w:pStyle w:val="TableText"/>
              <w:keepNext/>
              <w:rPr>
                <w:szCs w:val="18"/>
              </w:rPr>
            </w:pPr>
            <w:r w:rsidRPr="00C36C8F">
              <w:rPr>
                <w:szCs w:val="18"/>
              </w:rPr>
              <w:t>Detox Your Home</w:t>
            </w:r>
          </w:p>
        </w:tc>
        <w:tc>
          <w:tcPr>
            <w:tcW w:w="1250" w:type="pct"/>
            <w:tcMar>
              <w:left w:w="142" w:type="dxa"/>
              <w:right w:w="142" w:type="dxa"/>
            </w:tcMar>
          </w:tcPr>
          <w:p w:rsidR="00D14763" w:rsidRPr="00C36C8F" w:rsidRDefault="00D14763" w:rsidP="00691AE4">
            <w:pPr>
              <w:pStyle w:val="TableText"/>
              <w:keepNext/>
              <w:rPr>
                <w:szCs w:val="18"/>
              </w:rPr>
            </w:pPr>
            <w:r w:rsidRPr="00C36C8F">
              <w:rPr>
                <w:szCs w:val="18"/>
              </w:rPr>
              <w:t xml:space="preserve">Household hazardous waste, including paint, cleaners and pesticides </w:t>
            </w:r>
          </w:p>
        </w:tc>
        <w:tc>
          <w:tcPr>
            <w:tcW w:w="2833" w:type="pct"/>
            <w:tcMar>
              <w:left w:w="142" w:type="dxa"/>
              <w:right w:w="142" w:type="dxa"/>
            </w:tcMar>
          </w:tcPr>
          <w:p w:rsidR="00D14763" w:rsidRPr="00C36C8F" w:rsidRDefault="00D14763" w:rsidP="00691AE4">
            <w:pPr>
              <w:pStyle w:val="TableText"/>
              <w:keepNext/>
              <w:rPr>
                <w:szCs w:val="18"/>
              </w:rPr>
            </w:pPr>
            <w:r w:rsidRPr="00C36C8F">
              <w:rPr>
                <w:szCs w:val="18"/>
              </w:rPr>
              <w:t>A number of permanent Detox Your Home centres have been established, which are supplemented by a series of mobile collections held across Victoria annually.</w:t>
            </w:r>
          </w:p>
        </w:tc>
      </w:tr>
      <w:tr w:rsidR="00D14763" w:rsidRPr="00C36C8F" w:rsidTr="009947F6">
        <w:trPr>
          <w:cantSplit/>
        </w:trPr>
        <w:tc>
          <w:tcPr>
            <w:tcW w:w="917" w:type="pct"/>
            <w:tcMar>
              <w:right w:w="142" w:type="dxa"/>
            </w:tcMar>
          </w:tcPr>
          <w:p w:rsidR="00D14763" w:rsidRPr="00C36C8F" w:rsidRDefault="00D14763" w:rsidP="00691AE4">
            <w:pPr>
              <w:pStyle w:val="TableText"/>
              <w:keepNext/>
              <w:rPr>
                <w:szCs w:val="18"/>
              </w:rPr>
            </w:pPr>
            <w:r w:rsidRPr="00C36C8F">
              <w:rPr>
                <w:szCs w:val="18"/>
              </w:rPr>
              <w:t>Byteback</w:t>
            </w:r>
          </w:p>
        </w:tc>
        <w:tc>
          <w:tcPr>
            <w:tcW w:w="1250" w:type="pct"/>
            <w:tcMar>
              <w:left w:w="142" w:type="dxa"/>
              <w:right w:w="142" w:type="dxa"/>
            </w:tcMar>
          </w:tcPr>
          <w:p w:rsidR="00D14763" w:rsidRPr="00C36C8F" w:rsidRDefault="00D14763" w:rsidP="00691AE4">
            <w:pPr>
              <w:pStyle w:val="TableText"/>
              <w:keepNext/>
              <w:rPr>
                <w:szCs w:val="18"/>
              </w:rPr>
            </w:pPr>
            <w:r w:rsidRPr="00C36C8F">
              <w:rPr>
                <w:szCs w:val="18"/>
              </w:rPr>
              <w:t>Computer equipment and peripherals</w:t>
            </w:r>
          </w:p>
        </w:tc>
        <w:tc>
          <w:tcPr>
            <w:tcW w:w="2833" w:type="pct"/>
            <w:tcMar>
              <w:left w:w="142" w:type="dxa"/>
              <w:right w:w="142" w:type="dxa"/>
            </w:tcMar>
          </w:tcPr>
          <w:p w:rsidR="00D14763" w:rsidRPr="00C36C8F" w:rsidRDefault="00D14763" w:rsidP="00691AE4">
            <w:pPr>
              <w:pStyle w:val="TableText"/>
              <w:keepNext/>
              <w:rPr>
                <w:szCs w:val="18"/>
              </w:rPr>
            </w:pPr>
            <w:r w:rsidRPr="00C36C8F">
              <w:rPr>
                <w:szCs w:val="18"/>
              </w:rPr>
              <w:t>A number of permanent collection locations have been established for residents and small business owners in Victoria to safely dispose of unwanted, old and unused computers for recycling.</w:t>
            </w:r>
          </w:p>
        </w:tc>
      </w:tr>
      <w:tr w:rsidR="00D14763" w:rsidRPr="00C36C8F" w:rsidTr="009947F6">
        <w:trPr>
          <w:cantSplit/>
        </w:trPr>
        <w:tc>
          <w:tcPr>
            <w:tcW w:w="917" w:type="pct"/>
            <w:tcMar>
              <w:right w:w="142" w:type="dxa"/>
            </w:tcMar>
          </w:tcPr>
          <w:p w:rsidR="00D14763" w:rsidRPr="00C36C8F" w:rsidRDefault="00D14763" w:rsidP="00BE69D2">
            <w:pPr>
              <w:pStyle w:val="TableText"/>
              <w:rPr>
                <w:szCs w:val="18"/>
              </w:rPr>
            </w:pPr>
            <w:r w:rsidRPr="00C36C8F">
              <w:rPr>
                <w:szCs w:val="18"/>
              </w:rPr>
              <w:t>Flashback – trial</w:t>
            </w:r>
          </w:p>
        </w:tc>
        <w:tc>
          <w:tcPr>
            <w:tcW w:w="1250" w:type="pct"/>
            <w:tcMar>
              <w:left w:w="142" w:type="dxa"/>
              <w:right w:w="142" w:type="dxa"/>
            </w:tcMar>
          </w:tcPr>
          <w:p w:rsidR="00D14763" w:rsidRPr="00C36C8F" w:rsidRDefault="00D14763" w:rsidP="00BE69D2">
            <w:pPr>
              <w:pStyle w:val="TableText"/>
              <w:rPr>
                <w:szCs w:val="18"/>
              </w:rPr>
            </w:pPr>
            <w:r w:rsidRPr="00C36C8F">
              <w:rPr>
                <w:szCs w:val="18"/>
              </w:rPr>
              <w:t>End-of-life household light globes</w:t>
            </w:r>
          </w:p>
        </w:tc>
        <w:tc>
          <w:tcPr>
            <w:tcW w:w="2833" w:type="pct"/>
            <w:tcMar>
              <w:left w:w="142" w:type="dxa"/>
              <w:right w:w="142" w:type="dxa"/>
            </w:tcMar>
          </w:tcPr>
          <w:p w:rsidR="00D14763" w:rsidRPr="00C36C8F" w:rsidRDefault="00D14763" w:rsidP="00BE69D2">
            <w:pPr>
              <w:pStyle w:val="TableText"/>
              <w:rPr>
                <w:szCs w:val="18"/>
              </w:rPr>
            </w:pPr>
            <w:r w:rsidRPr="00C36C8F">
              <w:rPr>
                <w:szCs w:val="18"/>
              </w:rPr>
              <w:t>The Flashback 12 month trial was established to collect and recycle end-of-life household light globes. The trial ended on 30 June 2009 and an evaluation report was prepared for S</w:t>
            </w:r>
            <w:r w:rsidR="00587629" w:rsidRPr="00C36C8F">
              <w:rPr>
                <w:szCs w:val="18"/>
              </w:rPr>
              <w:t xml:space="preserve">ustainability </w:t>
            </w:r>
            <w:r w:rsidRPr="00C36C8F">
              <w:rPr>
                <w:szCs w:val="18"/>
              </w:rPr>
              <w:t>V</w:t>
            </w:r>
            <w:r w:rsidR="00587629" w:rsidRPr="00C36C8F">
              <w:rPr>
                <w:szCs w:val="18"/>
              </w:rPr>
              <w:t>ictoria</w:t>
            </w:r>
            <w:r w:rsidRPr="00C36C8F">
              <w:rPr>
                <w:szCs w:val="18"/>
              </w:rPr>
              <w:t xml:space="preserve">. Although the future of an ongoing program has not been determined, Mercury-containing lamps can be still be disposed of through the Detox Your Home permanent and mobile collections. </w:t>
            </w:r>
          </w:p>
        </w:tc>
      </w:tr>
    </w:tbl>
    <w:p w:rsidR="00DA4D44" w:rsidRPr="00C36C8F" w:rsidRDefault="00DA4D44" w:rsidP="002B6B01">
      <w:pPr>
        <w:pStyle w:val="ParaIndent"/>
        <w:spacing w:after="120"/>
      </w:pPr>
    </w:p>
    <w:p w:rsidR="00DA4D44" w:rsidRPr="00C36C8F" w:rsidRDefault="00DA4D44" w:rsidP="002B6B01">
      <w:pPr>
        <w:pStyle w:val="ParaIndent"/>
        <w:spacing w:after="120"/>
      </w:pPr>
      <w:r w:rsidRPr="00C36C8F">
        <w:br w:type="page"/>
      </w:r>
    </w:p>
    <w:p w:rsidR="00D14763" w:rsidRPr="00C36C8F" w:rsidRDefault="00D14763" w:rsidP="00D14763">
      <w:pPr>
        <w:pStyle w:val="Heading2"/>
        <w:spacing w:before="240"/>
      </w:pPr>
      <w:bookmarkStart w:id="256" w:name="_Toc325020119"/>
      <w:bookmarkStart w:id="257" w:name="_Toc305049767"/>
      <w:r w:rsidRPr="00C36C8F">
        <w:t>Queensland</w:t>
      </w:r>
      <w:bookmarkEnd w:id="256"/>
      <w:bookmarkEnd w:id="257"/>
    </w:p>
    <w:p w:rsidR="00D14763" w:rsidRPr="00C36C8F" w:rsidRDefault="00D14763" w:rsidP="00982ACC">
      <w:pPr>
        <w:pStyle w:val="ParaIndent"/>
        <w:jc w:val="both"/>
      </w:pPr>
      <w:r w:rsidRPr="00C36C8F">
        <w:t>Information on the programs and strategies being implemented in Queensland has been primarily sourced from:</w:t>
      </w:r>
    </w:p>
    <w:p w:rsidR="00D14763" w:rsidRPr="00C36C8F" w:rsidRDefault="005A19AF" w:rsidP="00982ACC">
      <w:pPr>
        <w:pStyle w:val="BulletPoints"/>
        <w:tabs>
          <w:tab w:val="clear" w:pos="567"/>
          <w:tab w:val="left" w:pos="1134"/>
          <w:tab w:val="num" w:pos="1701"/>
          <w:tab w:val="left" w:pos="2268"/>
        </w:tabs>
        <w:spacing w:after="180"/>
        <w:ind w:left="1701"/>
        <w:jc w:val="both"/>
      </w:pPr>
      <w:r>
        <w:t>t</w:t>
      </w:r>
      <w:r w:rsidR="00D14763" w:rsidRPr="00C36C8F">
        <w:t xml:space="preserve">he Department of Environment and Resource Management (DERM) website: www.derm.qld.gov.au </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 xml:space="preserve">Department of Environment and Resource Management (2010) </w:t>
      </w:r>
      <w:r w:rsidRPr="00C36C8F">
        <w:rPr>
          <w:i/>
        </w:rPr>
        <w:t>Queensland’s Waste Reduction and Recycling Strategy 2010–2020</w:t>
      </w:r>
      <w:r w:rsidR="005A19AF">
        <w:rPr>
          <w:i/>
        </w:rPr>
        <w:t>.</w:t>
      </w:r>
    </w:p>
    <w:p w:rsidR="00D14763" w:rsidRPr="00C36C8F" w:rsidRDefault="00D14763" w:rsidP="00982ACC">
      <w:pPr>
        <w:pStyle w:val="Heading40"/>
        <w:spacing w:before="0"/>
        <w:jc w:val="both"/>
      </w:pPr>
      <w:r w:rsidRPr="00C36C8F">
        <w:t>Queensland’s Waste Reduction &amp; Recycling Strategy 2010–2020</w:t>
      </w:r>
    </w:p>
    <w:p w:rsidR="00D14763" w:rsidRPr="00C36C8F" w:rsidRDefault="00D14763" w:rsidP="00982ACC">
      <w:pPr>
        <w:pStyle w:val="ParaIndent"/>
        <w:jc w:val="both"/>
      </w:pPr>
      <w:r w:rsidRPr="00C36C8F">
        <w:t>In Queensland, DERM has statutory responsibility to ‘</w:t>
      </w:r>
      <w:r w:rsidRPr="00C36C8F">
        <w:rPr>
          <w:i/>
        </w:rPr>
        <w:t>manage the environmental impacts of waste in Queensland and to minimise adverse effects on human health and the environment</w:t>
      </w:r>
      <w:r w:rsidRPr="00C36C8F">
        <w:t xml:space="preserve">.’ </w:t>
      </w:r>
    </w:p>
    <w:p w:rsidR="00D14763" w:rsidRPr="00C36C8F" w:rsidRDefault="00D14763" w:rsidP="00982ACC">
      <w:pPr>
        <w:pStyle w:val="ParaIndent"/>
        <w:jc w:val="both"/>
      </w:pPr>
      <w:r w:rsidRPr="00C36C8F">
        <w:t>Before becoming part of DERM, the former EPA released a discussion paper for Queensland in 2007 titled, ‘</w:t>
      </w:r>
      <w:r w:rsidRPr="00C36C8F">
        <w:rPr>
          <w:i/>
        </w:rPr>
        <w:t>Let’s not waste our Future: Queensland’s Waste Strategy’</w:t>
      </w:r>
      <w:r w:rsidRPr="00C36C8F">
        <w:t xml:space="preserve">. On the basis of consultation around the draft 2007 strategy, a revised draft strategy, </w:t>
      </w:r>
      <w:r w:rsidRPr="00C36C8F">
        <w:rPr>
          <w:i/>
        </w:rPr>
        <w:t>Queensland’s Waste Strategy 2010–2020 Waste Avoidance and Recycling Consultation Draft</w:t>
      </w:r>
      <w:r w:rsidRPr="00C36C8F">
        <w:t xml:space="preserve">, was released by DERM in June 2010. The draft Strategy was accompanied by a companion document titled, </w:t>
      </w:r>
      <w:r w:rsidRPr="00C36C8F">
        <w:rPr>
          <w:i/>
        </w:rPr>
        <w:t>Queensland’s Waste Strategy 2010–2020: Proposed Industry Waste Levy Consultation Draft</w:t>
      </w:r>
      <w:r w:rsidRPr="00C36C8F">
        <w:t>.</w:t>
      </w:r>
    </w:p>
    <w:p w:rsidR="00D14763" w:rsidRPr="00C36C8F" w:rsidRDefault="00D14763" w:rsidP="00982ACC">
      <w:pPr>
        <w:pStyle w:val="ParaIndent"/>
        <w:jc w:val="both"/>
      </w:pPr>
      <w:r w:rsidRPr="00C36C8F">
        <w:t xml:space="preserve">The feedback from the second draft Strategy and companion document was used to inform the final Strategy, </w:t>
      </w:r>
      <w:r w:rsidRPr="00C36C8F">
        <w:rPr>
          <w:i/>
        </w:rPr>
        <w:t>Queensland’s Waste Reduction and Recycling Strategy 2010–2020</w:t>
      </w:r>
      <w:r w:rsidRPr="00C36C8F">
        <w:t>, which was released by DERM in December 2010.</w:t>
      </w:r>
    </w:p>
    <w:p w:rsidR="00D14763" w:rsidRPr="00C36C8F" w:rsidRDefault="00D14763" w:rsidP="00982ACC">
      <w:pPr>
        <w:pStyle w:val="ParaIndent"/>
        <w:jc w:val="both"/>
      </w:pPr>
      <w:r w:rsidRPr="00C36C8F">
        <w:t xml:space="preserve">The Strategy acknowledges that it is seeking to ensure that Queensland is meeting a range of obligations including those under the </w:t>
      </w:r>
      <w:r w:rsidRPr="00C36C8F">
        <w:rPr>
          <w:i/>
        </w:rPr>
        <w:t>National Waste Policy</w:t>
      </w:r>
      <w:r w:rsidRPr="00C36C8F">
        <w:t xml:space="preserve"> and the Queensland Government’s targets outlined in </w:t>
      </w:r>
      <w:r w:rsidRPr="00C36C8F">
        <w:rPr>
          <w:i/>
        </w:rPr>
        <w:t>Toward Q2: Tomorrow’s Queensland</w:t>
      </w:r>
      <w:r w:rsidRPr="00C36C8F">
        <w:t xml:space="preserve">. </w:t>
      </w:r>
    </w:p>
    <w:p w:rsidR="00D14763" w:rsidRPr="00C36C8F" w:rsidRDefault="00D14763" w:rsidP="00982ACC">
      <w:pPr>
        <w:pStyle w:val="ParaIndent"/>
        <w:keepNext/>
        <w:jc w:val="both"/>
      </w:pPr>
      <w:r w:rsidRPr="00C36C8F">
        <w:t>The Strategy outlines guiding principles</w:t>
      </w:r>
      <w:r w:rsidR="000B006D" w:rsidRPr="00C36C8F">
        <w:t xml:space="preserve"> that</w:t>
      </w:r>
      <w:r w:rsidRPr="00C36C8F">
        <w:t xml:space="preserve"> are based on the waste and resource management hierarchy. On this basis it highlights that its broad goals are to:</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reduce waste</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optimise recovery and recycling</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develop sustainable waste industries and jobs.</w:t>
      </w:r>
    </w:p>
    <w:p w:rsidR="00D14763" w:rsidRPr="00C36C8F" w:rsidRDefault="000B006D" w:rsidP="000B006D">
      <w:pPr>
        <w:pStyle w:val="BulletPoints"/>
        <w:numPr>
          <w:ilvl w:val="0"/>
          <w:numId w:val="0"/>
        </w:numPr>
        <w:tabs>
          <w:tab w:val="left" w:pos="1134"/>
          <w:tab w:val="left" w:pos="2268"/>
        </w:tabs>
        <w:spacing w:after="180"/>
        <w:ind w:left="1134"/>
        <w:jc w:val="both"/>
      </w:pPr>
      <w:r w:rsidRPr="00C36C8F">
        <w:t>T</w:t>
      </w:r>
      <w:r w:rsidR="00D14763" w:rsidRPr="00C36C8F">
        <w:t>he Strategy has adopted a five-part approach to achieve these goals, which includes:</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clear targets and priorities</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setting a price signal – the waste disposal levy</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stronger regulation</w:t>
      </w:r>
    </w:p>
    <w:p w:rsidR="00D14763" w:rsidRPr="00C36C8F" w:rsidRDefault="00D14763" w:rsidP="00982ACC">
      <w:pPr>
        <w:pStyle w:val="BulletPoints"/>
        <w:tabs>
          <w:tab w:val="clear" w:pos="567"/>
          <w:tab w:val="left" w:pos="1134"/>
          <w:tab w:val="num" w:pos="1701"/>
          <w:tab w:val="left" w:pos="2268"/>
        </w:tabs>
        <w:spacing w:after="180"/>
        <w:ind w:left="1701"/>
        <w:jc w:val="both"/>
      </w:pPr>
      <w:r w:rsidRPr="00C36C8F">
        <w:t>new programs and investment strategies</w:t>
      </w:r>
    </w:p>
    <w:p w:rsidR="00D14763" w:rsidRPr="00C36C8F" w:rsidRDefault="002B559B" w:rsidP="00982ACC">
      <w:pPr>
        <w:pStyle w:val="BulletPoints"/>
        <w:tabs>
          <w:tab w:val="clear" w:pos="567"/>
          <w:tab w:val="left" w:pos="1134"/>
          <w:tab w:val="num" w:pos="1701"/>
          <w:tab w:val="left" w:pos="2268"/>
        </w:tabs>
        <w:spacing w:after="180"/>
        <w:ind w:left="1701"/>
        <w:jc w:val="both"/>
      </w:pPr>
      <w:r w:rsidRPr="00C36C8F">
        <w:t>partnering for change</w:t>
      </w:r>
      <w:r w:rsidR="00F77479" w:rsidRPr="00C36C8F">
        <w:t>.</w:t>
      </w:r>
    </w:p>
    <w:p w:rsidR="00D14763" w:rsidRPr="00C36C8F" w:rsidRDefault="00D14763" w:rsidP="00982ACC">
      <w:pPr>
        <w:pStyle w:val="ParaIndent"/>
        <w:jc w:val="both"/>
      </w:pPr>
      <w:r w:rsidRPr="00C36C8F">
        <w:t xml:space="preserve">The Strategy is to be reviewed every three years, and the targets as articulated in the ten year Strategy are outlined in </w:t>
      </w:r>
      <w:fldSimple w:instr=" REF _Ref283642857 \h  \* MERGEFORMAT ">
        <w:r w:rsidR="00AE7E3B" w:rsidRPr="00C36C8F">
          <w:t xml:space="preserve">Table </w:t>
        </w:r>
        <w:r w:rsidR="00AE7E3B">
          <w:rPr>
            <w:noProof/>
          </w:rPr>
          <w:t>6</w:t>
        </w:r>
        <w:r w:rsidR="00AE7E3B" w:rsidRPr="00C36C8F">
          <w:rPr>
            <w:noProof/>
          </w:rPr>
          <w:t>-</w:t>
        </w:r>
        <w:r w:rsidR="00AE7E3B">
          <w:rPr>
            <w:noProof/>
          </w:rPr>
          <w:t>57</w:t>
        </w:r>
      </w:fldSimple>
      <w:r w:rsidRPr="00C36C8F">
        <w:t>.</w:t>
      </w:r>
    </w:p>
    <w:p w:rsidR="00D14763" w:rsidRPr="00C36C8F" w:rsidRDefault="00D14763" w:rsidP="00D14763">
      <w:pPr>
        <w:pStyle w:val="Caption"/>
      </w:pPr>
      <w:bookmarkStart w:id="258" w:name="_Ref283642857"/>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57</w:t>
      </w:r>
      <w:r w:rsidR="00B9555F" w:rsidRPr="00C36C8F">
        <w:rPr>
          <w:noProof/>
        </w:rPr>
        <w:fldChar w:fldCharType="end"/>
      </w:r>
      <w:bookmarkEnd w:id="258"/>
      <w:r w:rsidRPr="00C36C8F">
        <w:tab/>
        <w:t>Key targets and dates, Queensland</w:t>
      </w:r>
    </w:p>
    <w:tbl>
      <w:tblPr>
        <w:tblW w:w="0" w:type="auto"/>
        <w:tblInd w:w="1134" w:type="dxa"/>
        <w:tblBorders>
          <w:bottom w:val="single" w:sz="18" w:space="0" w:color="808080"/>
          <w:insideH w:val="single" w:sz="4" w:space="0" w:color="808080"/>
        </w:tblBorders>
        <w:tblLayout w:type="fixed"/>
        <w:tblCellMar>
          <w:left w:w="0" w:type="dxa"/>
          <w:right w:w="0" w:type="dxa"/>
        </w:tblCellMar>
        <w:tblLook w:val="0000"/>
      </w:tblPr>
      <w:tblGrid>
        <w:gridCol w:w="1985"/>
        <w:gridCol w:w="1559"/>
        <w:gridCol w:w="1559"/>
        <w:gridCol w:w="1559"/>
        <w:gridCol w:w="1559"/>
      </w:tblGrid>
      <w:tr w:rsidR="00D14763" w:rsidRPr="00C36C8F" w:rsidTr="00BE69D2">
        <w:trPr>
          <w:cantSplit/>
        </w:trPr>
        <w:tc>
          <w:tcPr>
            <w:tcW w:w="1985" w:type="dxa"/>
            <w:shd w:val="clear" w:color="auto" w:fill="auto"/>
          </w:tcPr>
          <w:p w:rsidR="00D14763" w:rsidRPr="00C36C8F" w:rsidRDefault="00D14763" w:rsidP="00BE69D2">
            <w:pPr>
              <w:pStyle w:val="TableHeading"/>
            </w:pPr>
            <w:r w:rsidRPr="00C36C8F">
              <w:t>Target</w:t>
            </w:r>
          </w:p>
        </w:tc>
        <w:tc>
          <w:tcPr>
            <w:tcW w:w="1559" w:type="dxa"/>
            <w:shd w:val="clear" w:color="auto" w:fill="auto"/>
          </w:tcPr>
          <w:p w:rsidR="00D14763" w:rsidRPr="00C36C8F" w:rsidRDefault="00D14763" w:rsidP="00BE69D2">
            <w:pPr>
              <w:pStyle w:val="TableHeading"/>
            </w:pPr>
            <w:r w:rsidRPr="00C36C8F">
              <w:t>2008 baseline</w:t>
            </w:r>
          </w:p>
        </w:tc>
        <w:tc>
          <w:tcPr>
            <w:tcW w:w="1559" w:type="dxa"/>
            <w:shd w:val="clear" w:color="auto" w:fill="auto"/>
          </w:tcPr>
          <w:p w:rsidR="00D14763" w:rsidRPr="00C36C8F" w:rsidRDefault="00D14763" w:rsidP="00BE69D2">
            <w:pPr>
              <w:pStyle w:val="TableHeading"/>
            </w:pPr>
            <w:r w:rsidRPr="00C36C8F">
              <w:t>By 2014</w:t>
            </w:r>
          </w:p>
        </w:tc>
        <w:tc>
          <w:tcPr>
            <w:tcW w:w="1559" w:type="dxa"/>
            <w:shd w:val="clear" w:color="auto" w:fill="auto"/>
          </w:tcPr>
          <w:p w:rsidR="00D14763" w:rsidRPr="00C36C8F" w:rsidRDefault="00D14763" w:rsidP="00BE69D2">
            <w:pPr>
              <w:pStyle w:val="TableHeading"/>
            </w:pPr>
            <w:r w:rsidRPr="00C36C8F">
              <w:t>By 2017</w:t>
            </w:r>
          </w:p>
        </w:tc>
        <w:tc>
          <w:tcPr>
            <w:tcW w:w="1559" w:type="dxa"/>
            <w:shd w:val="clear" w:color="auto" w:fill="auto"/>
          </w:tcPr>
          <w:p w:rsidR="00D14763" w:rsidRPr="00C36C8F" w:rsidRDefault="00D14763" w:rsidP="00BE69D2">
            <w:pPr>
              <w:pStyle w:val="TableHeading"/>
            </w:pPr>
            <w:r w:rsidRPr="00C36C8F">
              <w:t>By 2020</w:t>
            </w:r>
          </w:p>
        </w:tc>
      </w:tr>
      <w:tr w:rsidR="00D14763" w:rsidRPr="00C36C8F" w:rsidTr="00BE69D2">
        <w:trPr>
          <w:cantSplit/>
        </w:trPr>
        <w:tc>
          <w:tcPr>
            <w:tcW w:w="1985" w:type="dxa"/>
          </w:tcPr>
          <w:p w:rsidR="00D14763" w:rsidRPr="00C36C8F" w:rsidRDefault="00D14763" w:rsidP="00BE69D2">
            <w:pPr>
              <w:pStyle w:val="TableText"/>
              <w:rPr>
                <w:bCs/>
                <w:lang w:eastAsia="en-AU"/>
              </w:rPr>
            </w:pPr>
            <w:r w:rsidRPr="00C36C8F">
              <w:rPr>
                <w:bCs/>
                <w:lang w:eastAsia="en-AU"/>
              </w:rPr>
              <w:t>Reduce waste disposal to landfill, compared to business-as-usual</w:t>
            </w:r>
          </w:p>
          <w:p w:rsidR="00D14763" w:rsidRPr="00C36C8F" w:rsidRDefault="00D14763" w:rsidP="00BE69D2">
            <w:pPr>
              <w:pStyle w:val="TableText"/>
            </w:pPr>
            <w:r w:rsidRPr="00C36C8F">
              <w:rPr>
                <w:bCs/>
                <w:lang w:eastAsia="en-AU"/>
              </w:rPr>
              <w:t>projections</w:t>
            </w:r>
          </w:p>
        </w:tc>
        <w:tc>
          <w:tcPr>
            <w:tcW w:w="1559" w:type="dxa"/>
          </w:tcPr>
          <w:p w:rsidR="00D14763" w:rsidRPr="00C36C8F" w:rsidRDefault="00D14763" w:rsidP="00BE69D2">
            <w:pPr>
              <w:pStyle w:val="TableText"/>
            </w:pPr>
            <w:r w:rsidRPr="00C36C8F">
              <w:rPr>
                <w:lang w:eastAsia="en-AU"/>
              </w:rPr>
              <w:t>Business-as-usual – no strategy</w:t>
            </w:r>
          </w:p>
        </w:tc>
        <w:tc>
          <w:tcPr>
            <w:tcW w:w="1559" w:type="dxa"/>
          </w:tcPr>
          <w:p w:rsidR="00D14763" w:rsidRPr="00C36C8F" w:rsidRDefault="00D14763" w:rsidP="00BE69D2">
            <w:pPr>
              <w:pStyle w:val="TableText"/>
              <w:rPr>
                <w:lang w:eastAsia="en-AU"/>
              </w:rPr>
            </w:pPr>
            <w:r w:rsidRPr="00C36C8F">
              <w:rPr>
                <w:lang w:eastAsia="en-AU"/>
              </w:rPr>
              <w:t>Reduce landfill</w:t>
            </w:r>
          </w:p>
          <w:p w:rsidR="00D14763" w:rsidRPr="00C36C8F" w:rsidRDefault="00D14763" w:rsidP="00BE69D2">
            <w:pPr>
              <w:pStyle w:val="TableText"/>
            </w:pPr>
            <w:r w:rsidRPr="00C36C8F">
              <w:rPr>
                <w:lang w:eastAsia="en-AU"/>
              </w:rPr>
              <w:t>disposal by 25% – 4.6 million tonnes of avoided landfill disposal since 2010</w:t>
            </w:r>
          </w:p>
        </w:tc>
        <w:tc>
          <w:tcPr>
            <w:tcW w:w="1559" w:type="dxa"/>
          </w:tcPr>
          <w:p w:rsidR="00D14763" w:rsidRPr="00C36C8F" w:rsidRDefault="00D14763" w:rsidP="00BE69D2">
            <w:pPr>
              <w:pStyle w:val="TableText"/>
              <w:rPr>
                <w:lang w:eastAsia="en-AU"/>
              </w:rPr>
            </w:pPr>
            <w:r w:rsidRPr="00C36C8F">
              <w:rPr>
                <w:lang w:eastAsia="en-AU"/>
              </w:rPr>
              <w:t>Reduce landfill</w:t>
            </w:r>
          </w:p>
          <w:p w:rsidR="00D14763" w:rsidRPr="00C36C8F" w:rsidRDefault="00D14763" w:rsidP="00BE69D2">
            <w:pPr>
              <w:pStyle w:val="TableText"/>
            </w:pPr>
            <w:r w:rsidRPr="00C36C8F">
              <w:rPr>
                <w:lang w:eastAsia="en-AU"/>
              </w:rPr>
              <w:t>disposal by 40% – 9.9 million tonnes of additional avoided landfill disposal since 2014</w:t>
            </w:r>
          </w:p>
        </w:tc>
        <w:tc>
          <w:tcPr>
            <w:tcW w:w="1559" w:type="dxa"/>
          </w:tcPr>
          <w:p w:rsidR="00D14763" w:rsidRPr="00C36C8F" w:rsidRDefault="00D14763" w:rsidP="00BE69D2">
            <w:pPr>
              <w:pStyle w:val="TableText"/>
              <w:rPr>
                <w:lang w:eastAsia="en-AU"/>
              </w:rPr>
            </w:pPr>
            <w:r w:rsidRPr="00C36C8F">
              <w:rPr>
                <w:lang w:eastAsia="en-AU"/>
              </w:rPr>
              <w:t>Reduce landfill</w:t>
            </w:r>
          </w:p>
          <w:p w:rsidR="00D14763" w:rsidRPr="00C36C8F" w:rsidRDefault="00D14763" w:rsidP="00BE69D2">
            <w:pPr>
              <w:pStyle w:val="TableText"/>
              <w:rPr>
                <w:lang w:eastAsia="en-AU"/>
              </w:rPr>
            </w:pPr>
            <w:r w:rsidRPr="00C36C8F">
              <w:rPr>
                <w:lang w:eastAsia="en-AU"/>
              </w:rPr>
              <w:t>disposal by 50% – 16.3 million tonnes of additional avoided landfill</w:t>
            </w:r>
          </w:p>
          <w:p w:rsidR="00D14763" w:rsidRPr="00C36C8F" w:rsidRDefault="00D14763" w:rsidP="00BE69D2">
            <w:pPr>
              <w:pStyle w:val="TableText"/>
              <w:rPr>
                <w:lang w:eastAsia="en-AU"/>
              </w:rPr>
            </w:pPr>
            <w:r w:rsidRPr="00C36C8F">
              <w:rPr>
                <w:lang w:eastAsia="en-AU"/>
              </w:rPr>
              <w:t>disposal since</w:t>
            </w:r>
          </w:p>
          <w:p w:rsidR="00D14763" w:rsidRPr="00C36C8F" w:rsidRDefault="00D14763" w:rsidP="00BE69D2">
            <w:pPr>
              <w:pStyle w:val="TableText"/>
            </w:pPr>
            <w:r w:rsidRPr="00C36C8F">
              <w:rPr>
                <w:lang w:eastAsia="en-AU"/>
              </w:rPr>
              <w:t>2017</w:t>
            </w:r>
          </w:p>
        </w:tc>
      </w:tr>
      <w:tr w:rsidR="00D14763" w:rsidRPr="00C36C8F" w:rsidTr="00BE69D2">
        <w:trPr>
          <w:cantSplit/>
        </w:trPr>
        <w:tc>
          <w:tcPr>
            <w:tcW w:w="1985" w:type="dxa"/>
          </w:tcPr>
          <w:p w:rsidR="00D14763" w:rsidRPr="00C36C8F" w:rsidRDefault="00D14763" w:rsidP="00BE69D2">
            <w:pPr>
              <w:pStyle w:val="TableText"/>
            </w:pPr>
            <w:r w:rsidRPr="00C36C8F">
              <w:rPr>
                <w:bCs/>
                <w:lang w:eastAsia="en-AU"/>
              </w:rPr>
              <w:t>Increase recycling of construction and demolition waste</w:t>
            </w:r>
          </w:p>
        </w:tc>
        <w:tc>
          <w:tcPr>
            <w:tcW w:w="1559" w:type="dxa"/>
          </w:tcPr>
          <w:p w:rsidR="00D14763" w:rsidRPr="00C36C8F" w:rsidRDefault="00D14763" w:rsidP="00BE69D2">
            <w:pPr>
              <w:pStyle w:val="TableText"/>
            </w:pPr>
            <w:r w:rsidRPr="00C36C8F">
              <w:t>35%</w:t>
            </w:r>
          </w:p>
        </w:tc>
        <w:tc>
          <w:tcPr>
            <w:tcW w:w="1559" w:type="dxa"/>
          </w:tcPr>
          <w:p w:rsidR="00D14763" w:rsidRPr="00C36C8F" w:rsidRDefault="00D14763" w:rsidP="00BE69D2">
            <w:pPr>
              <w:pStyle w:val="TableText"/>
            </w:pPr>
            <w:r w:rsidRPr="00C36C8F">
              <w:t>50%</w:t>
            </w:r>
          </w:p>
        </w:tc>
        <w:tc>
          <w:tcPr>
            <w:tcW w:w="1559" w:type="dxa"/>
          </w:tcPr>
          <w:p w:rsidR="00D14763" w:rsidRPr="00C36C8F" w:rsidRDefault="00D14763" w:rsidP="00BE69D2">
            <w:pPr>
              <w:pStyle w:val="TableText"/>
            </w:pPr>
            <w:r w:rsidRPr="00C36C8F">
              <w:t>60%</w:t>
            </w:r>
          </w:p>
        </w:tc>
        <w:tc>
          <w:tcPr>
            <w:tcW w:w="1559" w:type="dxa"/>
          </w:tcPr>
          <w:p w:rsidR="00D14763" w:rsidRPr="00C36C8F" w:rsidRDefault="00D14763" w:rsidP="00BE69D2">
            <w:pPr>
              <w:pStyle w:val="TableText"/>
            </w:pPr>
            <w:r w:rsidRPr="00C36C8F">
              <w:t>75%</w:t>
            </w:r>
          </w:p>
        </w:tc>
      </w:tr>
      <w:tr w:rsidR="00D14763" w:rsidRPr="00C36C8F" w:rsidTr="00BE69D2">
        <w:trPr>
          <w:cantSplit/>
        </w:trPr>
        <w:tc>
          <w:tcPr>
            <w:tcW w:w="1985" w:type="dxa"/>
          </w:tcPr>
          <w:p w:rsidR="00D14763" w:rsidRPr="00C36C8F" w:rsidRDefault="00D14763" w:rsidP="00BE69D2">
            <w:pPr>
              <w:pStyle w:val="TableText"/>
            </w:pPr>
            <w:r w:rsidRPr="00C36C8F">
              <w:rPr>
                <w:bCs/>
                <w:lang w:eastAsia="en-AU"/>
              </w:rPr>
              <w:t>Increase recycling of commercial and industrial waste</w:t>
            </w:r>
          </w:p>
        </w:tc>
        <w:tc>
          <w:tcPr>
            <w:tcW w:w="1559" w:type="dxa"/>
          </w:tcPr>
          <w:p w:rsidR="00D14763" w:rsidRPr="00C36C8F" w:rsidRDefault="00D14763" w:rsidP="00BE69D2">
            <w:pPr>
              <w:pStyle w:val="TableText"/>
            </w:pPr>
            <w:r w:rsidRPr="00C36C8F">
              <w:t>18%</w:t>
            </w:r>
          </w:p>
        </w:tc>
        <w:tc>
          <w:tcPr>
            <w:tcW w:w="1559" w:type="dxa"/>
          </w:tcPr>
          <w:p w:rsidR="00D14763" w:rsidRPr="00C36C8F" w:rsidRDefault="00D14763" w:rsidP="00BE69D2">
            <w:pPr>
              <w:pStyle w:val="TableText"/>
            </w:pPr>
            <w:r w:rsidRPr="00C36C8F">
              <w:t>40%</w:t>
            </w:r>
          </w:p>
        </w:tc>
        <w:tc>
          <w:tcPr>
            <w:tcW w:w="1559" w:type="dxa"/>
          </w:tcPr>
          <w:p w:rsidR="00D14763" w:rsidRPr="00C36C8F" w:rsidRDefault="00D14763" w:rsidP="00BE69D2">
            <w:pPr>
              <w:pStyle w:val="TableText"/>
            </w:pPr>
            <w:r w:rsidRPr="00C36C8F">
              <w:t>50%</w:t>
            </w:r>
          </w:p>
        </w:tc>
        <w:tc>
          <w:tcPr>
            <w:tcW w:w="1559" w:type="dxa"/>
          </w:tcPr>
          <w:p w:rsidR="00D14763" w:rsidRPr="00C36C8F" w:rsidRDefault="00D14763" w:rsidP="00BE69D2">
            <w:pPr>
              <w:pStyle w:val="TableText"/>
            </w:pPr>
            <w:r w:rsidRPr="00C36C8F">
              <w:t>60%</w:t>
            </w:r>
          </w:p>
        </w:tc>
      </w:tr>
      <w:tr w:rsidR="00D14763" w:rsidRPr="00C36C8F" w:rsidTr="00BE69D2">
        <w:trPr>
          <w:cantSplit/>
        </w:trPr>
        <w:tc>
          <w:tcPr>
            <w:tcW w:w="1985" w:type="dxa"/>
          </w:tcPr>
          <w:p w:rsidR="00D14763" w:rsidRPr="00C36C8F" w:rsidRDefault="00D14763" w:rsidP="00BE69D2">
            <w:pPr>
              <w:pStyle w:val="TableText"/>
            </w:pPr>
            <w:r w:rsidRPr="00C36C8F">
              <w:rPr>
                <w:bCs/>
                <w:lang w:eastAsia="en-AU"/>
              </w:rPr>
              <w:t>Increase recycling of regulated waste</w:t>
            </w:r>
          </w:p>
        </w:tc>
        <w:tc>
          <w:tcPr>
            <w:tcW w:w="1559" w:type="dxa"/>
          </w:tcPr>
          <w:p w:rsidR="00D14763" w:rsidRPr="00C36C8F" w:rsidRDefault="00D14763" w:rsidP="00BE69D2">
            <w:pPr>
              <w:pStyle w:val="TableText"/>
            </w:pPr>
            <w:r w:rsidRPr="00C36C8F">
              <w:t>30%</w:t>
            </w:r>
          </w:p>
        </w:tc>
        <w:tc>
          <w:tcPr>
            <w:tcW w:w="1559" w:type="dxa"/>
          </w:tcPr>
          <w:p w:rsidR="00D14763" w:rsidRPr="00C36C8F" w:rsidRDefault="00D14763" w:rsidP="00BE69D2">
            <w:pPr>
              <w:pStyle w:val="TableText"/>
            </w:pPr>
            <w:r w:rsidRPr="00C36C8F">
              <w:t>35%</w:t>
            </w:r>
          </w:p>
        </w:tc>
        <w:tc>
          <w:tcPr>
            <w:tcW w:w="1559" w:type="dxa"/>
          </w:tcPr>
          <w:p w:rsidR="00D14763" w:rsidRPr="00C36C8F" w:rsidRDefault="00D14763" w:rsidP="00BE69D2">
            <w:pPr>
              <w:pStyle w:val="TableText"/>
            </w:pPr>
            <w:r w:rsidRPr="00C36C8F">
              <w:t>40%</w:t>
            </w:r>
          </w:p>
        </w:tc>
        <w:tc>
          <w:tcPr>
            <w:tcW w:w="1559" w:type="dxa"/>
          </w:tcPr>
          <w:p w:rsidR="00D14763" w:rsidRPr="00C36C8F" w:rsidRDefault="00D14763" w:rsidP="00BE69D2">
            <w:pPr>
              <w:pStyle w:val="TableText"/>
            </w:pPr>
            <w:r w:rsidRPr="00C36C8F">
              <w:t>45%</w:t>
            </w:r>
          </w:p>
        </w:tc>
      </w:tr>
      <w:tr w:rsidR="00D14763" w:rsidRPr="00C36C8F" w:rsidTr="00BE69D2">
        <w:trPr>
          <w:cantSplit/>
        </w:trPr>
        <w:tc>
          <w:tcPr>
            <w:tcW w:w="1985" w:type="dxa"/>
            <w:tcBorders>
              <w:bottom w:val="single" w:sz="4" w:space="0" w:color="808080"/>
            </w:tcBorders>
          </w:tcPr>
          <w:p w:rsidR="00D14763" w:rsidRPr="00C36C8F" w:rsidRDefault="00D14763" w:rsidP="00BE69D2">
            <w:pPr>
              <w:pStyle w:val="TableText"/>
              <w:rPr>
                <w:bCs/>
                <w:lang w:eastAsia="en-AU"/>
              </w:rPr>
            </w:pPr>
            <w:r w:rsidRPr="00C36C8F">
              <w:rPr>
                <w:bCs/>
                <w:lang w:eastAsia="en-AU"/>
              </w:rPr>
              <w:t>Increase recycling of municipal solid waste</w:t>
            </w:r>
          </w:p>
          <w:p w:rsidR="00D14763" w:rsidRPr="00C36C8F" w:rsidRDefault="00D14763" w:rsidP="00BE69D2">
            <w:pPr>
              <w:pStyle w:val="TableText"/>
            </w:pPr>
            <w:r w:rsidRPr="00C36C8F">
              <w:rPr>
                <w:bCs/>
                <w:lang w:eastAsia="en-AU"/>
              </w:rPr>
              <w:t>Target 150: increase recycling of household waste to 150 kg per person per year</w:t>
            </w:r>
          </w:p>
        </w:tc>
        <w:tc>
          <w:tcPr>
            <w:tcW w:w="1559" w:type="dxa"/>
            <w:tcBorders>
              <w:bottom w:val="single" w:sz="4" w:space="0" w:color="808080"/>
            </w:tcBorders>
          </w:tcPr>
          <w:p w:rsidR="00D14763" w:rsidRPr="00C36C8F" w:rsidRDefault="00D14763" w:rsidP="00BE69D2">
            <w:pPr>
              <w:pStyle w:val="TableText"/>
            </w:pPr>
            <w:r w:rsidRPr="00C36C8F">
              <w:t>23%</w:t>
            </w:r>
          </w:p>
          <w:p w:rsidR="00D14763" w:rsidRPr="00C36C8F" w:rsidRDefault="00D14763" w:rsidP="00BE69D2">
            <w:pPr>
              <w:pStyle w:val="TableText"/>
            </w:pPr>
            <w:r w:rsidRPr="00C36C8F">
              <w:t>64 kg per person per year</w:t>
            </w:r>
          </w:p>
        </w:tc>
        <w:tc>
          <w:tcPr>
            <w:tcW w:w="1559" w:type="dxa"/>
            <w:tcBorders>
              <w:bottom w:val="single" w:sz="4" w:space="0" w:color="808080"/>
            </w:tcBorders>
          </w:tcPr>
          <w:p w:rsidR="00D14763" w:rsidRPr="00C36C8F" w:rsidRDefault="00D14763" w:rsidP="00BE69D2">
            <w:pPr>
              <w:pStyle w:val="TableText"/>
            </w:pPr>
            <w:r w:rsidRPr="00C36C8F">
              <w:t>50%</w:t>
            </w:r>
          </w:p>
          <w:p w:rsidR="00D14763" w:rsidRPr="00C36C8F" w:rsidRDefault="00D14763" w:rsidP="00BE69D2">
            <w:pPr>
              <w:pStyle w:val="TableText"/>
            </w:pPr>
            <w:r w:rsidRPr="00C36C8F">
              <w:t>80 kg per person per year</w:t>
            </w:r>
          </w:p>
        </w:tc>
        <w:tc>
          <w:tcPr>
            <w:tcW w:w="1559" w:type="dxa"/>
            <w:tcBorders>
              <w:bottom w:val="single" w:sz="4" w:space="0" w:color="808080"/>
            </w:tcBorders>
          </w:tcPr>
          <w:p w:rsidR="00D14763" w:rsidRPr="00C36C8F" w:rsidRDefault="00D14763" w:rsidP="00BE69D2">
            <w:pPr>
              <w:pStyle w:val="TableText"/>
            </w:pPr>
            <w:r w:rsidRPr="00C36C8F">
              <w:t>55%</w:t>
            </w:r>
          </w:p>
          <w:p w:rsidR="00D14763" w:rsidRPr="00C36C8F" w:rsidRDefault="00D14763" w:rsidP="00BE69D2">
            <w:pPr>
              <w:pStyle w:val="TableText"/>
            </w:pPr>
            <w:r w:rsidRPr="00C36C8F">
              <w:t>100 kg per person per year</w:t>
            </w:r>
          </w:p>
        </w:tc>
        <w:tc>
          <w:tcPr>
            <w:tcW w:w="1559" w:type="dxa"/>
            <w:tcBorders>
              <w:bottom w:val="single" w:sz="4" w:space="0" w:color="808080"/>
            </w:tcBorders>
          </w:tcPr>
          <w:p w:rsidR="00D14763" w:rsidRPr="00C36C8F" w:rsidRDefault="00D14763" w:rsidP="00BE69D2">
            <w:pPr>
              <w:pStyle w:val="TableText"/>
            </w:pPr>
            <w:r w:rsidRPr="00C36C8F">
              <w:t>65%</w:t>
            </w:r>
          </w:p>
          <w:p w:rsidR="00D14763" w:rsidRPr="00C36C8F" w:rsidRDefault="00D14763" w:rsidP="00BE69D2">
            <w:pPr>
              <w:pStyle w:val="TableText"/>
            </w:pPr>
            <w:r w:rsidRPr="00C36C8F">
              <w:t>150 kg per person per year</w:t>
            </w:r>
          </w:p>
        </w:tc>
      </w:tr>
      <w:tr w:rsidR="00D14763" w:rsidRPr="00C36C8F" w:rsidTr="00BE69D2">
        <w:trPr>
          <w:cantSplit/>
        </w:trPr>
        <w:tc>
          <w:tcPr>
            <w:tcW w:w="1985" w:type="dxa"/>
            <w:tcBorders>
              <w:top w:val="single" w:sz="4" w:space="0" w:color="808080"/>
              <w:bottom w:val="single" w:sz="4" w:space="0" w:color="808080"/>
            </w:tcBorders>
          </w:tcPr>
          <w:p w:rsidR="00D14763" w:rsidRPr="00C36C8F" w:rsidRDefault="00D14763" w:rsidP="00BE69D2">
            <w:pPr>
              <w:pStyle w:val="TableText"/>
            </w:pPr>
            <w:r w:rsidRPr="00C36C8F">
              <w:rPr>
                <w:bCs/>
                <w:lang w:eastAsia="en-AU"/>
              </w:rPr>
              <w:t>Reduce generation of waste</w:t>
            </w:r>
          </w:p>
        </w:tc>
        <w:tc>
          <w:tcPr>
            <w:tcW w:w="1559" w:type="dxa"/>
            <w:tcBorders>
              <w:top w:val="single" w:sz="4" w:space="0" w:color="808080"/>
              <w:bottom w:val="single" w:sz="4" w:space="0" w:color="808080"/>
            </w:tcBorders>
          </w:tcPr>
          <w:p w:rsidR="00D14763" w:rsidRPr="00C36C8F" w:rsidRDefault="00D14763" w:rsidP="00BE69D2">
            <w:pPr>
              <w:pStyle w:val="TableText"/>
            </w:pPr>
            <w:r w:rsidRPr="00C36C8F">
              <w:t>2.4 tonnes per person per year</w:t>
            </w:r>
          </w:p>
        </w:tc>
        <w:tc>
          <w:tcPr>
            <w:tcW w:w="1559" w:type="dxa"/>
            <w:tcBorders>
              <w:top w:val="single" w:sz="4" w:space="0" w:color="808080"/>
              <w:bottom w:val="single" w:sz="4" w:space="0" w:color="808080"/>
            </w:tcBorders>
          </w:tcPr>
          <w:p w:rsidR="00D14763" w:rsidRPr="00C36C8F" w:rsidRDefault="00D14763" w:rsidP="00BE69D2">
            <w:pPr>
              <w:pStyle w:val="TableText"/>
            </w:pPr>
            <w:r w:rsidRPr="00C36C8F">
              <w:t>5% reduction 2.4 tonnes per person per year</w:t>
            </w:r>
          </w:p>
        </w:tc>
        <w:tc>
          <w:tcPr>
            <w:tcW w:w="1559" w:type="dxa"/>
            <w:tcBorders>
              <w:top w:val="single" w:sz="4" w:space="0" w:color="808080"/>
              <w:bottom w:val="single" w:sz="4" w:space="0" w:color="808080"/>
            </w:tcBorders>
          </w:tcPr>
          <w:p w:rsidR="00D14763" w:rsidRPr="00C36C8F" w:rsidRDefault="00D14763" w:rsidP="00BE69D2">
            <w:pPr>
              <w:pStyle w:val="TableText"/>
            </w:pPr>
            <w:r w:rsidRPr="00C36C8F">
              <w:t>10% reduction 2.2 tonnes per person per year</w:t>
            </w:r>
          </w:p>
        </w:tc>
        <w:tc>
          <w:tcPr>
            <w:tcW w:w="1559" w:type="dxa"/>
            <w:tcBorders>
              <w:top w:val="single" w:sz="4" w:space="0" w:color="808080"/>
              <w:bottom w:val="single" w:sz="4" w:space="0" w:color="808080"/>
            </w:tcBorders>
          </w:tcPr>
          <w:p w:rsidR="00D14763" w:rsidRPr="00C36C8F" w:rsidRDefault="00D14763" w:rsidP="00BE69D2">
            <w:pPr>
              <w:pStyle w:val="TableText"/>
            </w:pPr>
            <w:r w:rsidRPr="00C36C8F">
              <w:t>15% reduction 2 tonnes per person per year</w:t>
            </w:r>
          </w:p>
        </w:tc>
      </w:tr>
    </w:tbl>
    <w:p w:rsidR="009B3DDD" w:rsidRPr="00C36C8F" w:rsidRDefault="009B3DDD" w:rsidP="009947F6">
      <w:pPr>
        <w:pStyle w:val="Heading40"/>
        <w:spacing w:before="0" w:after="120"/>
        <w:jc w:val="both"/>
      </w:pPr>
    </w:p>
    <w:p w:rsidR="00D14763" w:rsidRPr="00C36C8F" w:rsidRDefault="000B006D" w:rsidP="00982ACC">
      <w:pPr>
        <w:pStyle w:val="Heading40"/>
        <w:spacing w:before="0"/>
        <w:jc w:val="both"/>
      </w:pPr>
      <w:r w:rsidRPr="00C36C8F">
        <w:t>W</w:t>
      </w:r>
      <w:r w:rsidR="00D14763" w:rsidRPr="00C36C8F">
        <w:t>aste disposal levy</w:t>
      </w:r>
    </w:p>
    <w:p w:rsidR="00D14763" w:rsidRPr="00C36C8F" w:rsidRDefault="00D14763" w:rsidP="00982ACC">
      <w:pPr>
        <w:pStyle w:val="ParaIndent"/>
        <w:keepLines/>
        <w:jc w:val="both"/>
      </w:pPr>
      <w:r w:rsidRPr="00C36C8F">
        <w:t>One of the mechanisms to be introduced is a waste disposal levy which is intended to send a pricing signal to influence disposal behaviour. The levies</w:t>
      </w:r>
      <w:r w:rsidR="000B006D" w:rsidRPr="00C36C8F">
        <w:t>,</w:t>
      </w:r>
      <w:r w:rsidRPr="00C36C8F">
        <w:t xml:space="preserve"> which are due to commence on </w:t>
      </w:r>
      <w:r w:rsidR="000B006D" w:rsidRPr="00C36C8F">
        <w:t>December</w:t>
      </w:r>
      <w:r w:rsidRPr="00C36C8F">
        <w:t xml:space="preserve"> 1, 2011</w:t>
      </w:r>
      <w:r w:rsidR="000B006D" w:rsidRPr="00C36C8F">
        <w:t>,</w:t>
      </w:r>
      <w:r w:rsidRPr="00C36C8F">
        <w:t xml:space="preserve"> will be introduced in 34 of the 74 local government areas in the State, all with populations greater than 10,000 people. The waste disposal levies are summarised in </w:t>
      </w:r>
      <w:r w:rsidR="00B9555F" w:rsidRPr="00C36C8F">
        <w:fldChar w:fldCharType="begin"/>
      </w:r>
      <w:r w:rsidRPr="00C36C8F">
        <w:instrText xml:space="preserve"> REF _Ref283643042 \h </w:instrText>
      </w:r>
      <w:r w:rsidR="00B9555F" w:rsidRPr="00C36C8F">
        <w:fldChar w:fldCharType="separate"/>
      </w:r>
      <w:r w:rsidR="00AE7E3B" w:rsidRPr="00C36C8F">
        <w:t xml:space="preserve">Table </w:t>
      </w:r>
      <w:r w:rsidR="00AE7E3B">
        <w:rPr>
          <w:noProof/>
        </w:rPr>
        <w:t>6</w:t>
      </w:r>
      <w:r w:rsidR="00AE7E3B" w:rsidRPr="00C36C8F">
        <w:t>-</w:t>
      </w:r>
      <w:r w:rsidR="00AE7E3B">
        <w:rPr>
          <w:noProof/>
        </w:rPr>
        <w:t>58</w:t>
      </w:r>
      <w:r w:rsidR="00B9555F" w:rsidRPr="00C36C8F">
        <w:fldChar w:fldCharType="end"/>
      </w:r>
      <w:r w:rsidRPr="00C36C8F">
        <w:t>.</w:t>
      </w:r>
    </w:p>
    <w:p w:rsidR="00D14763" w:rsidRPr="00C36C8F" w:rsidRDefault="00D14763" w:rsidP="00D14763">
      <w:pPr>
        <w:pStyle w:val="Caption"/>
      </w:pPr>
      <w:bookmarkStart w:id="259" w:name="_Ref283643042"/>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58</w:t>
      </w:r>
      <w:r w:rsidR="00B9555F" w:rsidRPr="00C36C8F">
        <w:rPr>
          <w:noProof/>
        </w:rPr>
        <w:fldChar w:fldCharType="end"/>
      </w:r>
      <w:bookmarkEnd w:id="259"/>
      <w:r w:rsidRPr="00C36C8F">
        <w:tab/>
        <w:t>Waste disposal levies for Queensland</w:t>
      </w:r>
    </w:p>
    <w:tbl>
      <w:tblPr>
        <w:tblW w:w="0" w:type="auto"/>
        <w:tblInd w:w="1161" w:type="dxa"/>
        <w:tblBorders>
          <w:bottom w:val="single" w:sz="18" w:space="0" w:color="808080"/>
          <w:insideH w:val="single" w:sz="4" w:space="0" w:color="808080"/>
        </w:tblBorders>
        <w:tblLayout w:type="fixed"/>
        <w:tblCellMar>
          <w:left w:w="0" w:type="dxa"/>
          <w:right w:w="0" w:type="dxa"/>
        </w:tblCellMar>
        <w:tblLook w:val="01E0"/>
      </w:tblPr>
      <w:tblGrid>
        <w:gridCol w:w="4283"/>
        <w:gridCol w:w="3969"/>
      </w:tblGrid>
      <w:tr w:rsidR="00D14763" w:rsidRPr="00C36C8F" w:rsidTr="00BE69D2">
        <w:trPr>
          <w:tblHeader/>
        </w:trPr>
        <w:tc>
          <w:tcPr>
            <w:tcW w:w="4283" w:type="dxa"/>
            <w:shd w:val="clear" w:color="auto" w:fill="auto"/>
          </w:tcPr>
          <w:p w:rsidR="00D14763" w:rsidRPr="00C36C8F" w:rsidRDefault="00D14763" w:rsidP="00BE69D2">
            <w:pPr>
              <w:pStyle w:val="TableHeading"/>
              <w:rPr>
                <w:szCs w:val="18"/>
              </w:rPr>
            </w:pPr>
            <w:r w:rsidRPr="00C36C8F">
              <w:rPr>
                <w:szCs w:val="18"/>
              </w:rPr>
              <w:t>Waste stream</w:t>
            </w:r>
          </w:p>
        </w:tc>
        <w:tc>
          <w:tcPr>
            <w:tcW w:w="3969" w:type="dxa"/>
            <w:shd w:val="clear" w:color="auto" w:fill="auto"/>
          </w:tcPr>
          <w:p w:rsidR="00D14763" w:rsidRPr="00C36C8F" w:rsidRDefault="00D14763" w:rsidP="00BE69D2">
            <w:pPr>
              <w:pStyle w:val="TableHeading"/>
              <w:rPr>
                <w:szCs w:val="18"/>
              </w:rPr>
            </w:pPr>
            <w:r w:rsidRPr="00C36C8F">
              <w:rPr>
                <w:szCs w:val="18"/>
              </w:rPr>
              <w:t>Disposal levy amount (July 1, 2011)</w:t>
            </w:r>
          </w:p>
        </w:tc>
      </w:tr>
      <w:tr w:rsidR="00D14763" w:rsidRPr="00C36C8F" w:rsidTr="00BE69D2">
        <w:trPr>
          <w:tblHeader/>
        </w:trPr>
        <w:tc>
          <w:tcPr>
            <w:tcW w:w="4283" w:type="dxa"/>
            <w:shd w:val="clear" w:color="auto" w:fill="auto"/>
          </w:tcPr>
          <w:p w:rsidR="00D14763" w:rsidRPr="00C36C8F" w:rsidRDefault="00D14763" w:rsidP="00BE69D2">
            <w:pPr>
              <w:pStyle w:val="TableText"/>
              <w:rPr>
                <w:szCs w:val="18"/>
              </w:rPr>
            </w:pPr>
            <w:r w:rsidRPr="00C36C8F">
              <w:rPr>
                <w:szCs w:val="18"/>
              </w:rPr>
              <w:t>Commercial &amp; industrial waste</w:t>
            </w:r>
          </w:p>
        </w:tc>
        <w:tc>
          <w:tcPr>
            <w:tcW w:w="3969" w:type="dxa"/>
            <w:shd w:val="clear" w:color="auto" w:fill="auto"/>
          </w:tcPr>
          <w:p w:rsidR="00D14763" w:rsidRPr="00C36C8F" w:rsidRDefault="00D14763" w:rsidP="00BE69D2">
            <w:pPr>
              <w:pStyle w:val="TableText"/>
              <w:rPr>
                <w:szCs w:val="18"/>
              </w:rPr>
            </w:pPr>
            <w:r w:rsidRPr="00C36C8F">
              <w:rPr>
                <w:szCs w:val="18"/>
              </w:rPr>
              <w:t>$35 per tonne</w:t>
            </w:r>
          </w:p>
        </w:tc>
      </w:tr>
      <w:tr w:rsidR="00D14763" w:rsidRPr="00C36C8F" w:rsidTr="00BE69D2">
        <w:trPr>
          <w:tblHeader/>
        </w:trPr>
        <w:tc>
          <w:tcPr>
            <w:tcW w:w="4283" w:type="dxa"/>
            <w:shd w:val="clear" w:color="auto" w:fill="auto"/>
          </w:tcPr>
          <w:p w:rsidR="00D14763" w:rsidRPr="00C36C8F" w:rsidRDefault="00D14763" w:rsidP="00BE69D2">
            <w:pPr>
              <w:pStyle w:val="TableText"/>
              <w:rPr>
                <w:szCs w:val="18"/>
              </w:rPr>
            </w:pPr>
            <w:r w:rsidRPr="00C36C8F">
              <w:rPr>
                <w:szCs w:val="18"/>
              </w:rPr>
              <w:t>Construction &amp; demolition waste</w:t>
            </w:r>
          </w:p>
        </w:tc>
        <w:tc>
          <w:tcPr>
            <w:tcW w:w="3969" w:type="dxa"/>
            <w:shd w:val="clear" w:color="auto" w:fill="auto"/>
          </w:tcPr>
          <w:p w:rsidR="00D14763" w:rsidRPr="00C36C8F" w:rsidRDefault="00D14763" w:rsidP="00BE69D2">
            <w:pPr>
              <w:pStyle w:val="TableText"/>
              <w:rPr>
                <w:szCs w:val="18"/>
              </w:rPr>
            </w:pPr>
            <w:r w:rsidRPr="00C36C8F">
              <w:rPr>
                <w:szCs w:val="18"/>
              </w:rPr>
              <w:t>$35 per tonne</w:t>
            </w:r>
          </w:p>
        </w:tc>
      </w:tr>
      <w:tr w:rsidR="00D14763" w:rsidRPr="00C36C8F" w:rsidTr="00BE69D2">
        <w:trPr>
          <w:tblHeader/>
        </w:trPr>
        <w:tc>
          <w:tcPr>
            <w:tcW w:w="4283" w:type="dxa"/>
            <w:shd w:val="clear" w:color="auto" w:fill="auto"/>
          </w:tcPr>
          <w:p w:rsidR="00D14763" w:rsidRPr="00C36C8F" w:rsidRDefault="00D14763" w:rsidP="00BE69D2">
            <w:pPr>
              <w:pStyle w:val="TableText"/>
              <w:rPr>
                <w:szCs w:val="18"/>
              </w:rPr>
            </w:pPr>
            <w:r w:rsidRPr="00C36C8F">
              <w:rPr>
                <w:szCs w:val="18"/>
              </w:rPr>
              <w:t>Contaminated &amp; acid sulphate soils</w:t>
            </w:r>
          </w:p>
        </w:tc>
        <w:tc>
          <w:tcPr>
            <w:tcW w:w="3969" w:type="dxa"/>
            <w:shd w:val="clear" w:color="auto" w:fill="auto"/>
          </w:tcPr>
          <w:p w:rsidR="00D14763" w:rsidRPr="00C36C8F" w:rsidRDefault="00D14763" w:rsidP="00BE69D2">
            <w:pPr>
              <w:pStyle w:val="TableText"/>
              <w:rPr>
                <w:szCs w:val="18"/>
              </w:rPr>
            </w:pPr>
            <w:r w:rsidRPr="00C36C8F">
              <w:rPr>
                <w:szCs w:val="18"/>
              </w:rPr>
              <w:t>$35 per tonne</w:t>
            </w:r>
          </w:p>
        </w:tc>
      </w:tr>
      <w:tr w:rsidR="00D14763" w:rsidRPr="00C36C8F" w:rsidTr="00BE69D2">
        <w:trPr>
          <w:tblHeader/>
        </w:trPr>
        <w:tc>
          <w:tcPr>
            <w:tcW w:w="4283" w:type="dxa"/>
            <w:shd w:val="clear" w:color="auto" w:fill="auto"/>
          </w:tcPr>
          <w:p w:rsidR="00D14763" w:rsidRPr="00C36C8F" w:rsidRDefault="00D14763" w:rsidP="00BE69D2">
            <w:pPr>
              <w:pStyle w:val="TableText"/>
              <w:rPr>
                <w:szCs w:val="18"/>
              </w:rPr>
            </w:pPr>
            <w:r w:rsidRPr="00C36C8F">
              <w:rPr>
                <w:szCs w:val="18"/>
              </w:rPr>
              <w:t>Lower hazard regulated waste</w:t>
            </w:r>
          </w:p>
        </w:tc>
        <w:tc>
          <w:tcPr>
            <w:tcW w:w="3969" w:type="dxa"/>
            <w:shd w:val="clear" w:color="auto" w:fill="auto"/>
          </w:tcPr>
          <w:p w:rsidR="00D14763" w:rsidRPr="00C36C8F" w:rsidRDefault="00D14763" w:rsidP="00BE69D2">
            <w:pPr>
              <w:pStyle w:val="TableText"/>
              <w:rPr>
                <w:szCs w:val="18"/>
              </w:rPr>
            </w:pPr>
            <w:r w:rsidRPr="00C36C8F">
              <w:rPr>
                <w:szCs w:val="18"/>
              </w:rPr>
              <w:t>$50 per tonne</w:t>
            </w:r>
          </w:p>
        </w:tc>
      </w:tr>
      <w:tr w:rsidR="00D14763" w:rsidRPr="00C36C8F" w:rsidTr="00BE69D2">
        <w:trPr>
          <w:tblHeader/>
        </w:trPr>
        <w:tc>
          <w:tcPr>
            <w:tcW w:w="4283" w:type="dxa"/>
            <w:tcBorders>
              <w:bottom w:val="single" w:sz="4" w:space="0" w:color="808080"/>
            </w:tcBorders>
            <w:shd w:val="clear" w:color="auto" w:fill="auto"/>
          </w:tcPr>
          <w:p w:rsidR="00D14763" w:rsidRPr="00C36C8F" w:rsidRDefault="00D14763" w:rsidP="00BE69D2">
            <w:pPr>
              <w:pStyle w:val="TableText"/>
              <w:rPr>
                <w:szCs w:val="18"/>
              </w:rPr>
            </w:pPr>
            <w:r w:rsidRPr="00C36C8F">
              <w:rPr>
                <w:szCs w:val="18"/>
              </w:rPr>
              <w:t>Higher hazard regulated waste</w:t>
            </w:r>
          </w:p>
        </w:tc>
        <w:tc>
          <w:tcPr>
            <w:tcW w:w="3969" w:type="dxa"/>
            <w:tcBorders>
              <w:bottom w:val="single" w:sz="4" w:space="0" w:color="808080"/>
            </w:tcBorders>
            <w:shd w:val="clear" w:color="auto" w:fill="auto"/>
          </w:tcPr>
          <w:p w:rsidR="00D14763" w:rsidRPr="00C36C8F" w:rsidRDefault="00D14763" w:rsidP="00BE69D2">
            <w:pPr>
              <w:pStyle w:val="TableText"/>
              <w:rPr>
                <w:szCs w:val="18"/>
              </w:rPr>
            </w:pPr>
            <w:r w:rsidRPr="00C36C8F">
              <w:rPr>
                <w:szCs w:val="18"/>
              </w:rPr>
              <w:t>$150 per tonne</w:t>
            </w:r>
          </w:p>
        </w:tc>
      </w:tr>
      <w:tr w:rsidR="00D14763" w:rsidRPr="00C36C8F" w:rsidTr="00BE69D2">
        <w:trPr>
          <w:tblHeader/>
        </w:trPr>
        <w:tc>
          <w:tcPr>
            <w:tcW w:w="4283" w:type="dxa"/>
            <w:tcBorders>
              <w:top w:val="single" w:sz="4" w:space="0" w:color="808080"/>
              <w:bottom w:val="single" w:sz="4" w:space="0" w:color="808080"/>
            </w:tcBorders>
            <w:shd w:val="clear" w:color="auto" w:fill="auto"/>
          </w:tcPr>
          <w:p w:rsidR="00D14763" w:rsidRPr="00C36C8F" w:rsidRDefault="00D14763" w:rsidP="00BE69D2">
            <w:pPr>
              <w:pStyle w:val="TableText"/>
              <w:rPr>
                <w:szCs w:val="18"/>
              </w:rPr>
            </w:pPr>
            <w:r w:rsidRPr="00C36C8F">
              <w:rPr>
                <w:szCs w:val="18"/>
              </w:rPr>
              <w:t>Municipal solid waste</w:t>
            </w:r>
          </w:p>
        </w:tc>
        <w:tc>
          <w:tcPr>
            <w:tcW w:w="3969" w:type="dxa"/>
            <w:tcBorders>
              <w:top w:val="single" w:sz="4" w:space="0" w:color="808080"/>
              <w:bottom w:val="single" w:sz="4" w:space="0" w:color="808080"/>
            </w:tcBorders>
            <w:shd w:val="clear" w:color="auto" w:fill="auto"/>
          </w:tcPr>
          <w:p w:rsidR="00D14763" w:rsidRPr="00C36C8F" w:rsidRDefault="00D14763" w:rsidP="00BE69D2">
            <w:pPr>
              <w:pStyle w:val="TableText"/>
              <w:rPr>
                <w:szCs w:val="18"/>
              </w:rPr>
            </w:pPr>
            <w:r w:rsidRPr="00C36C8F">
              <w:rPr>
                <w:szCs w:val="18"/>
              </w:rPr>
              <w:t>No levy</w:t>
            </w:r>
          </w:p>
        </w:tc>
      </w:tr>
    </w:tbl>
    <w:p w:rsidR="00D14763" w:rsidRPr="00C36C8F" w:rsidRDefault="00D14763" w:rsidP="009B3DDD">
      <w:pPr>
        <w:pStyle w:val="ParaIndent"/>
        <w:keepNext/>
        <w:jc w:val="both"/>
      </w:pPr>
      <w:r w:rsidRPr="00C36C8F">
        <w:t>The Strategy indicates that over the first four years of collection, the levy funds will be distributed by the Queensland Government as follows: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$159 million towards targeted programs to help business and industry reduce the amount of waste they generate, and to encourage industry investment in recycling technologies, particularly in regional areas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$120 million for local governments to spend on environmental projects, focusing on better waste management facilities and practices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Any surplus funds will be dedicated to priority Queensland Government environmental initiatives, including acquiring land for national parks.</w:t>
      </w:r>
    </w:p>
    <w:p w:rsidR="00D14763" w:rsidRPr="00C36C8F" w:rsidRDefault="00D14763" w:rsidP="009B3DDD">
      <w:pPr>
        <w:pStyle w:val="Heading40"/>
        <w:spacing w:before="0"/>
        <w:jc w:val="both"/>
      </w:pPr>
      <w:r w:rsidRPr="00C36C8F">
        <w:t>Priority products</w:t>
      </w:r>
    </w:p>
    <w:p w:rsidR="00D14763" w:rsidRPr="00C36C8F" w:rsidRDefault="00D14763" w:rsidP="009B3DDD">
      <w:pPr>
        <w:pStyle w:val="ParaIndent"/>
        <w:jc w:val="both"/>
      </w:pPr>
      <w:r w:rsidRPr="00C36C8F">
        <w:t>The Strategy identifies a series of priority waste and products for attention. A range of products / materials have been given a high or secondary priority rating in relation to their significance in the three key waste streams of municipal solid waste, C&amp;I waste and C&amp;D waste. The range of products / materials includes: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4"/>
        <w:gridCol w:w="4337"/>
      </w:tblGrid>
      <w:tr w:rsidR="00D14763" w:rsidRPr="00C36C8F" w:rsidTr="00BE69D2">
        <w:tc>
          <w:tcPr>
            <w:tcW w:w="4384" w:type="dxa"/>
          </w:tcPr>
          <w:p w:rsidR="00D14763" w:rsidRPr="00C36C8F" w:rsidRDefault="00D14763" w:rsidP="009B3DDD">
            <w:pPr>
              <w:pStyle w:val="BulletPoints"/>
              <w:tabs>
                <w:tab w:val="clear" w:pos="567"/>
                <w:tab w:val="num" w:pos="1985"/>
                <w:tab w:val="left" w:pos="2268"/>
              </w:tabs>
              <w:spacing w:after="180"/>
              <w:jc w:val="both"/>
            </w:pPr>
            <w:r w:rsidRPr="00C36C8F">
              <w:t>Mixed C&amp;D materials</w:t>
            </w:r>
          </w:p>
          <w:p w:rsidR="00D14763" w:rsidRPr="00C36C8F" w:rsidRDefault="00D14763" w:rsidP="009B3DDD">
            <w:pPr>
              <w:pStyle w:val="BulletPoints"/>
              <w:tabs>
                <w:tab w:val="clear" w:pos="567"/>
                <w:tab w:val="num" w:pos="1985"/>
                <w:tab w:val="left" w:pos="2268"/>
              </w:tabs>
              <w:spacing w:after="180"/>
              <w:jc w:val="both"/>
            </w:pPr>
            <w:r w:rsidRPr="00C36C8F">
              <w:t>Packaging</w:t>
            </w:r>
          </w:p>
          <w:p w:rsidR="00D14763" w:rsidRPr="00C36C8F" w:rsidRDefault="00D14763" w:rsidP="009B3DDD">
            <w:pPr>
              <w:pStyle w:val="BulletPoints"/>
              <w:tabs>
                <w:tab w:val="clear" w:pos="567"/>
                <w:tab w:val="num" w:pos="1985"/>
                <w:tab w:val="left" w:pos="2268"/>
              </w:tabs>
              <w:spacing w:after="180"/>
              <w:jc w:val="both"/>
            </w:pPr>
            <w:r w:rsidRPr="00C36C8F">
              <w:t>Computers &amp; televisions</w:t>
            </w:r>
          </w:p>
          <w:p w:rsidR="00D14763" w:rsidRPr="00C36C8F" w:rsidRDefault="00D14763" w:rsidP="009B3DDD">
            <w:pPr>
              <w:pStyle w:val="BulletPoints"/>
              <w:tabs>
                <w:tab w:val="clear" w:pos="567"/>
                <w:tab w:val="num" w:pos="1985"/>
                <w:tab w:val="left" w:pos="2268"/>
              </w:tabs>
              <w:spacing w:after="180"/>
              <w:jc w:val="both"/>
            </w:pPr>
            <w:r w:rsidRPr="00C36C8F">
              <w:t>Batteries and fluorescent lights</w:t>
            </w:r>
          </w:p>
          <w:p w:rsidR="00D14763" w:rsidRPr="00C36C8F" w:rsidRDefault="00D14763" w:rsidP="009B3DDD">
            <w:pPr>
              <w:pStyle w:val="BulletPoints"/>
              <w:tabs>
                <w:tab w:val="clear" w:pos="567"/>
                <w:tab w:val="num" w:pos="1985"/>
                <w:tab w:val="left" w:pos="2268"/>
              </w:tabs>
              <w:spacing w:after="180"/>
              <w:jc w:val="both"/>
            </w:pPr>
            <w:r w:rsidRPr="00C36C8F">
              <w:t>Tyres</w:t>
            </w:r>
          </w:p>
        </w:tc>
        <w:tc>
          <w:tcPr>
            <w:tcW w:w="4337" w:type="dxa"/>
          </w:tcPr>
          <w:p w:rsidR="00D14763" w:rsidRPr="00C36C8F" w:rsidRDefault="00D14763" w:rsidP="009B3DDD">
            <w:pPr>
              <w:pStyle w:val="BulletPoints"/>
              <w:tabs>
                <w:tab w:val="clear" w:pos="567"/>
                <w:tab w:val="num" w:pos="1985"/>
                <w:tab w:val="left" w:pos="2268"/>
              </w:tabs>
              <w:spacing w:after="180"/>
              <w:jc w:val="both"/>
            </w:pPr>
            <w:r w:rsidRPr="00C36C8F">
              <w:t>Organic – green &amp; garden</w:t>
            </w:r>
          </w:p>
          <w:p w:rsidR="00D14763" w:rsidRPr="00C36C8F" w:rsidRDefault="00D14763" w:rsidP="009B3DDD">
            <w:pPr>
              <w:pStyle w:val="BulletPoints"/>
              <w:tabs>
                <w:tab w:val="clear" w:pos="567"/>
                <w:tab w:val="num" w:pos="1985"/>
                <w:tab w:val="left" w:pos="2268"/>
              </w:tabs>
              <w:spacing w:after="180"/>
              <w:jc w:val="both"/>
            </w:pPr>
            <w:r w:rsidRPr="00C36C8F">
              <w:t>Organic – processing &amp; food scraps</w:t>
            </w:r>
          </w:p>
          <w:p w:rsidR="00D14763" w:rsidRPr="00C36C8F" w:rsidRDefault="00D14763" w:rsidP="009B3DDD">
            <w:pPr>
              <w:pStyle w:val="BulletPoints"/>
              <w:tabs>
                <w:tab w:val="clear" w:pos="567"/>
                <w:tab w:val="num" w:pos="1985"/>
                <w:tab w:val="left" w:pos="2268"/>
              </w:tabs>
              <w:spacing w:after="180"/>
              <w:jc w:val="both"/>
            </w:pPr>
            <w:r w:rsidRPr="00C36C8F">
              <w:t>Timber &amp; concrete</w:t>
            </w:r>
          </w:p>
          <w:p w:rsidR="00D14763" w:rsidRPr="00C36C8F" w:rsidRDefault="00D14763" w:rsidP="009B3DDD">
            <w:pPr>
              <w:pStyle w:val="BulletPoints"/>
              <w:tabs>
                <w:tab w:val="clear" w:pos="567"/>
                <w:tab w:val="num" w:pos="1985"/>
                <w:tab w:val="left" w:pos="2268"/>
              </w:tabs>
              <w:spacing w:after="180"/>
              <w:jc w:val="both"/>
            </w:pPr>
            <w:r w:rsidRPr="00C36C8F">
              <w:t>Gas bottles</w:t>
            </w:r>
          </w:p>
          <w:p w:rsidR="00D14763" w:rsidRPr="00C36C8F" w:rsidRDefault="00D14763" w:rsidP="009B3DDD">
            <w:pPr>
              <w:pStyle w:val="BulletPoints"/>
              <w:tabs>
                <w:tab w:val="clear" w:pos="567"/>
                <w:tab w:val="num" w:pos="1985"/>
                <w:tab w:val="left" w:pos="2268"/>
              </w:tabs>
              <w:spacing w:after="180"/>
              <w:jc w:val="both"/>
            </w:pPr>
            <w:r w:rsidRPr="00C36C8F">
              <w:t>Higher hazard regulated.</w:t>
            </w:r>
          </w:p>
        </w:tc>
      </w:tr>
    </w:tbl>
    <w:p w:rsidR="00D14763" w:rsidRPr="00C36C8F" w:rsidRDefault="00D14763" w:rsidP="009B3DDD">
      <w:pPr>
        <w:pStyle w:val="ParaIndent"/>
        <w:jc w:val="both"/>
      </w:pPr>
      <w:r w:rsidRPr="00C36C8F">
        <w:t xml:space="preserve">To facilitate state-based action, that supports national approaches to these products / materials, the Queensland Government is proposing to introduce new legislation in 2011 which identifies priority products and materials, preferred management options and performance measures. </w:t>
      </w:r>
    </w:p>
    <w:p w:rsidR="00D14763" w:rsidRPr="00C36C8F" w:rsidRDefault="00D14763" w:rsidP="009B3DDD">
      <w:pPr>
        <w:pStyle w:val="ParaIndent"/>
        <w:keepNext/>
        <w:jc w:val="both"/>
      </w:pPr>
      <w:r w:rsidRPr="00C36C8F">
        <w:t>Potential actions being considered in this process, which have been identified in the Strategy, include:</w:t>
      </w:r>
    </w:p>
    <w:p w:rsidR="00D14763" w:rsidRPr="00C36C8F" w:rsidRDefault="00D14763" w:rsidP="009B3DDD">
      <w:pPr>
        <w:pStyle w:val="BulletPoints"/>
        <w:keepNext/>
        <w:tabs>
          <w:tab w:val="clear" w:pos="567"/>
          <w:tab w:val="left" w:pos="1134"/>
          <w:tab w:val="num" w:pos="1701"/>
          <w:tab w:val="left" w:pos="2268"/>
        </w:tabs>
        <w:spacing w:after="180"/>
        <w:ind w:left="1701"/>
        <w:jc w:val="both"/>
      </w:pPr>
      <w:r w:rsidRPr="00C36C8F">
        <w:t>voluntary or mandatory ‘product stewardship’ or take-back schemes</w:t>
      </w:r>
    </w:p>
    <w:p w:rsidR="00D14763" w:rsidRPr="00C36C8F" w:rsidRDefault="00D14763" w:rsidP="009B3DDD">
      <w:pPr>
        <w:pStyle w:val="BulletPoints"/>
        <w:keepNext/>
        <w:tabs>
          <w:tab w:val="clear" w:pos="567"/>
          <w:tab w:val="left" w:pos="1134"/>
          <w:tab w:val="num" w:pos="1701"/>
          <w:tab w:val="left" w:pos="2268"/>
        </w:tabs>
        <w:spacing w:after="180"/>
        <w:ind w:left="1701"/>
        <w:jc w:val="both"/>
      </w:pPr>
      <w:r w:rsidRPr="00C36C8F">
        <w:t>disposal bans</w:t>
      </w:r>
    </w:p>
    <w:p w:rsidR="00D14763" w:rsidRPr="00C36C8F" w:rsidRDefault="00D14763" w:rsidP="009B3DDD">
      <w:pPr>
        <w:pStyle w:val="BulletPoints"/>
        <w:keepNext/>
        <w:tabs>
          <w:tab w:val="clear" w:pos="567"/>
          <w:tab w:val="left" w:pos="1134"/>
          <w:tab w:val="num" w:pos="1701"/>
          <w:tab w:val="left" w:pos="2268"/>
        </w:tabs>
        <w:spacing w:after="180"/>
        <w:ind w:left="1701"/>
        <w:jc w:val="both"/>
      </w:pPr>
      <w:r w:rsidRPr="00C36C8F">
        <w:t>education and awareness campaigns to target reduced generation and enhanced recovery</w:t>
      </w:r>
    </w:p>
    <w:p w:rsidR="00D14763" w:rsidRPr="00C36C8F" w:rsidRDefault="00D14763" w:rsidP="009B3DDD">
      <w:pPr>
        <w:pStyle w:val="BulletPoints"/>
        <w:keepNext/>
        <w:tabs>
          <w:tab w:val="clear" w:pos="567"/>
          <w:tab w:val="left" w:pos="1134"/>
          <w:tab w:val="num" w:pos="1701"/>
          <w:tab w:val="left" w:pos="2268"/>
        </w:tabs>
        <w:spacing w:after="180"/>
        <w:ind w:left="1701"/>
        <w:jc w:val="both"/>
      </w:pPr>
      <w:r w:rsidRPr="00C36C8F">
        <w:t>support for collection programs or reprocessing infrastructure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investing in design-for-environment to increase recyclabili</w:t>
      </w:r>
      <w:r w:rsidR="002B559B" w:rsidRPr="00C36C8F">
        <w:t>ty or reduce toxicity of inputs</w:t>
      </w:r>
      <w:r w:rsidR="00F77479" w:rsidRPr="00C36C8F">
        <w:t>.</w:t>
      </w:r>
    </w:p>
    <w:p w:rsidR="00DA4D44" w:rsidRPr="00C36C8F" w:rsidRDefault="00DA4D44">
      <w:pPr>
        <w:spacing w:after="0" w:line="240" w:lineRule="auto"/>
        <w:ind w:left="0"/>
        <w:rPr>
          <w:rFonts w:cs="Arial"/>
          <w:color w:val="495F70"/>
          <w:sz w:val="32"/>
        </w:rPr>
      </w:pPr>
      <w:r w:rsidRPr="00C36C8F">
        <w:br w:type="page"/>
      </w:r>
    </w:p>
    <w:p w:rsidR="00D14763" w:rsidRPr="00C36C8F" w:rsidRDefault="00D14763" w:rsidP="00D14763">
      <w:pPr>
        <w:pStyle w:val="Heading2"/>
        <w:spacing w:before="240"/>
      </w:pPr>
      <w:bookmarkStart w:id="260" w:name="_Toc325020120"/>
      <w:bookmarkStart w:id="261" w:name="_Toc305049768"/>
      <w:r w:rsidRPr="00C36C8F">
        <w:t>South Australia</w:t>
      </w:r>
      <w:bookmarkEnd w:id="260"/>
      <w:bookmarkEnd w:id="261"/>
    </w:p>
    <w:p w:rsidR="00D14763" w:rsidRPr="00C36C8F" w:rsidRDefault="00D14763" w:rsidP="009B3DDD">
      <w:pPr>
        <w:pStyle w:val="ParaIndent"/>
        <w:jc w:val="both"/>
      </w:pPr>
      <w:r w:rsidRPr="00C36C8F">
        <w:t xml:space="preserve">In South Australia, the key agencies responsible for waste management include the Environment Protection Authority (EPA) South Australia, and </w:t>
      </w:r>
      <w:r w:rsidR="00DA4D44" w:rsidRPr="00C36C8F">
        <w:t>Zero Waste</w:t>
      </w:r>
      <w:r w:rsidRPr="00C36C8F">
        <w:t xml:space="preserve"> South Australia (Zero</w:t>
      </w:r>
      <w:r w:rsidR="00DA4D44" w:rsidRPr="00C36C8F">
        <w:t xml:space="preserve"> </w:t>
      </w:r>
      <w:r w:rsidRPr="00C36C8F">
        <w:t>Waste SA). Both organisations sit within the State Government portfolio of Environment and Conservation.</w:t>
      </w:r>
      <w:r w:rsidR="00690F1F" w:rsidRPr="00C36C8F">
        <w:t xml:space="preserve"> </w:t>
      </w:r>
      <w:r w:rsidRPr="00C36C8F">
        <w:t xml:space="preserve">The EPA is the independent State regulator with responsibility for administering the </w:t>
      </w:r>
      <w:r w:rsidRPr="00C36C8F">
        <w:rPr>
          <w:i/>
        </w:rPr>
        <w:t>Environment Protection Act 1993</w:t>
      </w:r>
      <w:r w:rsidRPr="00C36C8F">
        <w:t xml:space="preserve"> (the Act). Zero</w:t>
      </w:r>
      <w:r w:rsidR="00DA4D44" w:rsidRPr="00C36C8F">
        <w:t xml:space="preserve"> </w:t>
      </w:r>
      <w:r w:rsidRPr="00C36C8F">
        <w:t>Waste SA</w:t>
      </w:r>
      <w:r w:rsidR="000B006D" w:rsidRPr="00C36C8F">
        <w:t xml:space="preserve"> is the State Government agency</w:t>
      </w:r>
      <w:r w:rsidRPr="00C36C8F">
        <w:t xml:space="preserve"> with the primary objective of promoting waste management practices through partnerships with all levels of government, business, the waste industry and the community to meet the State’s recycling and resource efficiency objectives.</w:t>
      </w:r>
    </w:p>
    <w:p w:rsidR="00D14763" w:rsidRPr="00C36C8F" w:rsidRDefault="00D14763" w:rsidP="009B3DDD">
      <w:pPr>
        <w:pStyle w:val="ParaIndent"/>
        <w:jc w:val="both"/>
      </w:pPr>
      <w:r w:rsidRPr="00C36C8F">
        <w:t xml:space="preserve">Information on the programs and strategies being implemented in South Australia </w:t>
      </w:r>
      <w:r w:rsidR="00A65B49" w:rsidRPr="00C36C8F">
        <w:t>has</w:t>
      </w:r>
      <w:r w:rsidRPr="00C36C8F">
        <w:t xml:space="preserve"> been sourced from:</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Zero Waste SA website: www.zerowaste.sa.gov.au</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EPA South Australia website: www.epa.sa.gov.au</w:t>
      </w:r>
    </w:p>
    <w:p w:rsidR="00D14763" w:rsidRPr="00C36C8F" w:rsidRDefault="000B006D" w:rsidP="009B3DDD">
      <w:pPr>
        <w:pStyle w:val="BulletPoints"/>
        <w:tabs>
          <w:tab w:val="clear" w:pos="567"/>
          <w:tab w:val="left" w:pos="1134"/>
          <w:tab w:val="num" w:pos="1701"/>
          <w:tab w:val="left" w:pos="2268"/>
        </w:tabs>
        <w:spacing w:after="180"/>
        <w:ind w:left="1701"/>
        <w:jc w:val="both"/>
      </w:pPr>
      <w:r w:rsidRPr="00C36C8F">
        <w:t xml:space="preserve">Zero Waste </w:t>
      </w:r>
      <w:r w:rsidR="00D14763" w:rsidRPr="00C36C8F">
        <w:t>S</w:t>
      </w:r>
      <w:r w:rsidRPr="00C36C8F">
        <w:t>A</w:t>
      </w:r>
      <w:r w:rsidR="00D14763" w:rsidRPr="00C36C8F">
        <w:t xml:space="preserve"> (2010) </w:t>
      </w:r>
      <w:r w:rsidR="00D14763" w:rsidRPr="00C36C8F">
        <w:rPr>
          <w:i/>
        </w:rPr>
        <w:t>South Australia’s Waste Strategy 2010–2015 Consultation Draft</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rPr>
          <w:i/>
        </w:rPr>
        <w:t>South Australia Environment Protection (Waste to Resources) Policy 2010</w:t>
      </w:r>
      <w:r w:rsidRPr="00C36C8F">
        <w:t xml:space="preserve">, under the </w:t>
      </w:r>
      <w:r w:rsidRPr="00C36C8F">
        <w:rPr>
          <w:i/>
        </w:rPr>
        <w:t>Environment Protection Act 1993</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EPA South Australia (2010) </w:t>
      </w:r>
      <w:r w:rsidRPr="00C36C8F">
        <w:rPr>
          <w:i/>
        </w:rPr>
        <w:t>Waste Guidelines–Waste Levy Regulations</w:t>
      </w:r>
      <w:r w:rsidR="005C4D80">
        <w:t>.</w:t>
      </w:r>
    </w:p>
    <w:p w:rsidR="00D14763" w:rsidRPr="00C36C8F" w:rsidRDefault="00D14763" w:rsidP="009B3DDD">
      <w:pPr>
        <w:pStyle w:val="Heading40"/>
        <w:spacing w:before="0"/>
      </w:pPr>
      <w:r w:rsidRPr="00C36C8F">
        <w:t>Draft waste strategy</w:t>
      </w:r>
    </w:p>
    <w:p w:rsidR="00D14763" w:rsidRPr="00C36C8F" w:rsidRDefault="00D14763" w:rsidP="009B3DDD">
      <w:pPr>
        <w:pStyle w:val="ParaIndent"/>
        <w:jc w:val="both"/>
      </w:pPr>
      <w:r w:rsidRPr="00C36C8F">
        <w:t xml:space="preserve">The State’s first waste strategy, </w:t>
      </w:r>
      <w:r w:rsidRPr="00C36C8F">
        <w:rPr>
          <w:i/>
        </w:rPr>
        <w:t>South Australia’s Waste Strategy 2005–2010</w:t>
      </w:r>
      <w:r w:rsidRPr="00C36C8F">
        <w:t xml:space="preserve"> (Strategy) has been reviewed, and in August 2010 </w:t>
      </w:r>
      <w:r w:rsidRPr="00C36C8F">
        <w:rPr>
          <w:i/>
        </w:rPr>
        <w:t>South Australia’s Waste Strategy 2010–2015</w:t>
      </w:r>
      <w:r w:rsidRPr="00C36C8F">
        <w:t xml:space="preserve"> Consultation Draft (Draft Strategy) was released for public comment, which closed on October 8, 2010.</w:t>
      </w:r>
    </w:p>
    <w:p w:rsidR="00D14763" w:rsidRPr="00C36C8F" w:rsidRDefault="00D14763" w:rsidP="009B3DDD">
      <w:pPr>
        <w:pStyle w:val="ParaIndent"/>
        <w:jc w:val="both"/>
      </w:pPr>
      <w:r w:rsidRPr="00C36C8F">
        <w:t xml:space="preserve">The Draft Strategy sits under </w:t>
      </w:r>
      <w:r w:rsidRPr="00C36C8F">
        <w:rPr>
          <w:i/>
        </w:rPr>
        <w:t>South Australia’s Strategic Plan 2007</w:t>
      </w:r>
      <w:r w:rsidRPr="00C36C8F">
        <w:t>, and like the previous Strategy the focus of this revised Draft Strategy continues to be on reducing waste to landfill. Over time</w:t>
      </w:r>
      <w:r w:rsidR="000B006D" w:rsidRPr="00C36C8F">
        <w:t>,</w:t>
      </w:r>
      <w:r w:rsidRPr="00C36C8F">
        <w:t xml:space="preserve"> the intention of the Draft Strategy is that other waste streams beyond solid waste, such as liquid and agricultural wastes</w:t>
      </w:r>
      <w:r w:rsidR="000B006D" w:rsidRPr="00C36C8F">
        <w:t>,</w:t>
      </w:r>
      <w:r w:rsidRPr="00C36C8F">
        <w:t xml:space="preserve"> will gradually be included.</w:t>
      </w:r>
    </w:p>
    <w:p w:rsidR="00D14763" w:rsidRPr="00C36C8F" w:rsidRDefault="00D14763" w:rsidP="009B3DDD">
      <w:pPr>
        <w:pStyle w:val="ParaIndent"/>
        <w:jc w:val="both"/>
      </w:pPr>
      <w:r w:rsidRPr="00C36C8F">
        <w:t>The two key objectives of the Draft Strategy</w:t>
      </w:r>
      <w:r w:rsidR="000B006D" w:rsidRPr="00C36C8F">
        <w:t xml:space="preserve"> are</w:t>
      </w:r>
      <w:r w:rsidRPr="00C36C8F">
        <w:t xml:space="preserve"> to:</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maximise the value of resources</w:t>
      </w:r>
    </w:p>
    <w:p w:rsidR="00D14763" w:rsidRPr="0040431B" w:rsidRDefault="00D14763" w:rsidP="009B3DDD">
      <w:pPr>
        <w:pStyle w:val="BulletPoints"/>
        <w:tabs>
          <w:tab w:val="clear" w:pos="567"/>
          <w:tab w:val="left" w:pos="1134"/>
          <w:tab w:val="num" w:pos="1701"/>
          <w:tab w:val="left" w:pos="2268"/>
        </w:tabs>
        <w:spacing w:after="180"/>
        <w:ind w:left="1701"/>
        <w:jc w:val="both"/>
      </w:pPr>
      <w:r w:rsidRPr="0040431B">
        <w:t>avoid and reduce waste</w:t>
      </w:r>
      <w:r w:rsidR="00F77479" w:rsidRPr="0040431B">
        <w:t>.</w:t>
      </w:r>
    </w:p>
    <w:p w:rsidR="00D14763" w:rsidRPr="00C36C8F" w:rsidRDefault="00D14763" w:rsidP="009B3DDD">
      <w:pPr>
        <w:pStyle w:val="ParaIndent"/>
        <w:jc w:val="both"/>
      </w:pPr>
      <w:r w:rsidRPr="0040431B">
        <w:t xml:space="preserve">A series of actions are proposed in the Draft Strategy that seeks to support the State in meeting these overarching objectives. These are outlined in </w:t>
      </w:r>
      <w:fldSimple w:instr=" REF _Ref283643395 \h  \* MERGEFORMAT ">
        <w:r w:rsidR="00AE7E3B" w:rsidRPr="00C36C8F">
          <w:t xml:space="preserve">Table </w:t>
        </w:r>
        <w:r w:rsidR="00AE7E3B">
          <w:rPr>
            <w:noProof/>
          </w:rPr>
          <w:t>6</w:t>
        </w:r>
        <w:r w:rsidR="00AE7E3B" w:rsidRPr="00C36C8F">
          <w:rPr>
            <w:noProof/>
          </w:rPr>
          <w:t>-</w:t>
        </w:r>
        <w:r w:rsidR="00AE7E3B">
          <w:rPr>
            <w:noProof/>
          </w:rPr>
          <w:t>59</w:t>
        </w:r>
      </w:fldSimple>
      <w:r w:rsidRPr="0040431B">
        <w:t>.</w:t>
      </w:r>
    </w:p>
    <w:p w:rsidR="00D14763" w:rsidRPr="00C36C8F" w:rsidRDefault="00D14763" w:rsidP="00E175A1">
      <w:pPr>
        <w:pStyle w:val="Caption"/>
      </w:pPr>
      <w:bookmarkStart w:id="262" w:name="_Ref283643395"/>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59</w:t>
      </w:r>
      <w:r w:rsidR="00B9555F" w:rsidRPr="00C36C8F">
        <w:rPr>
          <w:noProof/>
        </w:rPr>
        <w:fldChar w:fldCharType="end"/>
      </w:r>
      <w:bookmarkEnd w:id="262"/>
      <w:r w:rsidRPr="00C36C8F">
        <w:tab/>
        <w:t>Draft Strategy targets, South Australia</w:t>
      </w:r>
    </w:p>
    <w:tbl>
      <w:tblPr>
        <w:tblW w:w="8505" w:type="dxa"/>
        <w:tblInd w:w="1134" w:type="dxa"/>
        <w:tblBorders>
          <w:bottom w:val="single" w:sz="18" w:space="0" w:color="808080"/>
          <w:insideH w:val="single" w:sz="4" w:space="0" w:color="808080"/>
        </w:tblBorders>
        <w:tblLayout w:type="fixed"/>
        <w:tblCellMar>
          <w:left w:w="0" w:type="dxa"/>
          <w:right w:w="0" w:type="dxa"/>
        </w:tblCellMar>
        <w:tblLook w:val="0000"/>
      </w:tblPr>
      <w:tblGrid>
        <w:gridCol w:w="1559"/>
        <w:gridCol w:w="1559"/>
        <w:gridCol w:w="1559"/>
        <w:gridCol w:w="1560"/>
        <w:gridCol w:w="2268"/>
      </w:tblGrid>
      <w:tr w:rsidR="00D14763" w:rsidRPr="00C36C8F" w:rsidTr="00BE69D2">
        <w:trPr>
          <w:cantSplit/>
        </w:trPr>
        <w:tc>
          <w:tcPr>
            <w:tcW w:w="1559" w:type="dxa"/>
            <w:shd w:val="clear" w:color="auto" w:fill="auto"/>
          </w:tcPr>
          <w:p w:rsidR="00D14763" w:rsidRPr="00C36C8F" w:rsidRDefault="00D14763" w:rsidP="00E175A1">
            <w:pPr>
              <w:pStyle w:val="TableHeading"/>
            </w:pPr>
            <w:r w:rsidRPr="00C36C8F">
              <w:t>Target area</w:t>
            </w:r>
          </w:p>
        </w:tc>
        <w:tc>
          <w:tcPr>
            <w:tcW w:w="1559" w:type="dxa"/>
            <w:shd w:val="clear" w:color="auto" w:fill="auto"/>
          </w:tcPr>
          <w:p w:rsidR="00D14763" w:rsidRPr="00C36C8F" w:rsidRDefault="00D14763" w:rsidP="00E175A1">
            <w:pPr>
              <w:pStyle w:val="TableHeading"/>
            </w:pPr>
            <w:r w:rsidRPr="00C36C8F">
              <w:t>By 2012</w:t>
            </w:r>
          </w:p>
        </w:tc>
        <w:tc>
          <w:tcPr>
            <w:tcW w:w="1559" w:type="dxa"/>
            <w:shd w:val="clear" w:color="auto" w:fill="auto"/>
          </w:tcPr>
          <w:p w:rsidR="00D14763" w:rsidRPr="00C36C8F" w:rsidRDefault="00D14763" w:rsidP="00E175A1">
            <w:pPr>
              <w:pStyle w:val="TableHeading"/>
            </w:pPr>
            <w:r w:rsidRPr="00C36C8F">
              <w:t>By 2014</w:t>
            </w:r>
          </w:p>
        </w:tc>
        <w:tc>
          <w:tcPr>
            <w:tcW w:w="1560" w:type="dxa"/>
            <w:shd w:val="clear" w:color="auto" w:fill="auto"/>
          </w:tcPr>
          <w:p w:rsidR="00D14763" w:rsidRPr="00C36C8F" w:rsidRDefault="00D14763" w:rsidP="00E175A1">
            <w:pPr>
              <w:pStyle w:val="TableHeading"/>
            </w:pPr>
            <w:r w:rsidRPr="00C36C8F">
              <w:t>By 2015</w:t>
            </w:r>
          </w:p>
        </w:tc>
        <w:tc>
          <w:tcPr>
            <w:tcW w:w="2268" w:type="dxa"/>
            <w:shd w:val="clear" w:color="auto" w:fill="auto"/>
          </w:tcPr>
          <w:p w:rsidR="00D14763" w:rsidRPr="00C36C8F" w:rsidRDefault="00D14763" w:rsidP="00E175A1">
            <w:pPr>
              <w:pStyle w:val="TableHeading"/>
            </w:pPr>
            <w:r w:rsidRPr="00C36C8F">
              <w:t>Comments</w:t>
            </w:r>
          </w:p>
        </w:tc>
      </w:tr>
      <w:tr w:rsidR="00D14763" w:rsidRPr="00C36C8F" w:rsidTr="00BE69D2">
        <w:trPr>
          <w:cantSplit/>
        </w:trPr>
        <w:tc>
          <w:tcPr>
            <w:tcW w:w="1559" w:type="dxa"/>
          </w:tcPr>
          <w:p w:rsidR="00D14763" w:rsidRPr="00C36C8F" w:rsidRDefault="00D14763" w:rsidP="00E175A1">
            <w:pPr>
              <w:pStyle w:val="TableText"/>
              <w:keepNext/>
            </w:pPr>
            <w:r w:rsidRPr="00C36C8F">
              <w:t>Reduction in landfill disposal</w:t>
            </w:r>
          </w:p>
        </w:tc>
        <w:tc>
          <w:tcPr>
            <w:tcW w:w="1559" w:type="dxa"/>
          </w:tcPr>
          <w:p w:rsidR="00D14763" w:rsidRPr="00C36C8F" w:rsidRDefault="00D14763" w:rsidP="00DA4D44">
            <w:pPr>
              <w:pStyle w:val="TableText"/>
              <w:keepNext/>
              <w:jc w:val="center"/>
            </w:pPr>
          </w:p>
        </w:tc>
        <w:tc>
          <w:tcPr>
            <w:tcW w:w="1559" w:type="dxa"/>
          </w:tcPr>
          <w:p w:rsidR="00D14763" w:rsidRPr="00C36C8F" w:rsidRDefault="00D14763" w:rsidP="00E175A1">
            <w:pPr>
              <w:pStyle w:val="TableText"/>
              <w:keepNext/>
            </w:pPr>
            <w:r w:rsidRPr="00C36C8F">
              <w:t>25% reduction (from 2002-03 base year)</w:t>
            </w:r>
          </w:p>
        </w:tc>
        <w:tc>
          <w:tcPr>
            <w:tcW w:w="1560" w:type="dxa"/>
          </w:tcPr>
          <w:p w:rsidR="00D14763" w:rsidRPr="00C36C8F" w:rsidRDefault="00D14763" w:rsidP="00DA4D44">
            <w:pPr>
              <w:pStyle w:val="TableText"/>
              <w:keepNext/>
              <w:jc w:val="center"/>
            </w:pPr>
          </w:p>
        </w:tc>
        <w:tc>
          <w:tcPr>
            <w:tcW w:w="2268" w:type="dxa"/>
          </w:tcPr>
          <w:p w:rsidR="00D14763" w:rsidRPr="00C36C8F" w:rsidRDefault="00D14763" w:rsidP="00E175A1">
            <w:pPr>
              <w:pStyle w:val="TableText"/>
              <w:keepNext/>
            </w:pPr>
            <w:r w:rsidRPr="00C36C8F">
              <w:t>Per capita reduction: 5% over five year</w:t>
            </w:r>
          </w:p>
        </w:tc>
      </w:tr>
      <w:tr w:rsidR="00D14763" w:rsidRPr="00C36C8F" w:rsidTr="00BE69D2">
        <w:trPr>
          <w:cantSplit/>
        </w:trPr>
        <w:tc>
          <w:tcPr>
            <w:tcW w:w="1559" w:type="dxa"/>
          </w:tcPr>
          <w:p w:rsidR="00D14763" w:rsidRPr="00C36C8F" w:rsidRDefault="00D14763" w:rsidP="00E175A1">
            <w:pPr>
              <w:pStyle w:val="TableText"/>
              <w:keepNext/>
            </w:pPr>
            <w:r w:rsidRPr="00C36C8F">
              <w:t>Municipal solid waste</w:t>
            </w:r>
          </w:p>
        </w:tc>
        <w:tc>
          <w:tcPr>
            <w:tcW w:w="1559" w:type="dxa"/>
          </w:tcPr>
          <w:p w:rsidR="00D14763" w:rsidRPr="00C36C8F" w:rsidRDefault="00D14763" w:rsidP="00DA4D44">
            <w:pPr>
              <w:pStyle w:val="TableText"/>
              <w:keepNext/>
              <w:jc w:val="center"/>
            </w:pPr>
            <w:r w:rsidRPr="00C36C8F">
              <w:t>60%</w:t>
            </w:r>
          </w:p>
        </w:tc>
        <w:tc>
          <w:tcPr>
            <w:tcW w:w="1559" w:type="dxa"/>
          </w:tcPr>
          <w:p w:rsidR="00D14763" w:rsidRPr="00C36C8F" w:rsidRDefault="00D14763" w:rsidP="00E175A1">
            <w:pPr>
              <w:pStyle w:val="TableText"/>
              <w:keepNext/>
            </w:pPr>
          </w:p>
        </w:tc>
        <w:tc>
          <w:tcPr>
            <w:tcW w:w="1560" w:type="dxa"/>
          </w:tcPr>
          <w:p w:rsidR="00D14763" w:rsidRPr="00C36C8F" w:rsidRDefault="00D14763" w:rsidP="00DA4D44">
            <w:pPr>
              <w:pStyle w:val="TableText"/>
              <w:keepNext/>
              <w:jc w:val="center"/>
            </w:pPr>
            <w:r w:rsidRPr="00C36C8F">
              <w:t>65%</w:t>
            </w:r>
          </w:p>
        </w:tc>
        <w:tc>
          <w:tcPr>
            <w:tcW w:w="2268" w:type="dxa"/>
          </w:tcPr>
          <w:p w:rsidR="00D14763" w:rsidRPr="00C36C8F" w:rsidRDefault="00D14763" w:rsidP="00E175A1">
            <w:pPr>
              <w:pStyle w:val="TableText"/>
              <w:keepNext/>
            </w:pPr>
            <w:r w:rsidRPr="00C36C8F">
              <w:t>Based on 2009 estimated diversion of 55% of MSW from landfill, Adelaide metro only</w:t>
            </w:r>
          </w:p>
        </w:tc>
      </w:tr>
      <w:tr w:rsidR="00D14763" w:rsidRPr="00C36C8F" w:rsidTr="00BE69D2">
        <w:trPr>
          <w:cantSplit/>
        </w:trPr>
        <w:tc>
          <w:tcPr>
            <w:tcW w:w="1559" w:type="dxa"/>
          </w:tcPr>
          <w:p w:rsidR="00D14763" w:rsidRPr="00C36C8F" w:rsidRDefault="00D14763" w:rsidP="00E175A1">
            <w:pPr>
              <w:pStyle w:val="TableText"/>
              <w:keepNext/>
            </w:pPr>
            <w:r w:rsidRPr="00C36C8F">
              <w:t>Commercial &amp; industrial</w:t>
            </w:r>
          </w:p>
        </w:tc>
        <w:tc>
          <w:tcPr>
            <w:tcW w:w="1559" w:type="dxa"/>
          </w:tcPr>
          <w:p w:rsidR="00D14763" w:rsidRPr="00C36C8F" w:rsidRDefault="00D14763" w:rsidP="00DA4D44">
            <w:pPr>
              <w:pStyle w:val="TableText"/>
              <w:keepNext/>
              <w:jc w:val="center"/>
            </w:pPr>
            <w:r w:rsidRPr="00C36C8F">
              <w:t>65%</w:t>
            </w:r>
          </w:p>
        </w:tc>
        <w:tc>
          <w:tcPr>
            <w:tcW w:w="1559" w:type="dxa"/>
          </w:tcPr>
          <w:p w:rsidR="00D14763" w:rsidRPr="00C36C8F" w:rsidRDefault="00D14763" w:rsidP="00E175A1">
            <w:pPr>
              <w:pStyle w:val="TableText"/>
              <w:keepNext/>
            </w:pPr>
          </w:p>
        </w:tc>
        <w:tc>
          <w:tcPr>
            <w:tcW w:w="1560" w:type="dxa"/>
          </w:tcPr>
          <w:p w:rsidR="00D14763" w:rsidRPr="00C36C8F" w:rsidRDefault="00D14763" w:rsidP="00DA4D44">
            <w:pPr>
              <w:pStyle w:val="TableText"/>
              <w:keepNext/>
              <w:jc w:val="center"/>
            </w:pPr>
            <w:r w:rsidRPr="00C36C8F">
              <w:t>75%</w:t>
            </w:r>
          </w:p>
        </w:tc>
        <w:tc>
          <w:tcPr>
            <w:tcW w:w="2268" w:type="dxa"/>
          </w:tcPr>
          <w:p w:rsidR="00D14763" w:rsidRPr="00C36C8F" w:rsidRDefault="00D14763" w:rsidP="00E175A1">
            <w:pPr>
              <w:pStyle w:val="TableText"/>
              <w:keepNext/>
            </w:pPr>
            <w:r w:rsidRPr="00C36C8F">
              <w:t>Based on 2009 estimated diversion of 60% of C&amp;I from landfill, Adelaide metro only</w:t>
            </w:r>
          </w:p>
        </w:tc>
      </w:tr>
      <w:tr w:rsidR="00D14763" w:rsidRPr="00C36C8F" w:rsidTr="00BE69D2">
        <w:trPr>
          <w:cantSplit/>
        </w:trPr>
        <w:tc>
          <w:tcPr>
            <w:tcW w:w="1559" w:type="dxa"/>
          </w:tcPr>
          <w:p w:rsidR="00D14763" w:rsidRPr="00C36C8F" w:rsidRDefault="00D14763" w:rsidP="00E175A1">
            <w:pPr>
              <w:pStyle w:val="TableText"/>
              <w:keepNext/>
            </w:pPr>
            <w:r w:rsidRPr="00C36C8F">
              <w:t>Construction &amp; demolition</w:t>
            </w:r>
          </w:p>
        </w:tc>
        <w:tc>
          <w:tcPr>
            <w:tcW w:w="1559" w:type="dxa"/>
          </w:tcPr>
          <w:p w:rsidR="00D14763" w:rsidRPr="00C36C8F" w:rsidRDefault="00D14763" w:rsidP="00DA4D44">
            <w:pPr>
              <w:pStyle w:val="TableText"/>
              <w:keepNext/>
              <w:jc w:val="center"/>
            </w:pPr>
            <w:r w:rsidRPr="00C36C8F">
              <w:t>85%</w:t>
            </w:r>
          </w:p>
        </w:tc>
        <w:tc>
          <w:tcPr>
            <w:tcW w:w="1559" w:type="dxa"/>
          </w:tcPr>
          <w:p w:rsidR="00D14763" w:rsidRPr="00C36C8F" w:rsidRDefault="00D14763" w:rsidP="00E175A1">
            <w:pPr>
              <w:pStyle w:val="TableText"/>
              <w:keepNext/>
            </w:pPr>
          </w:p>
        </w:tc>
        <w:tc>
          <w:tcPr>
            <w:tcW w:w="1560" w:type="dxa"/>
          </w:tcPr>
          <w:p w:rsidR="00D14763" w:rsidRPr="00C36C8F" w:rsidRDefault="00D14763" w:rsidP="00DA4D44">
            <w:pPr>
              <w:pStyle w:val="TableText"/>
              <w:keepNext/>
              <w:jc w:val="center"/>
            </w:pPr>
            <w:r w:rsidRPr="00C36C8F">
              <w:t>90%</w:t>
            </w:r>
          </w:p>
        </w:tc>
        <w:tc>
          <w:tcPr>
            <w:tcW w:w="2268" w:type="dxa"/>
          </w:tcPr>
          <w:p w:rsidR="00D14763" w:rsidRPr="00C36C8F" w:rsidRDefault="00D14763" w:rsidP="00E175A1">
            <w:pPr>
              <w:pStyle w:val="TableText"/>
              <w:keepNext/>
            </w:pPr>
            <w:r w:rsidRPr="00C36C8F">
              <w:t>Based on 2009 estimated diversion of 80% of C&amp;D from landfill, Adelaide metro only</w:t>
            </w:r>
          </w:p>
        </w:tc>
      </w:tr>
      <w:tr w:rsidR="00D14763" w:rsidRPr="00C36C8F" w:rsidTr="00BE69D2">
        <w:trPr>
          <w:cantSplit/>
        </w:trPr>
        <w:tc>
          <w:tcPr>
            <w:tcW w:w="1559" w:type="dxa"/>
            <w:tcBorders>
              <w:bottom w:val="single" w:sz="4" w:space="0" w:color="808080"/>
            </w:tcBorders>
          </w:tcPr>
          <w:p w:rsidR="00D14763" w:rsidRPr="00C36C8F" w:rsidRDefault="00D14763" w:rsidP="00E175A1">
            <w:pPr>
              <w:pStyle w:val="TableText"/>
              <w:keepNext/>
            </w:pPr>
            <w:r w:rsidRPr="00C36C8F">
              <w:t>Problematic &amp; hazardous waste</w:t>
            </w:r>
          </w:p>
        </w:tc>
        <w:tc>
          <w:tcPr>
            <w:tcW w:w="1559" w:type="dxa"/>
            <w:tcBorders>
              <w:bottom w:val="single" w:sz="4" w:space="0" w:color="808080"/>
            </w:tcBorders>
          </w:tcPr>
          <w:p w:rsidR="00D14763" w:rsidRPr="00C36C8F" w:rsidRDefault="00D14763" w:rsidP="00DA4D44">
            <w:pPr>
              <w:pStyle w:val="TableText"/>
              <w:keepNext/>
              <w:jc w:val="center"/>
            </w:pPr>
          </w:p>
        </w:tc>
        <w:tc>
          <w:tcPr>
            <w:tcW w:w="1559" w:type="dxa"/>
            <w:tcBorders>
              <w:bottom w:val="single" w:sz="4" w:space="0" w:color="808080"/>
            </w:tcBorders>
          </w:tcPr>
          <w:p w:rsidR="00D14763" w:rsidRPr="00C36C8F" w:rsidRDefault="00D14763" w:rsidP="00E175A1">
            <w:pPr>
              <w:pStyle w:val="TableText"/>
              <w:keepNext/>
            </w:pPr>
          </w:p>
        </w:tc>
        <w:tc>
          <w:tcPr>
            <w:tcW w:w="1560" w:type="dxa"/>
            <w:tcBorders>
              <w:bottom w:val="single" w:sz="4" w:space="0" w:color="808080"/>
            </w:tcBorders>
          </w:tcPr>
          <w:p w:rsidR="00D14763" w:rsidRPr="00C36C8F" w:rsidRDefault="00D14763" w:rsidP="00E175A1">
            <w:pPr>
              <w:pStyle w:val="TableText"/>
              <w:keepNext/>
            </w:pPr>
            <w:r w:rsidRPr="00C36C8F">
              <w:t>Effective extended producer responsibility schemes in place</w:t>
            </w:r>
          </w:p>
        </w:tc>
        <w:tc>
          <w:tcPr>
            <w:tcW w:w="2268" w:type="dxa"/>
            <w:tcBorders>
              <w:bottom w:val="single" w:sz="4" w:space="0" w:color="808080"/>
            </w:tcBorders>
          </w:tcPr>
          <w:p w:rsidR="00D14763" w:rsidRPr="00C36C8F" w:rsidRDefault="00D14763" w:rsidP="00E175A1">
            <w:pPr>
              <w:pStyle w:val="TableText"/>
              <w:keepNext/>
            </w:pPr>
          </w:p>
        </w:tc>
      </w:tr>
      <w:tr w:rsidR="00D14763" w:rsidRPr="00C36C8F" w:rsidTr="00BE69D2">
        <w:trPr>
          <w:cantSplit/>
        </w:trPr>
        <w:tc>
          <w:tcPr>
            <w:tcW w:w="1559" w:type="dxa"/>
            <w:tcBorders>
              <w:top w:val="single" w:sz="4" w:space="0" w:color="808080"/>
              <w:bottom w:val="single" w:sz="4" w:space="0" w:color="808080"/>
            </w:tcBorders>
          </w:tcPr>
          <w:p w:rsidR="00D14763" w:rsidRPr="00C36C8F" w:rsidRDefault="00D14763" w:rsidP="00BE69D2">
            <w:pPr>
              <w:pStyle w:val="TableText"/>
            </w:pPr>
            <w:r w:rsidRPr="00C36C8F">
              <w:t>Disposal &amp; illegal dumping</w:t>
            </w:r>
          </w:p>
        </w:tc>
        <w:tc>
          <w:tcPr>
            <w:tcW w:w="6946" w:type="dxa"/>
            <w:gridSpan w:val="4"/>
            <w:tcBorders>
              <w:top w:val="single" w:sz="4" w:space="0" w:color="808080"/>
              <w:bottom w:val="single" w:sz="4" w:space="0" w:color="808080"/>
            </w:tcBorders>
          </w:tcPr>
          <w:p w:rsidR="00D14763" w:rsidRPr="00C36C8F" w:rsidRDefault="00D14763" w:rsidP="00BE69D2">
            <w:pPr>
              <w:pStyle w:val="TableText"/>
            </w:pPr>
            <w:r w:rsidRPr="00C36C8F">
              <w:t>Decreased incidences &amp; tonnages (based on 2009 baseline)</w:t>
            </w:r>
          </w:p>
        </w:tc>
      </w:tr>
    </w:tbl>
    <w:p w:rsidR="000B006D" w:rsidRPr="00C36C8F" w:rsidRDefault="000B006D" w:rsidP="009B3DDD">
      <w:pPr>
        <w:pStyle w:val="ParaIndent"/>
        <w:jc w:val="both"/>
      </w:pPr>
    </w:p>
    <w:p w:rsidR="00D14763" w:rsidRPr="00C36C8F" w:rsidRDefault="00D14763" w:rsidP="009B3DDD">
      <w:pPr>
        <w:pStyle w:val="ParaIndent"/>
        <w:jc w:val="both"/>
      </w:pPr>
      <w:r w:rsidRPr="00C36C8F">
        <w:t>The Draft Strategy sets out a series of actions that seeks to deliver these targets within the five year timeframe. This is further supported by actions that address the importance of research and development in the delivery and evaluation of the Draft Strategy in meeting its two overarching objectives.</w:t>
      </w:r>
    </w:p>
    <w:p w:rsidR="00D14763" w:rsidRPr="00C36C8F" w:rsidRDefault="00D14763" w:rsidP="009B3DDD">
      <w:pPr>
        <w:pStyle w:val="Heading40"/>
        <w:spacing w:before="0"/>
        <w:jc w:val="both"/>
      </w:pPr>
      <w:r w:rsidRPr="00C36C8F">
        <w:t>Environment Protection (Waste to Resources) Policy 2010</w:t>
      </w:r>
      <w:r w:rsidR="00690F1F" w:rsidRPr="00C36C8F">
        <w:t xml:space="preserve"> </w:t>
      </w:r>
    </w:p>
    <w:p w:rsidR="00D14763" w:rsidRPr="00C36C8F" w:rsidRDefault="00D14763" w:rsidP="009B3DDD">
      <w:pPr>
        <w:pStyle w:val="ParaIndent"/>
        <w:jc w:val="both"/>
      </w:pPr>
      <w:r w:rsidRPr="00C36C8F">
        <w:t xml:space="preserve">To support the delivery of </w:t>
      </w:r>
      <w:r w:rsidRPr="00C36C8F">
        <w:rPr>
          <w:i/>
        </w:rPr>
        <w:t>South Australia’s Strategic Plan 2007</w:t>
      </w:r>
      <w:r w:rsidRPr="00C36C8F">
        <w:t xml:space="preserve"> target to reduce landfill disposal by 25% by 2014, and to facilitate the delivery of the objectives of the Draft Strategy, EPA South Australia delivered a new regulatory framework in 2010. Under the </w:t>
      </w:r>
      <w:r w:rsidRPr="00C36C8F">
        <w:rPr>
          <w:i/>
        </w:rPr>
        <w:t>Environment Protection Act 1993</w:t>
      </w:r>
      <w:r w:rsidRPr="00C36C8F">
        <w:t xml:space="preserve"> (the Act), the EPA introduced the </w:t>
      </w:r>
      <w:r w:rsidRPr="00C36C8F">
        <w:rPr>
          <w:i/>
        </w:rPr>
        <w:t>Environment Protection (Waste to Resources) Policy 2010</w:t>
      </w:r>
      <w:r w:rsidRPr="00C36C8F">
        <w:t xml:space="preserve"> (W2REPP), which came into effect on 1 September 2010.</w:t>
      </w:r>
    </w:p>
    <w:p w:rsidR="00D14763" w:rsidRPr="00C36C8F" w:rsidRDefault="00D14763" w:rsidP="009B3DDD">
      <w:pPr>
        <w:pStyle w:val="ParaIndent"/>
        <w:jc w:val="both"/>
      </w:pPr>
      <w:r w:rsidRPr="00C36C8F">
        <w:t>As articulated in the W2REPP, its overarching objective is to:</w:t>
      </w:r>
    </w:p>
    <w:p w:rsidR="00D14763" w:rsidRPr="00C36C8F" w:rsidRDefault="00D14763" w:rsidP="000B006D">
      <w:pPr>
        <w:pStyle w:val="ParaIndent"/>
        <w:ind w:left="1701"/>
        <w:jc w:val="both"/>
        <w:rPr>
          <w:i/>
        </w:rPr>
      </w:pPr>
      <w:r w:rsidRPr="00C36C8F">
        <w:rPr>
          <w:i/>
        </w:rPr>
        <w:t>‘achieve sustainable waste management by applying the waste management hierarchy consistently with the principles of ecologically sustainable development set out in section 10 of the Act.</w:t>
      </w:r>
    </w:p>
    <w:p w:rsidR="00D14763" w:rsidRPr="00C36C8F" w:rsidRDefault="00D14763" w:rsidP="009B3DDD">
      <w:pPr>
        <w:pStyle w:val="ParaIndent"/>
        <w:jc w:val="both"/>
      </w:pPr>
      <w:r w:rsidRPr="00C36C8F">
        <w:t>To achieve this objective, the W2REPP highlights that waste management in South Australia should also:</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promote best practice and accountable waste management, taking into account regional differences within the State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include effective recording, monitoring and reporting systems with respect to waste transport, resource recovery and waste disposal</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promote environmental responsibility and involvement in waste avoidance, waste minimisation and waste management within the community.</w:t>
      </w:r>
    </w:p>
    <w:p w:rsidR="00D14763" w:rsidRPr="00C36C8F" w:rsidRDefault="00D14763" w:rsidP="009B3DDD">
      <w:pPr>
        <w:pStyle w:val="ParaIndent"/>
        <w:jc w:val="both"/>
      </w:pPr>
      <w:r w:rsidRPr="00C36C8F">
        <w:t xml:space="preserve">The objective and goals articulated in the Policy will be achieved through a series of actions which are outlined on the EPA website and summarised in </w:t>
      </w:r>
      <w:r w:rsidR="00B9555F" w:rsidRPr="00C36C8F">
        <w:fldChar w:fldCharType="begin"/>
      </w:r>
      <w:r w:rsidRPr="00C36C8F">
        <w:instrText xml:space="preserve"> REF _Ref283643538 \h </w:instrText>
      </w:r>
      <w:r w:rsidR="00B9555F" w:rsidRPr="00C36C8F">
        <w:fldChar w:fldCharType="separate"/>
      </w:r>
      <w:r w:rsidR="00AE7E3B" w:rsidRPr="00C36C8F">
        <w:t xml:space="preserve">Table </w:t>
      </w:r>
      <w:r w:rsidR="00AE7E3B">
        <w:rPr>
          <w:noProof/>
        </w:rPr>
        <w:t>6</w:t>
      </w:r>
      <w:r w:rsidR="00AE7E3B" w:rsidRPr="00C36C8F">
        <w:t>-</w:t>
      </w:r>
      <w:r w:rsidR="00AE7E3B">
        <w:rPr>
          <w:noProof/>
        </w:rPr>
        <w:t>60</w:t>
      </w:r>
      <w:r w:rsidR="00B9555F" w:rsidRPr="00C36C8F">
        <w:fldChar w:fldCharType="end"/>
      </w:r>
      <w:r w:rsidRPr="00C36C8F">
        <w:t>.</w:t>
      </w:r>
    </w:p>
    <w:p w:rsidR="00D14763" w:rsidRPr="00C36C8F" w:rsidRDefault="00D14763" w:rsidP="00D14763">
      <w:pPr>
        <w:pStyle w:val="Caption"/>
      </w:pPr>
      <w:bookmarkStart w:id="263" w:name="_Ref283643538"/>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60</w:t>
      </w:r>
      <w:r w:rsidR="00B9555F" w:rsidRPr="00C36C8F">
        <w:rPr>
          <w:noProof/>
        </w:rPr>
        <w:fldChar w:fldCharType="end"/>
      </w:r>
      <w:bookmarkEnd w:id="263"/>
      <w:r w:rsidRPr="00C36C8F">
        <w:tab/>
        <w:t>Key elements of W2REPP</w:t>
      </w:r>
    </w:p>
    <w:tbl>
      <w:tblPr>
        <w:tblW w:w="9639" w:type="dxa"/>
        <w:tblBorders>
          <w:bottom w:val="single" w:sz="18" w:space="0" w:color="808080"/>
          <w:insideH w:val="single" w:sz="4" w:space="0" w:color="808080"/>
        </w:tblBorders>
        <w:tblLayout w:type="fixed"/>
        <w:tblCellMar>
          <w:left w:w="0" w:type="dxa"/>
          <w:right w:w="0" w:type="dxa"/>
        </w:tblCellMar>
        <w:tblLook w:val="0000"/>
      </w:tblPr>
      <w:tblGrid>
        <w:gridCol w:w="1418"/>
        <w:gridCol w:w="2977"/>
        <w:gridCol w:w="1748"/>
        <w:gridCol w:w="1748"/>
        <w:gridCol w:w="1748"/>
      </w:tblGrid>
      <w:tr w:rsidR="00D14763" w:rsidRPr="00C36C8F" w:rsidTr="009947F6">
        <w:trPr>
          <w:cantSplit/>
          <w:tblHeader/>
        </w:trPr>
        <w:tc>
          <w:tcPr>
            <w:tcW w:w="1418" w:type="dxa"/>
            <w:shd w:val="clear" w:color="auto" w:fill="auto"/>
            <w:tcMar>
              <w:right w:w="142" w:type="dxa"/>
            </w:tcMar>
          </w:tcPr>
          <w:p w:rsidR="00D14763" w:rsidRPr="00C36C8F" w:rsidRDefault="00D14763" w:rsidP="00BE69D2">
            <w:pPr>
              <w:pStyle w:val="TableHeading"/>
            </w:pPr>
            <w:r w:rsidRPr="00C36C8F">
              <w:t>Key element</w:t>
            </w:r>
          </w:p>
        </w:tc>
        <w:tc>
          <w:tcPr>
            <w:tcW w:w="2977" w:type="dxa"/>
            <w:shd w:val="clear" w:color="auto" w:fill="auto"/>
            <w:tcMar>
              <w:left w:w="142" w:type="dxa"/>
              <w:right w:w="142" w:type="dxa"/>
            </w:tcMar>
          </w:tcPr>
          <w:p w:rsidR="00D14763" w:rsidRPr="00C36C8F" w:rsidRDefault="00D14763" w:rsidP="00BE69D2">
            <w:pPr>
              <w:pStyle w:val="TableHeading"/>
            </w:pPr>
            <w:r w:rsidRPr="00C36C8F">
              <w:t>From 1 Sept 2010</w:t>
            </w:r>
          </w:p>
        </w:tc>
        <w:tc>
          <w:tcPr>
            <w:tcW w:w="1748" w:type="dxa"/>
            <w:shd w:val="clear" w:color="auto" w:fill="auto"/>
            <w:tcMar>
              <w:left w:w="142" w:type="dxa"/>
              <w:right w:w="142" w:type="dxa"/>
            </w:tcMar>
          </w:tcPr>
          <w:p w:rsidR="00D14763" w:rsidRPr="00C36C8F" w:rsidRDefault="00D14763" w:rsidP="00BE69D2">
            <w:pPr>
              <w:pStyle w:val="TableHeading"/>
            </w:pPr>
            <w:r w:rsidRPr="00C36C8F">
              <w:t>From 1 Sept 2011</w:t>
            </w:r>
          </w:p>
        </w:tc>
        <w:tc>
          <w:tcPr>
            <w:tcW w:w="1748" w:type="dxa"/>
            <w:shd w:val="clear" w:color="auto" w:fill="auto"/>
            <w:tcMar>
              <w:left w:w="142" w:type="dxa"/>
              <w:right w:w="142" w:type="dxa"/>
            </w:tcMar>
          </w:tcPr>
          <w:p w:rsidR="00D14763" w:rsidRPr="00C36C8F" w:rsidRDefault="00D14763" w:rsidP="00BE69D2">
            <w:pPr>
              <w:pStyle w:val="TableHeading"/>
            </w:pPr>
            <w:r w:rsidRPr="00C36C8F">
              <w:t>From 1 Sept 2012</w:t>
            </w:r>
          </w:p>
        </w:tc>
        <w:tc>
          <w:tcPr>
            <w:tcW w:w="1748" w:type="dxa"/>
            <w:shd w:val="clear" w:color="auto" w:fill="auto"/>
            <w:tcMar>
              <w:left w:w="142" w:type="dxa"/>
              <w:right w:w="142" w:type="dxa"/>
            </w:tcMar>
          </w:tcPr>
          <w:p w:rsidR="00D14763" w:rsidRPr="00C36C8F" w:rsidRDefault="00D14763" w:rsidP="00BE69D2">
            <w:pPr>
              <w:pStyle w:val="TableHeading"/>
            </w:pPr>
            <w:r w:rsidRPr="00C36C8F">
              <w:t>From 1 Sept 2013</w:t>
            </w:r>
          </w:p>
        </w:tc>
      </w:tr>
      <w:tr w:rsidR="00D14763" w:rsidRPr="00C36C8F" w:rsidTr="009947F6">
        <w:trPr>
          <w:cantSplit/>
        </w:trPr>
        <w:tc>
          <w:tcPr>
            <w:tcW w:w="1418" w:type="dxa"/>
            <w:tcBorders>
              <w:bottom w:val="single" w:sz="4" w:space="0" w:color="808080"/>
            </w:tcBorders>
            <w:tcMar>
              <w:right w:w="142" w:type="dxa"/>
            </w:tcMar>
          </w:tcPr>
          <w:p w:rsidR="00D14763" w:rsidRPr="00C36C8F" w:rsidRDefault="00D14763" w:rsidP="00BE69D2">
            <w:pPr>
              <w:pStyle w:val="TableText"/>
              <w:rPr>
                <w:b/>
              </w:rPr>
            </w:pPr>
            <w:r w:rsidRPr="00C36C8F">
              <w:rPr>
                <w:b/>
              </w:rPr>
              <w:t>Landfill bans</w:t>
            </w:r>
          </w:p>
        </w:tc>
        <w:tc>
          <w:tcPr>
            <w:tcW w:w="2977" w:type="dxa"/>
            <w:tcBorders>
              <w:bottom w:val="single" w:sz="4" w:space="0" w:color="808080"/>
            </w:tcBorders>
            <w:tcMar>
              <w:left w:w="142" w:type="dxa"/>
              <w:right w:w="142" w:type="dxa"/>
            </w:tcMar>
          </w:tcPr>
          <w:p w:rsidR="00D14763" w:rsidRPr="00C36C8F" w:rsidRDefault="00D14763" w:rsidP="00BE69D2">
            <w:pPr>
              <w:pStyle w:val="TableText"/>
              <w:rPr>
                <w:szCs w:val="18"/>
              </w:rPr>
            </w:pPr>
            <w:r w:rsidRPr="00C36C8F">
              <w:rPr>
                <w:szCs w:val="18"/>
              </w:rPr>
              <w:t>With a range of qualifications the following materials have some form of disposal limitation:</w:t>
            </w:r>
          </w:p>
          <w:p w:rsidR="00D14763" w:rsidRPr="00C36C8F" w:rsidRDefault="00D14763" w:rsidP="00BE69D2">
            <w:pPr>
              <w:pStyle w:val="TableText"/>
            </w:pPr>
            <w:r w:rsidRPr="00C36C8F">
              <w:rPr>
                <w:szCs w:val="18"/>
              </w:rPr>
              <w:t>Hazardous waste; Lead acid batteries; Liquid waste; Medical waste; Oil; Whole tyres; Aggregated cardboard and paper; Aggregated glass packaging; Aggregated metals; Aggregated PET or HDPE plastic packaging; Vegetative matter collected by councils</w:t>
            </w:r>
            <w:r w:rsidR="009E45B7" w:rsidRPr="00C36C8F">
              <w:rPr>
                <w:szCs w:val="18"/>
              </w:rPr>
              <w:t>.</w:t>
            </w:r>
          </w:p>
        </w:tc>
        <w:tc>
          <w:tcPr>
            <w:tcW w:w="1748" w:type="dxa"/>
            <w:tcBorders>
              <w:bottom w:val="single" w:sz="4" w:space="0" w:color="808080"/>
            </w:tcBorders>
            <w:tcMar>
              <w:left w:w="142" w:type="dxa"/>
              <w:right w:w="142" w:type="dxa"/>
            </w:tcMar>
          </w:tcPr>
          <w:p w:rsidR="00D14763" w:rsidRPr="00C36C8F" w:rsidRDefault="00D14763" w:rsidP="00BE69D2">
            <w:pPr>
              <w:pStyle w:val="TableText"/>
              <w:rPr>
                <w:szCs w:val="18"/>
              </w:rPr>
            </w:pPr>
            <w:r w:rsidRPr="00C36C8F">
              <w:rPr>
                <w:szCs w:val="18"/>
              </w:rPr>
              <w:t>With a range of qualifications the following materials have some form of disposal limitation: Vehicles; PP or LDPE plastic packaging; Whitegoods</w:t>
            </w:r>
            <w:r w:rsidR="009E45B7" w:rsidRPr="00C36C8F">
              <w:rPr>
                <w:szCs w:val="18"/>
              </w:rPr>
              <w:t>.</w:t>
            </w:r>
          </w:p>
        </w:tc>
        <w:tc>
          <w:tcPr>
            <w:tcW w:w="1748" w:type="dxa"/>
            <w:tcBorders>
              <w:bottom w:val="single" w:sz="4" w:space="0" w:color="808080"/>
            </w:tcBorders>
            <w:tcMar>
              <w:left w:w="142" w:type="dxa"/>
              <w:right w:w="142" w:type="dxa"/>
            </w:tcMar>
          </w:tcPr>
          <w:p w:rsidR="00D14763" w:rsidRPr="00C36C8F" w:rsidRDefault="00D14763" w:rsidP="00BE69D2">
            <w:pPr>
              <w:pStyle w:val="TableText"/>
              <w:rPr>
                <w:szCs w:val="18"/>
              </w:rPr>
            </w:pPr>
            <w:r w:rsidRPr="00C36C8F">
              <w:rPr>
                <w:szCs w:val="18"/>
              </w:rPr>
              <w:t>With a range of qualifications the following materials have some form of disposal limitation: PVC or PS plastic packaging; Fluorescent lighting (Adelaide Metro only); Computer monitors &amp; televisions (Adelaide Metro only); Whole earth mover tyres</w:t>
            </w:r>
            <w:r w:rsidR="009E45B7" w:rsidRPr="00C36C8F">
              <w:rPr>
                <w:szCs w:val="18"/>
              </w:rPr>
              <w:t>.</w:t>
            </w:r>
          </w:p>
        </w:tc>
        <w:tc>
          <w:tcPr>
            <w:tcW w:w="1748" w:type="dxa"/>
            <w:tcBorders>
              <w:bottom w:val="single" w:sz="4" w:space="0" w:color="808080"/>
            </w:tcBorders>
            <w:tcMar>
              <w:left w:w="142" w:type="dxa"/>
              <w:right w:w="142" w:type="dxa"/>
            </w:tcMar>
          </w:tcPr>
          <w:p w:rsidR="00D14763" w:rsidRPr="00C36C8F" w:rsidRDefault="00D14763" w:rsidP="00BE69D2">
            <w:pPr>
              <w:pStyle w:val="TableText"/>
              <w:rPr>
                <w:szCs w:val="18"/>
              </w:rPr>
            </w:pPr>
            <w:r w:rsidRPr="00C36C8F">
              <w:rPr>
                <w:szCs w:val="18"/>
              </w:rPr>
              <w:t>With a range of qualifications the following materials have some form of disposal limitation: Fluorescent lighting; Computer monitors &amp; televisions; Other electrical or electronic equipment</w:t>
            </w:r>
            <w:r w:rsidR="009E45B7" w:rsidRPr="00C36C8F">
              <w:rPr>
                <w:szCs w:val="18"/>
              </w:rPr>
              <w:t>.</w:t>
            </w:r>
          </w:p>
          <w:p w:rsidR="00D14763" w:rsidRPr="00C36C8F" w:rsidRDefault="00D14763" w:rsidP="00BE69D2">
            <w:pPr>
              <w:pStyle w:val="TableText"/>
              <w:rPr>
                <w:szCs w:val="18"/>
              </w:rPr>
            </w:pPr>
          </w:p>
        </w:tc>
      </w:tr>
      <w:tr w:rsidR="00D14763" w:rsidRPr="00C36C8F" w:rsidTr="009947F6">
        <w:trPr>
          <w:cantSplit/>
        </w:trPr>
        <w:tc>
          <w:tcPr>
            <w:tcW w:w="1418" w:type="dxa"/>
            <w:tcBorders>
              <w:top w:val="single" w:sz="4" w:space="0" w:color="808080"/>
              <w:bottom w:val="single" w:sz="4" w:space="0" w:color="808080"/>
            </w:tcBorders>
            <w:tcMar>
              <w:right w:w="142" w:type="dxa"/>
            </w:tcMar>
          </w:tcPr>
          <w:p w:rsidR="00D14763" w:rsidRPr="00C36C8F" w:rsidRDefault="00D14763" w:rsidP="00BE69D2">
            <w:pPr>
              <w:pStyle w:val="TableText"/>
              <w:rPr>
                <w:b/>
              </w:rPr>
            </w:pPr>
            <w:r w:rsidRPr="00C36C8F">
              <w:rPr>
                <w:b/>
              </w:rPr>
              <w:t>Illegal dumping</w:t>
            </w:r>
          </w:p>
        </w:tc>
        <w:tc>
          <w:tcPr>
            <w:tcW w:w="2977" w:type="dxa"/>
            <w:tcBorders>
              <w:top w:val="single" w:sz="4" w:space="0" w:color="808080"/>
              <w:bottom w:val="single" w:sz="4" w:space="0" w:color="808080"/>
            </w:tcBorders>
            <w:tcMar>
              <w:left w:w="142" w:type="dxa"/>
              <w:right w:w="142" w:type="dxa"/>
            </w:tcMar>
          </w:tcPr>
          <w:p w:rsidR="00D14763" w:rsidRPr="00C36C8F" w:rsidRDefault="00D14763" w:rsidP="00BE69D2">
            <w:pPr>
              <w:pStyle w:val="TableText"/>
              <w:rPr>
                <w:szCs w:val="18"/>
              </w:rPr>
            </w:pPr>
            <w:r w:rsidRPr="00C36C8F">
              <w:rPr>
                <w:rFonts w:cs="Arial"/>
                <w:color w:val="1E1E1E"/>
                <w:szCs w:val="18"/>
              </w:rPr>
              <w:t>Improved illegal dumping and unauthorised stockpiling controls come into effect, with penalties of up to $250,000. An EPA licence is still required for the for the receipt and disposal of waste</w:t>
            </w:r>
            <w:r w:rsidR="009E45B7" w:rsidRPr="00C36C8F">
              <w:rPr>
                <w:rFonts w:cs="Arial"/>
                <w:color w:val="1E1E1E"/>
                <w:szCs w:val="18"/>
              </w:rPr>
              <w:t>.</w:t>
            </w:r>
          </w:p>
        </w:tc>
        <w:tc>
          <w:tcPr>
            <w:tcW w:w="1748" w:type="dxa"/>
            <w:tcBorders>
              <w:top w:val="single" w:sz="4" w:space="0" w:color="808080"/>
              <w:bottom w:val="single" w:sz="4" w:space="0" w:color="808080"/>
            </w:tcBorders>
            <w:tcMar>
              <w:left w:w="142" w:type="dxa"/>
              <w:right w:w="142" w:type="dxa"/>
            </w:tcMar>
          </w:tcPr>
          <w:p w:rsidR="00D14763" w:rsidRPr="00C36C8F" w:rsidRDefault="00D14763" w:rsidP="00BE69D2">
            <w:pPr>
              <w:pStyle w:val="TableText"/>
              <w:rPr>
                <w:szCs w:val="18"/>
              </w:rPr>
            </w:pPr>
          </w:p>
        </w:tc>
        <w:tc>
          <w:tcPr>
            <w:tcW w:w="1748" w:type="dxa"/>
            <w:tcBorders>
              <w:top w:val="single" w:sz="4" w:space="0" w:color="808080"/>
              <w:bottom w:val="single" w:sz="4" w:space="0" w:color="808080"/>
            </w:tcBorders>
            <w:tcMar>
              <w:left w:w="142" w:type="dxa"/>
              <w:right w:w="142" w:type="dxa"/>
            </w:tcMar>
          </w:tcPr>
          <w:p w:rsidR="00D14763" w:rsidRPr="00C36C8F" w:rsidRDefault="00D14763" w:rsidP="00BE69D2">
            <w:pPr>
              <w:pStyle w:val="TableText"/>
              <w:rPr>
                <w:szCs w:val="18"/>
              </w:rPr>
            </w:pPr>
          </w:p>
        </w:tc>
        <w:tc>
          <w:tcPr>
            <w:tcW w:w="1748" w:type="dxa"/>
            <w:tcBorders>
              <w:top w:val="single" w:sz="4" w:space="0" w:color="808080"/>
              <w:bottom w:val="single" w:sz="4" w:space="0" w:color="808080"/>
            </w:tcBorders>
            <w:tcMar>
              <w:left w:w="142" w:type="dxa"/>
              <w:right w:w="142" w:type="dxa"/>
            </w:tcMar>
          </w:tcPr>
          <w:p w:rsidR="00D14763" w:rsidRPr="00C36C8F" w:rsidRDefault="00D14763" w:rsidP="00BE69D2">
            <w:pPr>
              <w:pStyle w:val="TableText"/>
              <w:rPr>
                <w:szCs w:val="18"/>
              </w:rPr>
            </w:pPr>
          </w:p>
        </w:tc>
      </w:tr>
      <w:tr w:rsidR="00D14763" w:rsidRPr="00C36C8F" w:rsidTr="009947F6">
        <w:trPr>
          <w:cantSplit/>
        </w:trPr>
        <w:tc>
          <w:tcPr>
            <w:tcW w:w="1418" w:type="dxa"/>
            <w:tcBorders>
              <w:top w:val="single" w:sz="4" w:space="0" w:color="808080"/>
            </w:tcBorders>
            <w:tcMar>
              <w:right w:w="142" w:type="dxa"/>
            </w:tcMar>
          </w:tcPr>
          <w:p w:rsidR="00D14763" w:rsidRPr="00C36C8F" w:rsidRDefault="00D14763" w:rsidP="00BE69D2">
            <w:pPr>
              <w:pStyle w:val="TableText"/>
              <w:rPr>
                <w:b/>
              </w:rPr>
            </w:pPr>
            <w:r w:rsidRPr="00C36C8F">
              <w:rPr>
                <w:b/>
              </w:rPr>
              <w:t>Waste transport</w:t>
            </w:r>
          </w:p>
        </w:tc>
        <w:tc>
          <w:tcPr>
            <w:tcW w:w="2977" w:type="dxa"/>
            <w:tcBorders>
              <w:top w:val="single" w:sz="4" w:space="0" w:color="808080"/>
            </w:tcBorders>
            <w:tcMar>
              <w:left w:w="142" w:type="dxa"/>
              <w:right w:w="142" w:type="dxa"/>
            </w:tcMar>
          </w:tcPr>
          <w:p w:rsidR="00D14763" w:rsidRPr="00C36C8F" w:rsidRDefault="00D14763" w:rsidP="00BE69D2">
            <w:pPr>
              <w:pStyle w:val="TableText"/>
              <w:rPr>
                <w:szCs w:val="18"/>
              </w:rPr>
            </w:pPr>
            <w:r w:rsidRPr="00C36C8F">
              <w:rPr>
                <w:rFonts w:cs="Arial"/>
                <w:color w:val="1E1E1E"/>
                <w:szCs w:val="18"/>
              </w:rPr>
              <w:t xml:space="preserve">Risk management requirements will apply for any person who transports waste (licensed or unlicensed) with penalties of up to $30,000 for non-compliance. An EPA licence, compliance with all licence conditions and the completion of </w:t>
            </w:r>
            <w:hyperlink r:id="rId63" w:history="1">
              <w:r w:rsidRPr="00C36C8F">
                <w:rPr>
                  <w:color w:val="1E1E1E"/>
                  <w:szCs w:val="18"/>
                </w:rPr>
                <w:t>waste transport certificates</w:t>
              </w:r>
            </w:hyperlink>
            <w:r w:rsidRPr="00C36C8F">
              <w:rPr>
                <w:rFonts w:cs="Arial"/>
                <w:color w:val="1E1E1E"/>
                <w:szCs w:val="18"/>
              </w:rPr>
              <w:t xml:space="preserve"> is still needed for the transport of waste.</w:t>
            </w:r>
          </w:p>
        </w:tc>
        <w:tc>
          <w:tcPr>
            <w:tcW w:w="1748" w:type="dxa"/>
            <w:tcBorders>
              <w:top w:val="single" w:sz="4" w:space="0" w:color="808080"/>
            </w:tcBorders>
            <w:tcMar>
              <w:left w:w="142" w:type="dxa"/>
              <w:right w:w="142" w:type="dxa"/>
            </w:tcMar>
          </w:tcPr>
          <w:p w:rsidR="00D14763" w:rsidRPr="00C36C8F" w:rsidRDefault="00D14763" w:rsidP="00BE69D2">
            <w:pPr>
              <w:pStyle w:val="TableText"/>
              <w:rPr>
                <w:szCs w:val="18"/>
              </w:rPr>
            </w:pPr>
          </w:p>
        </w:tc>
        <w:tc>
          <w:tcPr>
            <w:tcW w:w="1748" w:type="dxa"/>
            <w:tcBorders>
              <w:top w:val="single" w:sz="4" w:space="0" w:color="808080"/>
            </w:tcBorders>
            <w:tcMar>
              <w:left w:w="142" w:type="dxa"/>
              <w:right w:w="142" w:type="dxa"/>
            </w:tcMar>
          </w:tcPr>
          <w:p w:rsidR="00D14763" w:rsidRPr="00C36C8F" w:rsidRDefault="00D14763" w:rsidP="00BE69D2">
            <w:pPr>
              <w:pStyle w:val="TableText"/>
              <w:rPr>
                <w:szCs w:val="18"/>
              </w:rPr>
            </w:pPr>
          </w:p>
        </w:tc>
        <w:tc>
          <w:tcPr>
            <w:tcW w:w="1748" w:type="dxa"/>
            <w:tcBorders>
              <w:top w:val="single" w:sz="4" w:space="0" w:color="808080"/>
            </w:tcBorders>
            <w:tcMar>
              <w:left w:w="142" w:type="dxa"/>
              <w:right w:w="142" w:type="dxa"/>
            </w:tcMar>
          </w:tcPr>
          <w:p w:rsidR="00D14763" w:rsidRPr="00C36C8F" w:rsidRDefault="00D14763" w:rsidP="00BE69D2">
            <w:pPr>
              <w:pStyle w:val="TableText"/>
              <w:rPr>
                <w:szCs w:val="18"/>
              </w:rPr>
            </w:pPr>
          </w:p>
        </w:tc>
      </w:tr>
      <w:tr w:rsidR="00D14763" w:rsidRPr="00C36C8F" w:rsidTr="009947F6">
        <w:trPr>
          <w:cantSplit/>
        </w:trPr>
        <w:tc>
          <w:tcPr>
            <w:tcW w:w="1418" w:type="dxa"/>
            <w:tcBorders>
              <w:bottom w:val="single" w:sz="4" w:space="0" w:color="808080"/>
            </w:tcBorders>
            <w:tcMar>
              <w:right w:w="142" w:type="dxa"/>
            </w:tcMar>
          </w:tcPr>
          <w:p w:rsidR="00D14763" w:rsidRPr="00C36C8F" w:rsidRDefault="00D14763" w:rsidP="00BE69D2">
            <w:pPr>
              <w:pStyle w:val="TableText"/>
              <w:rPr>
                <w:b/>
              </w:rPr>
            </w:pPr>
            <w:r w:rsidRPr="00C36C8F">
              <w:rPr>
                <w:b/>
              </w:rPr>
              <w:t>Listed wastes</w:t>
            </w:r>
          </w:p>
        </w:tc>
        <w:tc>
          <w:tcPr>
            <w:tcW w:w="2977" w:type="dxa"/>
            <w:tcBorders>
              <w:bottom w:val="single" w:sz="4" w:space="0" w:color="808080"/>
            </w:tcBorders>
            <w:tcMar>
              <w:left w:w="142" w:type="dxa"/>
              <w:right w:w="142" w:type="dxa"/>
            </w:tcMar>
          </w:tcPr>
          <w:p w:rsidR="00D14763" w:rsidRPr="00C36C8F" w:rsidRDefault="00D14763" w:rsidP="00BE69D2">
            <w:pPr>
              <w:pStyle w:val="TableText"/>
              <w:rPr>
                <w:szCs w:val="18"/>
              </w:rPr>
            </w:pPr>
            <w:r w:rsidRPr="00C36C8F">
              <w:rPr>
                <w:rFonts w:cs="Arial"/>
                <w:color w:val="1E1E1E"/>
                <w:szCs w:val="18"/>
              </w:rPr>
              <w:t xml:space="preserve">Disposal obligations will apply to unlicensed activities involving </w:t>
            </w:r>
            <w:hyperlink r:id="rId64" w:history="1">
              <w:r w:rsidRPr="00C36C8F">
                <w:rPr>
                  <w:color w:val="1E1E1E"/>
                  <w:szCs w:val="18"/>
                </w:rPr>
                <w:t>listed wastes</w:t>
              </w:r>
            </w:hyperlink>
            <w:r w:rsidRPr="00C36C8F">
              <w:rPr>
                <w:rFonts w:cs="Arial"/>
                <w:color w:val="1E1E1E"/>
                <w:szCs w:val="18"/>
              </w:rPr>
              <w:t>, with penalties of up to $30,000 for non-compliance</w:t>
            </w:r>
            <w:r w:rsidR="009E45B7" w:rsidRPr="00C36C8F">
              <w:rPr>
                <w:rFonts w:cs="Arial"/>
                <w:color w:val="1E1E1E"/>
                <w:szCs w:val="18"/>
              </w:rPr>
              <w:t>.</w:t>
            </w:r>
          </w:p>
        </w:tc>
        <w:tc>
          <w:tcPr>
            <w:tcW w:w="1748" w:type="dxa"/>
            <w:tcBorders>
              <w:bottom w:val="single" w:sz="4" w:space="0" w:color="808080"/>
            </w:tcBorders>
            <w:tcMar>
              <w:left w:w="142" w:type="dxa"/>
              <w:right w:w="142" w:type="dxa"/>
            </w:tcMar>
          </w:tcPr>
          <w:p w:rsidR="00D14763" w:rsidRPr="00C36C8F" w:rsidRDefault="00D14763" w:rsidP="00BE69D2">
            <w:pPr>
              <w:pStyle w:val="TableText"/>
              <w:rPr>
                <w:szCs w:val="18"/>
              </w:rPr>
            </w:pPr>
          </w:p>
        </w:tc>
        <w:tc>
          <w:tcPr>
            <w:tcW w:w="1748" w:type="dxa"/>
            <w:tcBorders>
              <w:bottom w:val="single" w:sz="4" w:space="0" w:color="808080"/>
            </w:tcBorders>
            <w:tcMar>
              <w:left w:w="142" w:type="dxa"/>
              <w:right w:w="142" w:type="dxa"/>
            </w:tcMar>
          </w:tcPr>
          <w:p w:rsidR="00D14763" w:rsidRPr="00C36C8F" w:rsidRDefault="00D14763" w:rsidP="00BE69D2">
            <w:pPr>
              <w:pStyle w:val="TableText"/>
              <w:rPr>
                <w:szCs w:val="18"/>
              </w:rPr>
            </w:pPr>
          </w:p>
        </w:tc>
        <w:tc>
          <w:tcPr>
            <w:tcW w:w="1748" w:type="dxa"/>
            <w:tcBorders>
              <w:bottom w:val="single" w:sz="4" w:space="0" w:color="808080"/>
            </w:tcBorders>
            <w:tcMar>
              <w:left w:w="142" w:type="dxa"/>
              <w:right w:w="142" w:type="dxa"/>
            </w:tcMar>
          </w:tcPr>
          <w:p w:rsidR="00D14763" w:rsidRPr="00C36C8F" w:rsidRDefault="00D14763" w:rsidP="00BE69D2">
            <w:pPr>
              <w:pStyle w:val="TableText"/>
              <w:rPr>
                <w:szCs w:val="18"/>
              </w:rPr>
            </w:pPr>
          </w:p>
        </w:tc>
      </w:tr>
      <w:tr w:rsidR="00D14763" w:rsidRPr="00C36C8F" w:rsidTr="009947F6">
        <w:trPr>
          <w:cantSplit/>
        </w:trPr>
        <w:tc>
          <w:tcPr>
            <w:tcW w:w="1418" w:type="dxa"/>
            <w:tcBorders>
              <w:top w:val="single" w:sz="4" w:space="0" w:color="808080"/>
              <w:bottom w:val="single" w:sz="4" w:space="0" w:color="7F7F7F" w:themeColor="text1" w:themeTint="80"/>
            </w:tcBorders>
            <w:tcMar>
              <w:right w:w="142" w:type="dxa"/>
            </w:tcMar>
          </w:tcPr>
          <w:p w:rsidR="00D14763" w:rsidRPr="00C36C8F" w:rsidRDefault="00D14763" w:rsidP="00BE69D2">
            <w:pPr>
              <w:pStyle w:val="TableText"/>
              <w:rPr>
                <w:b/>
              </w:rPr>
            </w:pPr>
            <w:r w:rsidRPr="00C36C8F">
              <w:rPr>
                <w:b/>
              </w:rPr>
              <w:t>Medical wastes</w:t>
            </w:r>
          </w:p>
        </w:tc>
        <w:tc>
          <w:tcPr>
            <w:tcW w:w="2977" w:type="dxa"/>
            <w:tcBorders>
              <w:top w:val="single" w:sz="4" w:space="0" w:color="808080"/>
              <w:bottom w:val="single" w:sz="4" w:space="0" w:color="7F7F7F" w:themeColor="text1" w:themeTint="80"/>
            </w:tcBorders>
            <w:tcMar>
              <w:left w:w="142" w:type="dxa"/>
              <w:right w:w="142" w:type="dxa"/>
            </w:tcMar>
          </w:tcPr>
          <w:p w:rsidR="00D14763" w:rsidRPr="00C36C8F" w:rsidRDefault="00D14763" w:rsidP="00BE69D2">
            <w:pPr>
              <w:pStyle w:val="TableText"/>
              <w:rPr>
                <w:szCs w:val="18"/>
              </w:rPr>
            </w:pPr>
            <w:r w:rsidRPr="00C36C8F">
              <w:rPr>
                <w:rFonts w:cs="Arial"/>
                <w:color w:val="1E1E1E"/>
                <w:szCs w:val="18"/>
              </w:rPr>
              <w:t xml:space="preserve">New treatment or disposal methods for </w:t>
            </w:r>
            <w:hyperlink r:id="rId65" w:history="1">
              <w:r w:rsidRPr="00C36C8F">
                <w:rPr>
                  <w:color w:val="1E1E1E"/>
                  <w:szCs w:val="18"/>
                </w:rPr>
                <w:t>medical waste</w:t>
              </w:r>
            </w:hyperlink>
            <w:r w:rsidRPr="00C36C8F">
              <w:rPr>
                <w:rFonts w:cs="Arial"/>
                <w:color w:val="1E1E1E"/>
                <w:szCs w:val="18"/>
              </w:rPr>
              <w:t xml:space="preserve"> may be approved by the EPA</w:t>
            </w:r>
            <w:r w:rsidR="009E45B7" w:rsidRPr="00C36C8F">
              <w:rPr>
                <w:rFonts w:cs="Arial"/>
                <w:color w:val="1E1E1E"/>
                <w:szCs w:val="18"/>
              </w:rPr>
              <w:t>.</w:t>
            </w:r>
          </w:p>
        </w:tc>
        <w:tc>
          <w:tcPr>
            <w:tcW w:w="1748" w:type="dxa"/>
            <w:tcBorders>
              <w:top w:val="single" w:sz="4" w:space="0" w:color="808080"/>
              <w:bottom w:val="single" w:sz="4" w:space="0" w:color="7F7F7F" w:themeColor="text1" w:themeTint="80"/>
            </w:tcBorders>
            <w:tcMar>
              <w:left w:w="142" w:type="dxa"/>
              <w:right w:w="142" w:type="dxa"/>
            </w:tcMar>
          </w:tcPr>
          <w:p w:rsidR="00D14763" w:rsidRPr="00C36C8F" w:rsidRDefault="00D14763" w:rsidP="00BE69D2">
            <w:pPr>
              <w:pStyle w:val="TableText"/>
              <w:rPr>
                <w:szCs w:val="18"/>
              </w:rPr>
            </w:pPr>
          </w:p>
        </w:tc>
        <w:tc>
          <w:tcPr>
            <w:tcW w:w="1748" w:type="dxa"/>
            <w:tcBorders>
              <w:top w:val="single" w:sz="4" w:space="0" w:color="808080"/>
              <w:bottom w:val="single" w:sz="4" w:space="0" w:color="7F7F7F" w:themeColor="text1" w:themeTint="80"/>
            </w:tcBorders>
            <w:tcMar>
              <w:left w:w="142" w:type="dxa"/>
              <w:right w:w="142" w:type="dxa"/>
            </w:tcMar>
          </w:tcPr>
          <w:p w:rsidR="00D14763" w:rsidRPr="00C36C8F" w:rsidRDefault="00D14763" w:rsidP="00BE69D2">
            <w:pPr>
              <w:pStyle w:val="TableText"/>
              <w:rPr>
                <w:rFonts w:cs="Arial"/>
                <w:color w:val="1E1E1E"/>
                <w:szCs w:val="18"/>
              </w:rPr>
            </w:pPr>
            <w:r w:rsidRPr="00C36C8F">
              <w:rPr>
                <w:rFonts w:cs="Arial"/>
                <w:color w:val="1E1E1E"/>
                <w:szCs w:val="18"/>
              </w:rPr>
              <w:t>Medical sharps will be banned from household kerbside bins</w:t>
            </w:r>
            <w:r w:rsidR="009E45B7" w:rsidRPr="00C36C8F">
              <w:rPr>
                <w:rFonts w:cs="Arial"/>
                <w:color w:val="1E1E1E"/>
                <w:szCs w:val="18"/>
              </w:rPr>
              <w:t>.</w:t>
            </w:r>
          </w:p>
        </w:tc>
        <w:tc>
          <w:tcPr>
            <w:tcW w:w="1748" w:type="dxa"/>
            <w:tcBorders>
              <w:top w:val="single" w:sz="4" w:space="0" w:color="808080"/>
              <w:bottom w:val="single" w:sz="4" w:space="0" w:color="7F7F7F" w:themeColor="text1" w:themeTint="80"/>
            </w:tcBorders>
            <w:tcMar>
              <w:left w:w="142" w:type="dxa"/>
              <w:right w:w="142" w:type="dxa"/>
            </w:tcMar>
          </w:tcPr>
          <w:p w:rsidR="00D14763" w:rsidRPr="00C36C8F" w:rsidRDefault="00D14763" w:rsidP="00BE69D2">
            <w:pPr>
              <w:pStyle w:val="TableText"/>
              <w:rPr>
                <w:rFonts w:cs="Arial"/>
                <w:color w:val="1E1E1E"/>
                <w:szCs w:val="18"/>
              </w:rPr>
            </w:pPr>
          </w:p>
        </w:tc>
      </w:tr>
      <w:tr w:rsidR="00D14763" w:rsidRPr="00C36C8F" w:rsidTr="009947F6">
        <w:trPr>
          <w:cantSplit/>
        </w:trPr>
        <w:tc>
          <w:tcPr>
            <w:tcW w:w="1418" w:type="dxa"/>
            <w:tcBorders>
              <w:top w:val="single" w:sz="4" w:space="0" w:color="7F7F7F" w:themeColor="text1" w:themeTint="80"/>
            </w:tcBorders>
            <w:tcMar>
              <w:right w:w="142" w:type="dxa"/>
            </w:tcMar>
          </w:tcPr>
          <w:p w:rsidR="00D14763" w:rsidRPr="00C36C8F" w:rsidRDefault="00D14763" w:rsidP="00BE69D2">
            <w:pPr>
              <w:pStyle w:val="TableText"/>
              <w:rPr>
                <w:b/>
              </w:rPr>
            </w:pPr>
            <w:r w:rsidRPr="00C36C8F">
              <w:rPr>
                <w:rStyle w:val="Strong"/>
                <w:rFonts w:cs="Arial"/>
                <w:color w:val="1E1E1E"/>
              </w:rPr>
              <w:t>When waste constitutes a product</w:t>
            </w:r>
          </w:p>
        </w:tc>
        <w:tc>
          <w:tcPr>
            <w:tcW w:w="2977" w:type="dxa"/>
            <w:tcBorders>
              <w:top w:val="single" w:sz="4" w:space="0" w:color="7F7F7F" w:themeColor="text1" w:themeTint="80"/>
            </w:tcBorders>
            <w:tcMar>
              <w:right w:w="142" w:type="dxa"/>
            </w:tcMar>
          </w:tcPr>
          <w:p w:rsidR="00D14763" w:rsidRPr="00C36C8F" w:rsidRDefault="00D14763" w:rsidP="00BE69D2">
            <w:pPr>
              <w:pStyle w:val="TableText"/>
              <w:rPr>
                <w:szCs w:val="18"/>
              </w:rPr>
            </w:pPr>
            <w:r w:rsidRPr="00C36C8F">
              <w:rPr>
                <w:rFonts w:cs="Arial"/>
                <w:color w:val="1E1E1E"/>
                <w:szCs w:val="18"/>
              </w:rPr>
              <w:t xml:space="preserve">EPA standards may specify when a </w:t>
            </w:r>
            <w:hyperlink r:id="rId66" w:history="1">
              <w:r w:rsidRPr="00C36C8F">
                <w:rPr>
                  <w:color w:val="1E1E1E"/>
                  <w:szCs w:val="18"/>
                </w:rPr>
                <w:t>waste</w:t>
              </w:r>
            </w:hyperlink>
            <w:r w:rsidRPr="00C36C8F">
              <w:rPr>
                <w:rFonts w:cs="Arial"/>
                <w:color w:val="1E1E1E"/>
                <w:szCs w:val="18"/>
              </w:rPr>
              <w:t xml:space="preserve"> constitutes a product. The following relevant documents are for </w:t>
            </w:r>
            <w:hyperlink r:id="rId67" w:history="1">
              <w:r w:rsidRPr="00C36C8F">
                <w:rPr>
                  <w:color w:val="1E1E1E"/>
                  <w:szCs w:val="18"/>
                </w:rPr>
                <w:t>waste derived fill</w:t>
              </w:r>
            </w:hyperlink>
            <w:r w:rsidRPr="00C36C8F">
              <w:rPr>
                <w:rFonts w:cs="Arial"/>
                <w:color w:val="1E1E1E"/>
                <w:szCs w:val="18"/>
              </w:rPr>
              <w:t xml:space="preserve">, </w:t>
            </w:r>
            <w:hyperlink r:id="rId68" w:history="1">
              <w:r w:rsidRPr="00C36C8F">
                <w:rPr>
                  <w:color w:val="1E1E1E"/>
                  <w:szCs w:val="18"/>
                </w:rPr>
                <w:t>waste derived soil enhancers</w:t>
              </w:r>
            </w:hyperlink>
            <w:r w:rsidRPr="00C36C8F">
              <w:rPr>
                <w:rFonts w:cs="Arial"/>
                <w:color w:val="1E1E1E"/>
                <w:szCs w:val="18"/>
              </w:rPr>
              <w:t xml:space="preserve"> and </w:t>
            </w:r>
            <w:hyperlink r:id="rId69" w:history="1">
              <w:r w:rsidRPr="00C36C8F">
                <w:rPr>
                  <w:color w:val="1E1E1E"/>
                  <w:szCs w:val="18"/>
                </w:rPr>
                <w:t>refuse derived fuel</w:t>
              </w:r>
            </w:hyperlink>
            <w:r w:rsidR="009E45B7" w:rsidRPr="00C36C8F">
              <w:t>.</w:t>
            </w:r>
          </w:p>
        </w:tc>
        <w:tc>
          <w:tcPr>
            <w:tcW w:w="1748" w:type="dxa"/>
            <w:tcBorders>
              <w:top w:val="single" w:sz="4" w:space="0" w:color="7F7F7F" w:themeColor="text1" w:themeTint="80"/>
            </w:tcBorders>
            <w:tcMar>
              <w:right w:w="142" w:type="dxa"/>
            </w:tcMar>
          </w:tcPr>
          <w:p w:rsidR="00D14763" w:rsidRPr="00C36C8F" w:rsidRDefault="00D14763" w:rsidP="00BE69D2">
            <w:pPr>
              <w:pStyle w:val="TableText"/>
              <w:rPr>
                <w:szCs w:val="18"/>
              </w:rPr>
            </w:pPr>
          </w:p>
        </w:tc>
        <w:tc>
          <w:tcPr>
            <w:tcW w:w="1748" w:type="dxa"/>
            <w:tcBorders>
              <w:top w:val="single" w:sz="4" w:space="0" w:color="7F7F7F" w:themeColor="text1" w:themeTint="80"/>
            </w:tcBorders>
            <w:tcMar>
              <w:right w:w="142" w:type="dxa"/>
            </w:tcMar>
          </w:tcPr>
          <w:p w:rsidR="00D14763" w:rsidRPr="00C36C8F" w:rsidRDefault="00D14763" w:rsidP="00BE69D2">
            <w:pPr>
              <w:pStyle w:val="TableText"/>
              <w:rPr>
                <w:szCs w:val="18"/>
              </w:rPr>
            </w:pPr>
          </w:p>
        </w:tc>
        <w:tc>
          <w:tcPr>
            <w:tcW w:w="1748" w:type="dxa"/>
            <w:tcBorders>
              <w:top w:val="single" w:sz="4" w:space="0" w:color="7F7F7F" w:themeColor="text1" w:themeTint="80"/>
            </w:tcBorders>
            <w:tcMar>
              <w:right w:w="142" w:type="dxa"/>
            </w:tcMar>
          </w:tcPr>
          <w:p w:rsidR="00D14763" w:rsidRPr="00C36C8F" w:rsidRDefault="00D14763" w:rsidP="00BE69D2">
            <w:pPr>
              <w:pStyle w:val="TableText"/>
              <w:rPr>
                <w:szCs w:val="18"/>
              </w:rPr>
            </w:pPr>
          </w:p>
        </w:tc>
      </w:tr>
      <w:tr w:rsidR="00D14763" w:rsidRPr="00C36C8F" w:rsidTr="009947F6">
        <w:trPr>
          <w:cantSplit/>
        </w:trPr>
        <w:tc>
          <w:tcPr>
            <w:tcW w:w="1418" w:type="dxa"/>
            <w:tcBorders>
              <w:bottom w:val="single" w:sz="4" w:space="0" w:color="808080"/>
            </w:tcBorders>
            <w:tcMar>
              <w:right w:w="142" w:type="dxa"/>
            </w:tcMar>
          </w:tcPr>
          <w:p w:rsidR="00D14763" w:rsidRPr="00C36C8F" w:rsidRDefault="00D14763" w:rsidP="00BE69D2">
            <w:pPr>
              <w:pStyle w:val="TableText"/>
              <w:rPr>
                <w:b/>
              </w:rPr>
            </w:pPr>
            <w:r w:rsidRPr="00C36C8F">
              <w:rPr>
                <w:rStyle w:val="Strong"/>
                <w:rFonts w:cs="Arial"/>
                <w:color w:val="1E1E1E"/>
              </w:rPr>
              <w:t>Weekly waste collection</w:t>
            </w:r>
          </w:p>
        </w:tc>
        <w:tc>
          <w:tcPr>
            <w:tcW w:w="2977" w:type="dxa"/>
            <w:tcBorders>
              <w:bottom w:val="single" w:sz="4" w:space="0" w:color="808080"/>
            </w:tcBorders>
            <w:tcMar>
              <w:right w:w="142" w:type="dxa"/>
            </w:tcMar>
          </w:tcPr>
          <w:p w:rsidR="00D14763" w:rsidRPr="00C36C8F" w:rsidRDefault="00D14763" w:rsidP="00BE69D2">
            <w:pPr>
              <w:pStyle w:val="TableText"/>
              <w:rPr>
                <w:szCs w:val="18"/>
              </w:rPr>
            </w:pPr>
            <w:r w:rsidRPr="00C36C8F">
              <w:rPr>
                <w:rFonts w:cs="Arial"/>
                <w:color w:val="1E1E1E"/>
                <w:szCs w:val="18"/>
              </w:rPr>
              <w:t>Weekly collection of residual domestic waste will be mandated for metropolitan councils</w:t>
            </w:r>
            <w:r w:rsidR="009E45B7" w:rsidRPr="00C36C8F">
              <w:rPr>
                <w:rFonts w:cs="Arial"/>
                <w:color w:val="1E1E1E"/>
                <w:szCs w:val="18"/>
              </w:rPr>
              <w:t>.</w:t>
            </w:r>
          </w:p>
        </w:tc>
        <w:tc>
          <w:tcPr>
            <w:tcW w:w="1748" w:type="dxa"/>
            <w:tcBorders>
              <w:bottom w:val="single" w:sz="4" w:space="0" w:color="808080"/>
            </w:tcBorders>
            <w:tcMar>
              <w:right w:w="142" w:type="dxa"/>
            </w:tcMar>
          </w:tcPr>
          <w:p w:rsidR="00D14763" w:rsidRPr="00C36C8F" w:rsidRDefault="00D14763" w:rsidP="00BE69D2">
            <w:pPr>
              <w:pStyle w:val="TableText"/>
              <w:rPr>
                <w:szCs w:val="18"/>
              </w:rPr>
            </w:pPr>
          </w:p>
        </w:tc>
        <w:tc>
          <w:tcPr>
            <w:tcW w:w="1748" w:type="dxa"/>
            <w:tcBorders>
              <w:bottom w:val="single" w:sz="4" w:space="0" w:color="808080"/>
            </w:tcBorders>
            <w:tcMar>
              <w:right w:w="142" w:type="dxa"/>
            </w:tcMar>
          </w:tcPr>
          <w:p w:rsidR="00D14763" w:rsidRPr="00C36C8F" w:rsidRDefault="00D14763" w:rsidP="00BE69D2">
            <w:pPr>
              <w:pStyle w:val="TableText"/>
              <w:rPr>
                <w:szCs w:val="18"/>
              </w:rPr>
            </w:pPr>
          </w:p>
        </w:tc>
        <w:tc>
          <w:tcPr>
            <w:tcW w:w="1748" w:type="dxa"/>
            <w:tcBorders>
              <w:bottom w:val="single" w:sz="4" w:space="0" w:color="808080"/>
            </w:tcBorders>
            <w:tcMar>
              <w:right w:w="142" w:type="dxa"/>
            </w:tcMar>
          </w:tcPr>
          <w:p w:rsidR="00D14763" w:rsidRPr="00C36C8F" w:rsidRDefault="00D14763" w:rsidP="00BE69D2">
            <w:pPr>
              <w:pStyle w:val="TableText"/>
              <w:rPr>
                <w:szCs w:val="18"/>
              </w:rPr>
            </w:pPr>
          </w:p>
        </w:tc>
      </w:tr>
      <w:tr w:rsidR="00D14763" w:rsidRPr="00C36C8F" w:rsidTr="009947F6">
        <w:trPr>
          <w:cantSplit/>
        </w:trPr>
        <w:tc>
          <w:tcPr>
            <w:tcW w:w="1418" w:type="dxa"/>
            <w:tcBorders>
              <w:top w:val="single" w:sz="4" w:space="0" w:color="808080"/>
              <w:bottom w:val="single" w:sz="4" w:space="0" w:color="808080"/>
            </w:tcBorders>
            <w:tcMar>
              <w:right w:w="142" w:type="dxa"/>
            </w:tcMar>
          </w:tcPr>
          <w:p w:rsidR="00D14763" w:rsidRPr="00C36C8F" w:rsidRDefault="00D14763" w:rsidP="00BE69D2">
            <w:pPr>
              <w:pStyle w:val="TableText"/>
              <w:rPr>
                <w:b/>
              </w:rPr>
            </w:pPr>
            <w:r w:rsidRPr="00C36C8F">
              <w:rPr>
                <w:b/>
              </w:rPr>
              <w:t>EPA to consider</w:t>
            </w:r>
          </w:p>
        </w:tc>
        <w:tc>
          <w:tcPr>
            <w:tcW w:w="2977" w:type="dxa"/>
            <w:tcBorders>
              <w:top w:val="single" w:sz="4" w:space="0" w:color="808080"/>
              <w:bottom w:val="single" w:sz="4" w:space="0" w:color="808080"/>
            </w:tcBorders>
            <w:tcMar>
              <w:right w:w="142" w:type="dxa"/>
            </w:tcMar>
          </w:tcPr>
          <w:p w:rsidR="00D14763" w:rsidRPr="00C36C8F" w:rsidRDefault="00D14763" w:rsidP="00BE69D2">
            <w:pPr>
              <w:pStyle w:val="TableText"/>
              <w:rPr>
                <w:rFonts w:cs="Arial"/>
                <w:color w:val="1E1E1E"/>
                <w:szCs w:val="18"/>
              </w:rPr>
            </w:pPr>
            <w:r w:rsidRPr="00C36C8F">
              <w:rPr>
                <w:rFonts w:cs="Arial"/>
                <w:color w:val="1E1E1E"/>
                <w:szCs w:val="18"/>
              </w:rPr>
              <w:t xml:space="preserve">1. The waste management objective that requires application of the </w:t>
            </w:r>
            <w:hyperlink r:id="rId70" w:history="1">
              <w:r w:rsidRPr="00C36C8F">
                <w:rPr>
                  <w:rFonts w:cs="Arial"/>
                  <w:color w:val="1E1E1E"/>
                  <w:szCs w:val="18"/>
                </w:rPr>
                <w:t>waste management hierarchy</w:t>
              </w:r>
            </w:hyperlink>
            <w:r w:rsidRPr="00C36C8F">
              <w:rPr>
                <w:rFonts w:cs="Arial"/>
                <w:color w:val="1E1E1E"/>
                <w:szCs w:val="18"/>
              </w:rPr>
              <w:t xml:space="preserve"> consistently with the principles of ecologically sustainable development</w:t>
            </w:r>
            <w:r w:rsidR="009E45B7" w:rsidRPr="00C36C8F">
              <w:rPr>
                <w:rFonts w:cs="Arial"/>
                <w:color w:val="1E1E1E"/>
                <w:szCs w:val="18"/>
              </w:rPr>
              <w:t>.</w:t>
            </w:r>
          </w:p>
          <w:p w:rsidR="00D14763" w:rsidRPr="00C36C8F" w:rsidRDefault="00D14763" w:rsidP="00BE69D2">
            <w:pPr>
              <w:pStyle w:val="TableText"/>
              <w:rPr>
                <w:rFonts w:cs="Arial"/>
                <w:color w:val="1E1E1E"/>
                <w:szCs w:val="18"/>
              </w:rPr>
            </w:pPr>
            <w:r w:rsidRPr="00C36C8F">
              <w:rPr>
                <w:rFonts w:cs="Arial"/>
                <w:color w:val="1E1E1E"/>
                <w:szCs w:val="18"/>
              </w:rPr>
              <w:t>2. Specified management plans for particular hazardous wastes</w:t>
            </w:r>
            <w:r w:rsidR="009E45B7" w:rsidRPr="00C36C8F">
              <w:rPr>
                <w:rFonts w:cs="Arial"/>
                <w:color w:val="1E1E1E"/>
                <w:szCs w:val="18"/>
              </w:rPr>
              <w:t>.</w:t>
            </w:r>
          </w:p>
          <w:p w:rsidR="00D14763" w:rsidRPr="00C36C8F" w:rsidRDefault="00D14763" w:rsidP="00BE69D2">
            <w:pPr>
              <w:pStyle w:val="TableText"/>
              <w:rPr>
                <w:szCs w:val="18"/>
              </w:rPr>
            </w:pPr>
            <w:r w:rsidRPr="00C36C8F">
              <w:rPr>
                <w:rFonts w:cs="Arial"/>
                <w:color w:val="1E1E1E"/>
                <w:szCs w:val="18"/>
              </w:rPr>
              <w:t>3. Specified guidelines for landfill depots, material recovery facilities, beverage container collection depots and transfer depots</w:t>
            </w:r>
            <w:r w:rsidR="009E45B7" w:rsidRPr="00C36C8F">
              <w:rPr>
                <w:rFonts w:cs="Arial"/>
                <w:color w:val="1E1E1E"/>
                <w:szCs w:val="18"/>
              </w:rPr>
              <w:t>.</w:t>
            </w:r>
          </w:p>
        </w:tc>
        <w:tc>
          <w:tcPr>
            <w:tcW w:w="1748" w:type="dxa"/>
            <w:tcBorders>
              <w:top w:val="single" w:sz="4" w:space="0" w:color="808080"/>
              <w:bottom w:val="single" w:sz="4" w:space="0" w:color="808080"/>
            </w:tcBorders>
            <w:tcMar>
              <w:right w:w="142" w:type="dxa"/>
            </w:tcMar>
          </w:tcPr>
          <w:p w:rsidR="00D14763" w:rsidRPr="00C36C8F" w:rsidRDefault="00D14763" w:rsidP="00BE69D2">
            <w:pPr>
              <w:pStyle w:val="TableText"/>
              <w:rPr>
                <w:szCs w:val="18"/>
              </w:rPr>
            </w:pPr>
          </w:p>
        </w:tc>
        <w:tc>
          <w:tcPr>
            <w:tcW w:w="1748" w:type="dxa"/>
            <w:tcBorders>
              <w:top w:val="single" w:sz="4" w:space="0" w:color="808080"/>
              <w:bottom w:val="single" w:sz="4" w:space="0" w:color="808080"/>
            </w:tcBorders>
            <w:tcMar>
              <w:right w:w="142" w:type="dxa"/>
            </w:tcMar>
          </w:tcPr>
          <w:p w:rsidR="00D14763" w:rsidRPr="00C36C8F" w:rsidRDefault="00D14763" w:rsidP="00BE69D2">
            <w:pPr>
              <w:pStyle w:val="TableText"/>
              <w:rPr>
                <w:szCs w:val="18"/>
              </w:rPr>
            </w:pPr>
          </w:p>
        </w:tc>
        <w:tc>
          <w:tcPr>
            <w:tcW w:w="1748" w:type="dxa"/>
            <w:tcBorders>
              <w:top w:val="single" w:sz="4" w:space="0" w:color="808080"/>
              <w:bottom w:val="single" w:sz="4" w:space="0" w:color="808080"/>
            </w:tcBorders>
            <w:tcMar>
              <w:right w:w="142" w:type="dxa"/>
            </w:tcMar>
          </w:tcPr>
          <w:p w:rsidR="00D14763" w:rsidRPr="00C36C8F" w:rsidRDefault="00D14763" w:rsidP="00BE69D2">
            <w:pPr>
              <w:pStyle w:val="TableText"/>
              <w:rPr>
                <w:szCs w:val="18"/>
              </w:rPr>
            </w:pPr>
          </w:p>
        </w:tc>
      </w:tr>
      <w:tr w:rsidR="00D14763" w:rsidRPr="00C36C8F" w:rsidTr="009947F6">
        <w:trPr>
          <w:cantSplit/>
        </w:trPr>
        <w:tc>
          <w:tcPr>
            <w:tcW w:w="1418" w:type="dxa"/>
            <w:tcBorders>
              <w:top w:val="single" w:sz="4" w:space="0" w:color="808080"/>
              <w:bottom w:val="single" w:sz="4" w:space="0" w:color="808080"/>
            </w:tcBorders>
            <w:tcMar>
              <w:right w:w="142" w:type="dxa"/>
            </w:tcMar>
          </w:tcPr>
          <w:p w:rsidR="00D14763" w:rsidRPr="00C36C8F" w:rsidRDefault="00D14763" w:rsidP="00BE69D2">
            <w:pPr>
              <w:pStyle w:val="TableText"/>
              <w:rPr>
                <w:b/>
              </w:rPr>
            </w:pPr>
            <w:r w:rsidRPr="00C36C8F">
              <w:rPr>
                <w:rStyle w:val="Strong"/>
                <w:rFonts w:cs="Arial"/>
                <w:color w:val="1E1E1E"/>
              </w:rPr>
              <w:t>Waste management codes of practice</w:t>
            </w:r>
          </w:p>
        </w:tc>
        <w:tc>
          <w:tcPr>
            <w:tcW w:w="2977" w:type="dxa"/>
            <w:tcBorders>
              <w:top w:val="single" w:sz="4" w:space="0" w:color="808080"/>
              <w:bottom w:val="single" w:sz="4" w:space="0" w:color="808080"/>
            </w:tcBorders>
            <w:tcMar>
              <w:right w:w="142" w:type="dxa"/>
            </w:tcMar>
          </w:tcPr>
          <w:p w:rsidR="00D14763" w:rsidRPr="00C36C8F" w:rsidRDefault="00D14763" w:rsidP="00BE69D2">
            <w:pPr>
              <w:pStyle w:val="TableText"/>
              <w:rPr>
                <w:szCs w:val="18"/>
              </w:rPr>
            </w:pPr>
            <w:r w:rsidRPr="00C36C8F">
              <w:rPr>
                <w:rFonts w:cs="Arial"/>
                <w:color w:val="1E1E1E"/>
                <w:szCs w:val="18"/>
              </w:rPr>
              <w:t xml:space="preserve">Industry specific waste management codes of practice to specify what actions will satisfy the general environmental duty may be prescribed. Currently, the only one code of practice has been prescribed, the nationally developed </w:t>
            </w:r>
            <w:hyperlink r:id="rId71" w:history="1">
              <w:r w:rsidRPr="00C36C8F">
                <w:rPr>
                  <w:i/>
                  <w:color w:val="1E1E1E"/>
                  <w:szCs w:val="18"/>
                </w:rPr>
                <w:t>Industry Code of Practice for the Management of Clinical and Related Wastes</w:t>
              </w:r>
            </w:hyperlink>
            <w:r w:rsidR="009E45B7" w:rsidRPr="00C36C8F">
              <w:t>.</w:t>
            </w:r>
          </w:p>
        </w:tc>
        <w:tc>
          <w:tcPr>
            <w:tcW w:w="1748" w:type="dxa"/>
            <w:tcBorders>
              <w:top w:val="single" w:sz="4" w:space="0" w:color="808080"/>
              <w:bottom w:val="single" w:sz="4" w:space="0" w:color="808080"/>
            </w:tcBorders>
            <w:tcMar>
              <w:right w:w="142" w:type="dxa"/>
            </w:tcMar>
          </w:tcPr>
          <w:p w:rsidR="00D14763" w:rsidRPr="00C36C8F" w:rsidRDefault="00D14763" w:rsidP="00BE69D2">
            <w:pPr>
              <w:pStyle w:val="TableText"/>
              <w:rPr>
                <w:szCs w:val="18"/>
              </w:rPr>
            </w:pPr>
          </w:p>
        </w:tc>
        <w:tc>
          <w:tcPr>
            <w:tcW w:w="1748" w:type="dxa"/>
            <w:tcBorders>
              <w:top w:val="single" w:sz="4" w:space="0" w:color="808080"/>
              <w:bottom w:val="single" w:sz="4" w:space="0" w:color="808080"/>
            </w:tcBorders>
            <w:tcMar>
              <w:right w:w="142" w:type="dxa"/>
            </w:tcMar>
          </w:tcPr>
          <w:p w:rsidR="00D14763" w:rsidRPr="00C36C8F" w:rsidRDefault="00D14763" w:rsidP="00BE69D2">
            <w:pPr>
              <w:pStyle w:val="TableText"/>
              <w:rPr>
                <w:szCs w:val="18"/>
              </w:rPr>
            </w:pPr>
          </w:p>
        </w:tc>
        <w:tc>
          <w:tcPr>
            <w:tcW w:w="1748" w:type="dxa"/>
            <w:tcBorders>
              <w:top w:val="single" w:sz="4" w:space="0" w:color="808080"/>
              <w:bottom w:val="single" w:sz="4" w:space="0" w:color="808080"/>
            </w:tcBorders>
            <w:tcMar>
              <w:right w:w="142" w:type="dxa"/>
            </w:tcMar>
          </w:tcPr>
          <w:p w:rsidR="00D14763" w:rsidRPr="00C36C8F" w:rsidRDefault="00D14763" w:rsidP="00BE69D2">
            <w:pPr>
              <w:pStyle w:val="TableText"/>
              <w:rPr>
                <w:szCs w:val="18"/>
              </w:rPr>
            </w:pPr>
          </w:p>
        </w:tc>
      </w:tr>
      <w:tr w:rsidR="00D14763" w:rsidRPr="00C36C8F" w:rsidTr="009947F6">
        <w:trPr>
          <w:cantSplit/>
        </w:trPr>
        <w:tc>
          <w:tcPr>
            <w:tcW w:w="1418" w:type="dxa"/>
            <w:tcBorders>
              <w:top w:val="single" w:sz="4" w:space="0" w:color="808080"/>
              <w:bottom w:val="single" w:sz="4" w:space="0" w:color="808080"/>
            </w:tcBorders>
            <w:tcMar>
              <w:right w:w="142" w:type="dxa"/>
            </w:tcMar>
          </w:tcPr>
          <w:p w:rsidR="00D14763" w:rsidRPr="00C36C8F" w:rsidRDefault="00D14763" w:rsidP="00BE69D2">
            <w:pPr>
              <w:pStyle w:val="TableText"/>
              <w:rPr>
                <w:b/>
              </w:rPr>
            </w:pPr>
            <w:r w:rsidRPr="00C36C8F">
              <w:rPr>
                <w:rStyle w:val="Strong"/>
                <w:rFonts w:cs="Arial"/>
                <w:color w:val="1E1E1E"/>
              </w:rPr>
              <w:t>Treatment of waste prior to landfill</w:t>
            </w:r>
          </w:p>
        </w:tc>
        <w:tc>
          <w:tcPr>
            <w:tcW w:w="2977" w:type="dxa"/>
            <w:tcBorders>
              <w:top w:val="single" w:sz="4" w:space="0" w:color="808080"/>
              <w:bottom w:val="single" w:sz="4" w:space="0" w:color="808080"/>
            </w:tcBorders>
            <w:tcMar>
              <w:right w:w="142" w:type="dxa"/>
            </w:tcMar>
          </w:tcPr>
          <w:p w:rsidR="00D14763" w:rsidRPr="00C36C8F" w:rsidRDefault="00D14763" w:rsidP="00BE69D2">
            <w:pPr>
              <w:pStyle w:val="TableText"/>
              <w:rPr>
                <w:szCs w:val="18"/>
              </w:rPr>
            </w:pPr>
          </w:p>
        </w:tc>
        <w:tc>
          <w:tcPr>
            <w:tcW w:w="1748" w:type="dxa"/>
            <w:tcBorders>
              <w:top w:val="single" w:sz="4" w:space="0" w:color="808080"/>
              <w:bottom w:val="single" w:sz="4" w:space="0" w:color="808080"/>
            </w:tcBorders>
            <w:tcMar>
              <w:right w:w="142" w:type="dxa"/>
            </w:tcMar>
          </w:tcPr>
          <w:p w:rsidR="00D14763" w:rsidRPr="00C36C8F" w:rsidRDefault="00D14763" w:rsidP="00BE69D2">
            <w:pPr>
              <w:pStyle w:val="TableText"/>
              <w:rPr>
                <w:szCs w:val="18"/>
              </w:rPr>
            </w:pPr>
          </w:p>
        </w:tc>
        <w:tc>
          <w:tcPr>
            <w:tcW w:w="1748" w:type="dxa"/>
            <w:tcBorders>
              <w:top w:val="single" w:sz="4" w:space="0" w:color="808080"/>
              <w:bottom w:val="single" w:sz="4" w:space="0" w:color="808080"/>
            </w:tcBorders>
            <w:tcMar>
              <w:right w:w="142" w:type="dxa"/>
            </w:tcMar>
          </w:tcPr>
          <w:p w:rsidR="00D14763" w:rsidRPr="00C36C8F" w:rsidRDefault="00D14763" w:rsidP="00BE69D2">
            <w:pPr>
              <w:pStyle w:val="TableText"/>
              <w:rPr>
                <w:rFonts w:cs="Arial"/>
                <w:color w:val="1E1E1E"/>
                <w:szCs w:val="18"/>
              </w:rPr>
            </w:pPr>
            <w:r w:rsidRPr="00C36C8F">
              <w:rPr>
                <w:rFonts w:cs="Arial"/>
                <w:color w:val="1E1E1E"/>
                <w:szCs w:val="18"/>
              </w:rPr>
              <w:t>Waste from metropolitan Adelaide (subject to exemptions) will be required to be subject to resource recovery processes prior to disposal at landfill</w:t>
            </w:r>
            <w:r w:rsidR="009E45B7" w:rsidRPr="00C36C8F">
              <w:rPr>
                <w:rFonts w:cs="Arial"/>
                <w:color w:val="1E1E1E"/>
                <w:szCs w:val="18"/>
              </w:rPr>
              <w:t>.</w:t>
            </w:r>
          </w:p>
        </w:tc>
        <w:tc>
          <w:tcPr>
            <w:tcW w:w="1748" w:type="dxa"/>
            <w:tcBorders>
              <w:top w:val="single" w:sz="4" w:space="0" w:color="808080"/>
              <w:bottom w:val="single" w:sz="4" w:space="0" w:color="808080"/>
            </w:tcBorders>
            <w:tcMar>
              <w:right w:w="142" w:type="dxa"/>
            </w:tcMar>
          </w:tcPr>
          <w:p w:rsidR="00D14763" w:rsidRPr="00C36C8F" w:rsidRDefault="00D14763" w:rsidP="00BE69D2">
            <w:pPr>
              <w:pStyle w:val="TableText"/>
              <w:rPr>
                <w:rFonts w:cs="Arial"/>
                <w:color w:val="1E1E1E"/>
                <w:szCs w:val="18"/>
              </w:rPr>
            </w:pPr>
          </w:p>
        </w:tc>
      </w:tr>
    </w:tbl>
    <w:p w:rsidR="009B3DDD" w:rsidRPr="00C36C8F" w:rsidRDefault="009B3DDD" w:rsidP="009B3DDD">
      <w:pPr>
        <w:pStyle w:val="Heading40"/>
        <w:spacing w:before="0"/>
        <w:jc w:val="both"/>
      </w:pPr>
    </w:p>
    <w:p w:rsidR="009947F6" w:rsidRDefault="009947F6">
      <w:pPr>
        <w:spacing w:after="0" w:line="240" w:lineRule="auto"/>
        <w:ind w:left="0"/>
        <w:rPr>
          <w:rFonts w:cs="Arial"/>
          <w:b/>
          <w:color w:val="495F70"/>
        </w:rPr>
      </w:pPr>
      <w:r>
        <w:br w:type="page"/>
      </w:r>
    </w:p>
    <w:p w:rsidR="00D14763" w:rsidRPr="00C36C8F" w:rsidRDefault="00D14763" w:rsidP="009B3DDD">
      <w:pPr>
        <w:pStyle w:val="Heading40"/>
        <w:spacing w:before="0"/>
        <w:jc w:val="both"/>
      </w:pPr>
      <w:r w:rsidRPr="00C36C8F">
        <w:t>Landfill levy</w:t>
      </w:r>
    </w:p>
    <w:p w:rsidR="00D14763" w:rsidRPr="00C36C8F" w:rsidRDefault="00D14763" w:rsidP="009B3DDD">
      <w:pPr>
        <w:pStyle w:val="ParaIndent"/>
        <w:keepLines/>
        <w:jc w:val="both"/>
      </w:pPr>
      <w:r w:rsidRPr="00C36C8F">
        <w:t xml:space="preserve">South Australia has landfill levies on certain wastes. Levy monies are used in part to fund activities such as Zero Waste SA’s waste minimisation and resource recovery programs, Keep South Australia Beautiful’s (KESAB) litter strategies, and to support the EPA in administering the </w:t>
      </w:r>
      <w:r w:rsidRPr="00C36C8F">
        <w:rPr>
          <w:i/>
        </w:rPr>
        <w:t>Environment Protection Act 1993</w:t>
      </w:r>
      <w:r w:rsidRPr="00C36C8F">
        <w:t>, including activities such as licensing, waste tracking and compliance.</w:t>
      </w:r>
    </w:p>
    <w:p w:rsidR="00D14763" w:rsidRPr="00C36C8F" w:rsidRDefault="00D14763" w:rsidP="009B3DDD">
      <w:pPr>
        <w:pStyle w:val="ParaIndent"/>
        <w:jc w:val="both"/>
      </w:pPr>
      <w:r w:rsidRPr="00C36C8F">
        <w:t xml:space="preserve">The waste disposal levies for 2010–2011 are summarised in </w:t>
      </w:r>
      <w:r w:rsidR="00B9555F" w:rsidRPr="00C36C8F">
        <w:fldChar w:fldCharType="begin"/>
      </w:r>
      <w:r w:rsidRPr="00C36C8F">
        <w:instrText xml:space="preserve"> REF _Ref283643649 \h </w:instrText>
      </w:r>
      <w:r w:rsidR="00B9555F" w:rsidRPr="00C36C8F">
        <w:fldChar w:fldCharType="separate"/>
      </w:r>
      <w:r w:rsidR="00AE7E3B" w:rsidRPr="00C36C8F">
        <w:t xml:space="preserve">Table </w:t>
      </w:r>
      <w:r w:rsidR="00AE7E3B">
        <w:rPr>
          <w:noProof/>
        </w:rPr>
        <w:t>6</w:t>
      </w:r>
      <w:r w:rsidR="00AE7E3B" w:rsidRPr="00C36C8F">
        <w:t>-</w:t>
      </w:r>
      <w:r w:rsidR="00AE7E3B">
        <w:rPr>
          <w:noProof/>
        </w:rPr>
        <w:t>61</w:t>
      </w:r>
      <w:r w:rsidR="00B9555F" w:rsidRPr="00C36C8F">
        <w:fldChar w:fldCharType="end"/>
      </w:r>
      <w:r w:rsidRPr="00C36C8F">
        <w:t>.</w:t>
      </w:r>
    </w:p>
    <w:p w:rsidR="00D14763" w:rsidRPr="00C36C8F" w:rsidRDefault="00D14763" w:rsidP="00DA4D44">
      <w:pPr>
        <w:pStyle w:val="Caption"/>
        <w:keepLines/>
      </w:pPr>
      <w:bookmarkStart w:id="264" w:name="_Ref283643649"/>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61</w:t>
      </w:r>
      <w:r w:rsidR="00B9555F" w:rsidRPr="00C36C8F">
        <w:rPr>
          <w:noProof/>
        </w:rPr>
        <w:fldChar w:fldCharType="end"/>
      </w:r>
      <w:bookmarkEnd w:id="264"/>
      <w:r w:rsidRPr="00C36C8F">
        <w:tab/>
        <w:t>Waste disposal levies 2010–2011, South Australia</w:t>
      </w:r>
    </w:p>
    <w:tbl>
      <w:tblPr>
        <w:tblW w:w="0" w:type="auto"/>
        <w:tblInd w:w="1161" w:type="dxa"/>
        <w:tblBorders>
          <w:bottom w:val="single" w:sz="18" w:space="0" w:color="808080"/>
          <w:insideH w:val="single" w:sz="4" w:space="0" w:color="808080"/>
        </w:tblBorders>
        <w:tblLayout w:type="fixed"/>
        <w:tblCellMar>
          <w:left w:w="0" w:type="dxa"/>
          <w:right w:w="0" w:type="dxa"/>
        </w:tblCellMar>
        <w:tblLook w:val="01E0"/>
      </w:tblPr>
      <w:tblGrid>
        <w:gridCol w:w="1731"/>
        <w:gridCol w:w="4253"/>
        <w:gridCol w:w="1701"/>
      </w:tblGrid>
      <w:tr w:rsidR="00D14763" w:rsidRPr="00C36C8F" w:rsidTr="00BE69D2">
        <w:trPr>
          <w:tblHeader/>
        </w:trPr>
        <w:tc>
          <w:tcPr>
            <w:tcW w:w="1731" w:type="dxa"/>
            <w:shd w:val="clear" w:color="auto" w:fill="auto"/>
          </w:tcPr>
          <w:p w:rsidR="00D14763" w:rsidRPr="00C36C8F" w:rsidRDefault="00D14763" w:rsidP="00DA4D44">
            <w:pPr>
              <w:pStyle w:val="TableHeading"/>
              <w:keepLines/>
            </w:pPr>
            <w:r w:rsidRPr="00C36C8F">
              <w:t>Waste</w:t>
            </w:r>
          </w:p>
        </w:tc>
        <w:tc>
          <w:tcPr>
            <w:tcW w:w="4253" w:type="dxa"/>
            <w:shd w:val="clear" w:color="auto" w:fill="auto"/>
          </w:tcPr>
          <w:p w:rsidR="00D14763" w:rsidRPr="00C36C8F" w:rsidRDefault="00D14763" w:rsidP="00DA4D44">
            <w:pPr>
              <w:pStyle w:val="TableHeading"/>
              <w:keepLines/>
            </w:pPr>
            <w:r w:rsidRPr="00C36C8F">
              <w:t>Qualifications</w:t>
            </w:r>
          </w:p>
        </w:tc>
        <w:tc>
          <w:tcPr>
            <w:tcW w:w="1701" w:type="dxa"/>
            <w:shd w:val="clear" w:color="auto" w:fill="auto"/>
          </w:tcPr>
          <w:p w:rsidR="00D14763" w:rsidRPr="00C36C8F" w:rsidRDefault="00D14763" w:rsidP="00DA4D44">
            <w:pPr>
              <w:pStyle w:val="TableHeading"/>
              <w:keepLines/>
              <w:jc w:val="center"/>
            </w:pPr>
            <w:r w:rsidRPr="00C36C8F">
              <w:t>Disposal levy</w:t>
            </w:r>
          </w:p>
          <w:p w:rsidR="00D14763" w:rsidRPr="00C36C8F" w:rsidRDefault="00D14763" w:rsidP="00DA4D44">
            <w:pPr>
              <w:pStyle w:val="TableHeading"/>
              <w:keepLines/>
              <w:jc w:val="center"/>
            </w:pPr>
            <w:r w:rsidRPr="00C36C8F">
              <w:t>(1 July 2010)</w:t>
            </w:r>
          </w:p>
        </w:tc>
      </w:tr>
      <w:tr w:rsidR="00D14763" w:rsidRPr="00C36C8F" w:rsidTr="00BE69D2">
        <w:trPr>
          <w:tblHeader/>
        </w:trPr>
        <w:tc>
          <w:tcPr>
            <w:tcW w:w="1731" w:type="dxa"/>
            <w:vMerge w:val="restart"/>
            <w:shd w:val="clear" w:color="auto" w:fill="auto"/>
          </w:tcPr>
          <w:p w:rsidR="00D14763" w:rsidRPr="00C36C8F" w:rsidRDefault="00D14763" w:rsidP="00DA4D44">
            <w:pPr>
              <w:pStyle w:val="TableText"/>
              <w:keepNext/>
              <w:keepLines/>
              <w:rPr>
                <w:sz w:val="20"/>
              </w:rPr>
            </w:pPr>
            <w:r w:rsidRPr="00C36C8F">
              <w:rPr>
                <w:sz w:val="20"/>
              </w:rPr>
              <w:t>Solid waste</w:t>
            </w:r>
          </w:p>
          <w:p w:rsidR="00D14763" w:rsidRPr="00C36C8F" w:rsidRDefault="00D14763" w:rsidP="00DA4D44">
            <w:pPr>
              <w:keepNext/>
              <w:keepLines/>
              <w:jc w:val="center"/>
            </w:pPr>
          </w:p>
        </w:tc>
        <w:tc>
          <w:tcPr>
            <w:tcW w:w="4253" w:type="dxa"/>
            <w:shd w:val="clear" w:color="auto" w:fill="auto"/>
          </w:tcPr>
          <w:p w:rsidR="00D14763" w:rsidRPr="00C36C8F" w:rsidRDefault="00D14763" w:rsidP="00DA4D44">
            <w:pPr>
              <w:pStyle w:val="TableText"/>
              <w:keepNext/>
              <w:keepLines/>
              <w:rPr>
                <w:rFonts w:cs="Arial"/>
                <w:color w:val="000000"/>
                <w:sz w:val="20"/>
                <w:lang w:eastAsia="en-AU"/>
              </w:rPr>
            </w:pPr>
            <w:r w:rsidRPr="00C36C8F">
              <w:rPr>
                <w:rFonts w:cs="Arial"/>
                <w:b/>
                <w:color w:val="000000"/>
                <w:sz w:val="20"/>
                <w:lang w:eastAsia="en-AU"/>
              </w:rPr>
              <w:t xml:space="preserve">Non-metro rate </w:t>
            </w:r>
            <w:r w:rsidRPr="00C36C8F">
              <w:rPr>
                <w:rFonts w:cs="Arial"/>
                <w:color w:val="000000"/>
                <w:sz w:val="20"/>
                <w:lang w:eastAsia="en-AU"/>
              </w:rPr>
              <w:t xml:space="preserve">- A non-metropolitan depot disposing of non-metropolitan waste </w:t>
            </w:r>
          </w:p>
        </w:tc>
        <w:tc>
          <w:tcPr>
            <w:tcW w:w="1701" w:type="dxa"/>
            <w:shd w:val="clear" w:color="auto" w:fill="auto"/>
          </w:tcPr>
          <w:p w:rsidR="00D14763" w:rsidRPr="00C36C8F" w:rsidRDefault="00D14763" w:rsidP="00DA4D44">
            <w:pPr>
              <w:pStyle w:val="TableText"/>
              <w:keepNext/>
              <w:keepLines/>
              <w:rPr>
                <w:sz w:val="20"/>
              </w:rPr>
            </w:pPr>
            <w:r w:rsidRPr="00C36C8F">
              <w:rPr>
                <w:sz w:val="20"/>
              </w:rPr>
              <w:t>$13 / tonne</w:t>
            </w:r>
          </w:p>
        </w:tc>
      </w:tr>
      <w:tr w:rsidR="00D14763" w:rsidRPr="00C36C8F" w:rsidTr="00BE69D2">
        <w:trPr>
          <w:tblHeader/>
        </w:trPr>
        <w:tc>
          <w:tcPr>
            <w:tcW w:w="1731" w:type="dxa"/>
            <w:vMerge/>
            <w:shd w:val="clear" w:color="auto" w:fill="auto"/>
          </w:tcPr>
          <w:p w:rsidR="00D14763" w:rsidRPr="00C36C8F" w:rsidRDefault="00D14763" w:rsidP="00BE69D2">
            <w:pPr>
              <w:pStyle w:val="TableText"/>
              <w:rPr>
                <w:sz w:val="20"/>
              </w:rPr>
            </w:pPr>
          </w:p>
        </w:tc>
        <w:tc>
          <w:tcPr>
            <w:tcW w:w="4253" w:type="dxa"/>
            <w:shd w:val="clear" w:color="auto" w:fill="auto"/>
          </w:tcPr>
          <w:p w:rsidR="00D14763" w:rsidRPr="00C36C8F" w:rsidRDefault="00D14763" w:rsidP="00BE69D2">
            <w:pPr>
              <w:pStyle w:val="TableText"/>
              <w:rPr>
                <w:rFonts w:cs="Arial"/>
                <w:color w:val="000000"/>
                <w:sz w:val="20"/>
                <w:lang w:eastAsia="en-AU"/>
              </w:rPr>
            </w:pPr>
            <w:r w:rsidRPr="00C36C8F">
              <w:rPr>
                <w:rFonts w:cs="Arial"/>
                <w:b/>
                <w:color w:val="000000"/>
                <w:sz w:val="20"/>
                <w:lang w:eastAsia="en-AU"/>
              </w:rPr>
              <w:t>Non-metro rate</w:t>
            </w:r>
            <w:r w:rsidRPr="00C36C8F">
              <w:rPr>
                <w:rFonts w:cs="Arial"/>
                <w:color w:val="000000"/>
                <w:sz w:val="20"/>
                <w:lang w:eastAsia="en-AU"/>
              </w:rPr>
              <w:t xml:space="preserve"> - A metropolitan depot disposing of non-metropolitan waste brought to the depot by or on behalf of a wholly non-metropolitan council</w:t>
            </w:r>
            <w:r w:rsidRPr="00C36C8F">
              <w:rPr>
                <w:rFonts w:cs="Arial"/>
                <w:i/>
                <w:iCs/>
                <w:color w:val="000000"/>
                <w:sz w:val="20"/>
                <w:lang w:eastAsia="en-AU"/>
              </w:rPr>
              <w:t xml:space="preserve"> </w:t>
            </w:r>
          </w:p>
        </w:tc>
        <w:tc>
          <w:tcPr>
            <w:tcW w:w="1701" w:type="dxa"/>
            <w:shd w:val="clear" w:color="auto" w:fill="auto"/>
          </w:tcPr>
          <w:p w:rsidR="00D14763" w:rsidRPr="00C36C8F" w:rsidRDefault="00D14763" w:rsidP="00BE69D2">
            <w:pPr>
              <w:pStyle w:val="TableText"/>
              <w:rPr>
                <w:sz w:val="20"/>
              </w:rPr>
            </w:pPr>
          </w:p>
          <w:p w:rsidR="00D14763" w:rsidRPr="00C36C8F" w:rsidRDefault="00D14763" w:rsidP="00BE69D2">
            <w:pPr>
              <w:pStyle w:val="TableText"/>
              <w:rPr>
                <w:sz w:val="20"/>
              </w:rPr>
            </w:pPr>
            <w:r w:rsidRPr="00C36C8F">
              <w:rPr>
                <w:sz w:val="20"/>
              </w:rPr>
              <w:t>$13 / tonne</w:t>
            </w:r>
          </w:p>
        </w:tc>
      </w:tr>
      <w:tr w:rsidR="00D14763" w:rsidRPr="00C36C8F" w:rsidTr="00BE69D2">
        <w:trPr>
          <w:tblHeader/>
        </w:trPr>
        <w:tc>
          <w:tcPr>
            <w:tcW w:w="1731" w:type="dxa"/>
            <w:vMerge/>
            <w:shd w:val="clear" w:color="auto" w:fill="auto"/>
          </w:tcPr>
          <w:p w:rsidR="00D14763" w:rsidRPr="00C36C8F" w:rsidRDefault="00D14763" w:rsidP="00BE69D2">
            <w:pPr>
              <w:pStyle w:val="TableText"/>
              <w:rPr>
                <w:rFonts w:cs="Arial"/>
                <w:color w:val="000000"/>
                <w:sz w:val="20"/>
                <w:lang w:eastAsia="en-AU"/>
              </w:rPr>
            </w:pPr>
          </w:p>
        </w:tc>
        <w:tc>
          <w:tcPr>
            <w:tcW w:w="4253" w:type="dxa"/>
            <w:shd w:val="clear" w:color="auto" w:fill="auto"/>
          </w:tcPr>
          <w:p w:rsidR="00D14763" w:rsidRPr="00C36C8F" w:rsidRDefault="00D14763" w:rsidP="00BE69D2">
            <w:pPr>
              <w:pStyle w:val="TableText"/>
              <w:rPr>
                <w:rFonts w:cs="Arial"/>
                <w:color w:val="000000"/>
                <w:sz w:val="20"/>
                <w:lang w:eastAsia="en-AU"/>
              </w:rPr>
            </w:pPr>
            <w:r w:rsidRPr="00C36C8F">
              <w:rPr>
                <w:rFonts w:cs="Arial"/>
                <w:b/>
                <w:color w:val="000000"/>
                <w:sz w:val="20"/>
                <w:lang w:eastAsia="en-AU"/>
              </w:rPr>
              <w:t>Metro rate</w:t>
            </w:r>
            <w:r w:rsidRPr="00C36C8F">
              <w:rPr>
                <w:rFonts w:cs="Arial"/>
                <w:color w:val="000000"/>
                <w:sz w:val="20"/>
                <w:lang w:eastAsia="en-AU"/>
              </w:rPr>
              <w:t xml:space="preserve"> - Any other case </w:t>
            </w:r>
          </w:p>
        </w:tc>
        <w:tc>
          <w:tcPr>
            <w:tcW w:w="1701" w:type="dxa"/>
            <w:shd w:val="clear" w:color="auto" w:fill="auto"/>
          </w:tcPr>
          <w:p w:rsidR="00D14763" w:rsidRPr="00C36C8F" w:rsidRDefault="00D14763" w:rsidP="00BE69D2">
            <w:pPr>
              <w:pStyle w:val="TableText"/>
              <w:rPr>
                <w:sz w:val="20"/>
              </w:rPr>
            </w:pPr>
            <w:r w:rsidRPr="00C36C8F">
              <w:rPr>
                <w:sz w:val="20"/>
              </w:rPr>
              <w:t>$26 / tonne</w:t>
            </w:r>
          </w:p>
        </w:tc>
      </w:tr>
      <w:tr w:rsidR="00D14763" w:rsidRPr="00C36C8F" w:rsidTr="00BE69D2">
        <w:trPr>
          <w:tblHeader/>
        </w:trPr>
        <w:tc>
          <w:tcPr>
            <w:tcW w:w="1731" w:type="dxa"/>
            <w:tcBorders>
              <w:bottom w:val="single" w:sz="4" w:space="0" w:color="808080"/>
            </w:tcBorders>
            <w:shd w:val="clear" w:color="auto" w:fill="auto"/>
          </w:tcPr>
          <w:p w:rsidR="00D14763" w:rsidRPr="00C36C8F" w:rsidRDefault="00D14763" w:rsidP="00BE69D2">
            <w:pPr>
              <w:pStyle w:val="TableText"/>
              <w:rPr>
                <w:sz w:val="20"/>
              </w:rPr>
            </w:pPr>
            <w:r w:rsidRPr="00C36C8F">
              <w:rPr>
                <w:sz w:val="20"/>
              </w:rPr>
              <w:t>Liquid waste</w:t>
            </w:r>
          </w:p>
        </w:tc>
        <w:tc>
          <w:tcPr>
            <w:tcW w:w="4253" w:type="dxa"/>
            <w:tcBorders>
              <w:bottom w:val="single" w:sz="4" w:space="0" w:color="808080"/>
            </w:tcBorders>
            <w:shd w:val="clear" w:color="auto" w:fill="auto"/>
          </w:tcPr>
          <w:p w:rsidR="00D14763" w:rsidRPr="00C36C8F" w:rsidRDefault="00D14763" w:rsidP="00BE69D2">
            <w:pPr>
              <w:pStyle w:val="TableText"/>
              <w:rPr>
                <w:sz w:val="20"/>
              </w:rPr>
            </w:pPr>
            <w:r w:rsidRPr="00C36C8F">
              <w:rPr>
                <w:sz w:val="20"/>
              </w:rPr>
              <w:t>All cases</w:t>
            </w:r>
          </w:p>
        </w:tc>
        <w:tc>
          <w:tcPr>
            <w:tcW w:w="1701" w:type="dxa"/>
            <w:tcBorders>
              <w:bottom w:val="single" w:sz="4" w:space="0" w:color="808080"/>
            </w:tcBorders>
            <w:shd w:val="clear" w:color="auto" w:fill="auto"/>
          </w:tcPr>
          <w:p w:rsidR="00D14763" w:rsidRPr="00C36C8F" w:rsidRDefault="00D14763" w:rsidP="00BE69D2">
            <w:pPr>
              <w:pStyle w:val="TableText"/>
              <w:rPr>
                <w:sz w:val="20"/>
              </w:rPr>
            </w:pPr>
            <w:r w:rsidRPr="00C36C8F">
              <w:rPr>
                <w:sz w:val="20"/>
              </w:rPr>
              <w:t>$10.90 / kilolitre</w:t>
            </w:r>
          </w:p>
        </w:tc>
      </w:tr>
      <w:tr w:rsidR="00D14763" w:rsidRPr="00C36C8F" w:rsidTr="00BE69D2">
        <w:trPr>
          <w:tblHeader/>
        </w:trPr>
        <w:tc>
          <w:tcPr>
            <w:tcW w:w="7685" w:type="dxa"/>
            <w:gridSpan w:val="3"/>
            <w:tcBorders>
              <w:top w:val="single" w:sz="4" w:space="0" w:color="808080"/>
              <w:bottom w:val="single" w:sz="4" w:space="0" w:color="808080"/>
            </w:tcBorders>
            <w:shd w:val="clear" w:color="auto" w:fill="auto"/>
          </w:tcPr>
          <w:p w:rsidR="00D14763" w:rsidRPr="00C36C8F" w:rsidRDefault="00D14763" w:rsidP="00BE69D2">
            <w:pPr>
              <w:pStyle w:val="TableText"/>
              <w:rPr>
                <w:szCs w:val="18"/>
              </w:rPr>
            </w:pPr>
            <w:r w:rsidRPr="00C36C8F">
              <w:rPr>
                <w:rFonts w:cs="Arial"/>
                <w:color w:val="000000"/>
                <w:szCs w:val="18"/>
                <w:lang w:eastAsia="en-AU"/>
              </w:rPr>
              <w:t>These levies are subject to increases annual Consumer Price Index (CPI) increases</w:t>
            </w:r>
          </w:p>
        </w:tc>
      </w:tr>
    </w:tbl>
    <w:p w:rsidR="00D14763" w:rsidRPr="00C36C8F" w:rsidRDefault="00D14763" w:rsidP="00D14763">
      <w:pPr>
        <w:pStyle w:val="Heading40"/>
      </w:pPr>
      <w:r w:rsidRPr="00C36C8F">
        <w:t>Other programs</w:t>
      </w:r>
    </w:p>
    <w:p w:rsidR="00D14763" w:rsidRPr="00C36C8F" w:rsidRDefault="00D14763" w:rsidP="00F77479">
      <w:pPr>
        <w:pStyle w:val="ParaIndent"/>
        <w:jc w:val="both"/>
      </w:pPr>
      <w:r w:rsidRPr="00C36C8F">
        <w:t xml:space="preserve">Other South Australian programs of interest are outlined in </w:t>
      </w:r>
      <w:r w:rsidR="00B9555F" w:rsidRPr="00C36C8F">
        <w:fldChar w:fldCharType="begin"/>
      </w:r>
      <w:r w:rsidRPr="00C36C8F">
        <w:instrText xml:space="preserve"> REF _Ref283643704 \h </w:instrText>
      </w:r>
      <w:r w:rsidR="00B9555F" w:rsidRPr="00C36C8F">
        <w:fldChar w:fldCharType="separate"/>
      </w:r>
      <w:r w:rsidR="00AE7E3B" w:rsidRPr="00C36C8F">
        <w:t xml:space="preserve">Table </w:t>
      </w:r>
      <w:r w:rsidR="00AE7E3B">
        <w:rPr>
          <w:noProof/>
        </w:rPr>
        <w:t>6</w:t>
      </w:r>
      <w:r w:rsidR="00AE7E3B" w:rsidRPr="00C36C8F">
        <w:t>-</w:t>
      </w:r>
      <w:r w:rsidR="00AE7E3B">
        <w:rPr>
          <w:noProof/>
        </w:rPr>
        <w:t>62</w:t>
      </w:r>
      <w:r w:rsidR="00B9555F" w:rsidRPr="00C36C8F">
        <w:fldChar w:fldCharType="end"/>
      </w:r>
      <w:r w:rsidRPr="00C36C8F">
        <w:t>.</w:t>
      </w:r>
    </w:p>
    <w:p w:rsidR="00D14763" w:rsidRPr="00C36C8F" w:rsidRDefault="00D14763" w:rsidP="00D14763">
      <w:pPr>
        <w:pStyle w:val="Caption"/>
      </w:pPr>
      <w:bookmarkStart w:id="265" w:name="_Ref283643704"/>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62</w:t>
      </w:r>
      <w:r w:rsidR="00B9555F" w:rsidRPr="00C36C8F">
        <w:rPr>
          <w:noProof/>
        </w:rPr>
        <w:fldChar w:fldCharType="end"/>
      </w:r>
      <w:bookmarkEnd w:id="265"/>
      <w:r w:rsidRPr="00C36C8F">
        <w:tab/>
        <w:t>Other South Australian programs of interest</w:t>
      </w:r>
    </w:p>
    <w:tbl>
      <w:tblPr>
        <w:tblW w:w="4381" w:type="pct"/>
        <w:tblInd w:w="1134" w:type="dxa"/>
        <w:tblBorders>
          <w:bottom w:val="single" w:sz="18" w:space="0" w:color="808080"/>
          <w:insideH w:val="single" w:sz="4" w:space="0" w:color="808080"/>
        </w:tblBorders>
        <w:tblLayout w:type="fixed"/>
        <w:tblCellMar>
          <w:left w:w="0" w:type="dxa"/>
          <w:right w:w="0" w:type="dxa"/>
        </w:tblCellMar>
        <w:tblLook w:val="01E0"/>
      </w:tblPr>
      <w:tblGrid>
        <w:gridCol w:w="2127"/>
        <w:gridCol w:w="1901"/>
        <w:gridCol w:w="4542"/>
      </w:tblGrid>
      <w:tr w:rsidR="00D14763" w:rsidRPr="00C36C8F" w:rsidTr="00686C04">
        <w:trPr>
          <w:tblHeader/>
        </w:trPr>
        <w:tc>
          <w:tcPr>
            <w:tcW w:w="1241" w:type="pct"/>
            <w:shd w:val="clear" w:color="auto" w:fill="auto"/>
            <w:tcMar>
              <w:right w:w="142" w:type="dxa"/>
            </w:tcMar>
          </w:tcPr>
          <w:p w:rsidR="00D14763" w:rsidRPr="00C36C8F" w:rsidRDefault="00D14763" w:rsidP="00BE69D2">
            <w:pPr>
              <w:pStyle w:val="TableHeading"/>
              <w:rPr>
                <w:szCs w:val="18"/>
              </w:rPr>
            </w:pPr>
            <w:r w:rsidRPr="00C36C8F">
              <w:rPr>
                <w:szCs w:val="18"/>
              </w:rPr>
              <w:t>Instruments/programs</w:t>
            </w:r>
          </w:p>
        </w:tc>
        <w:tc>
          <w:tcPr>
            <w:tcW w:w="1109" w:type="pct"/>
            <w:shd w:val="clear" w:color="auto" w:fill="auto"/>
            <w:tcMar>
              <w:right w:w="142" w:type="dxa"/>
            </w:tcMar>
          </w:tcPr>
          <w:p w:rsidR="00D14763" w:rsidRPr="00C36C8F" w:rsidRDefault="00D14763" w:rsidP="00BE69D2">
            <w:pPr>
              <w:pStyle w:val="TableHeading"/>
              <w:rPr>
                <w:szCs w:val="18"/>
              </w:rPr>
            </w:pPr>
            <w:r w:rsidRPr="00C36C8F">
              <w:rPr>
                <w:szCs w:val="18"/>
              </w:rPr>
              <w:t>Waste type</w:t>
            </w:r>
          </w:p>
        </w:tc>
        <w:tc>
          <w:tcPr>
            <w:tcW w:w="2650" w:type="pct"/>
            <w:shd w:val="clear" w:color="auto" w:fill="auto"/>
            <w:tcMar>
              <w:right w:w="142" w:type="dxa"/>
            </w:tcMar>
          </w:tcPr>
          <w:p w:rsidR="00D14763" w:rsidRPr="00C36C8F" w:rsidRDefault="00D14763" w:rsidP="00BE69D2">
            <w:pPr>
              <w:pStyle w:val="TableHeading"/>
              <w:rPr>
                <w:szCs w:val="18"/>
              </w:rPr>
            </w:pPr>
            <w:r w:rsidRPr="00C36C8F">
              <w:rPr>
                <w:szCs w:val="18"/>
              </w:rPr>
              <w:t>Details</w:t>
            </w:r>
          </w:p>
        </w:tc>
      </w:tr>
      <w:tr w:rsidR="00D14763" w:rsidRPr="00C36C8F" w:rsidTr="00686C04">
        <w:tc>
          <w:tcPr>
            <w:tcW w:w="1241" w:type="pct"/>
            <w:tcMar>
              <w:right w:w="142" w:type="dxa"/>
            </w:tcMar>
          </w:tcPr>
          <w:p w:rsidR="00D14763" w:rsidRPr="00C36C8F" w:rsidRDefault="00D14763" w:rsidP="00BE69D2">
            <w:pPr>
              <w:pStyle w:val="TableText"/>
              <w:rPr>
                <w:rFonts w:cs="Arial"/>
                <w:szCs w:val="18"/>
              </w:rPr>
            </w:pPr>
            <w:r w:rsidRPr="00C36C8F">
              <w:rPr>
                <w:rFonts w:cs="Arial"/>
                <w:szCs w:val="18"/>
              </w:rPr>
              <w:t>Container Deposit Legislation</w:t>
            </w:r>
          </w:p>
        </w:tc>
        <w:tc>
          <w:tcPr>
            <w:tcW w:w="1109" w:type="pct"/>
            <w:tcMar>
              <w:right w:w="142" w:type="dxa"/>
            </w:tcMar>
          </w:tcPr>
          <w:p w:rsidR="00D14763" w:rsidRPr="00C36C8F" w:rsidRDefault="00D14763" w:rsidP="00BE69D2">
            <w:pPr>
              <w:pStyle w:val="TableText"/>
              <w:rPr>
                <w:rFonts w:cs="Arial"/>
                <w:szCs w:val="18"/>
              </w:rPr>
            </w:pPr>
            <w:r w:rsidRPr="00C36C8F">
              <w:rPr>
                <w:rFonts w:cs="Arial"/>
                <w:szCs w:val="18"/>
              </w:rPr>
              <w:t>Beverage Containers -</w:t>
            </w:r>
            <w:r w:rsidRPr="00C36C8F">
              <w:rPr>
                <w:rFonts w:cs="Arial"/>
                <w:color w:val="000000"/>
                <w:szCs w:val="18"/>
              </w:rPr>
              <w:t>aluminium, glass, LPB, PET, HDPE</w:t>
            </w:r>
          </w:p>
        </w:tc>
        <w:tc>
          <w:tcPr>
            <w:tcW w:w="2650" w:type="pct"/>
            <w:tcMar>
              <w:right w:w="142" w:type="dxa"/>
            </w:tcMar>
          </w:tcPr>
          <w:p w:rsidR="00D14763" w:rsidRPr="00C36C8F" w:rsidRDefault="00D14763" w:rsidP="00BE69D2">
            <w:pPr>
              <w:pStyle w:val="TableText"/>
              <w:rPr>
                <w:rFonts w:cs="Arial"/>
                <w:szCs w:val="18"/>
              </w:rPr>
            </w:pPr>
            <w:r w:rsidRPr="00C36C8F">
              <w:rPr>
                <w:rFonts w:cs="Arial"/>
                <w:szCs w:val="18"/>
              </w:rPr>
              <w:t>Refundable deposit for returns</w:t>
            </w:r>
          </w:p>
          <w:p w:rsidR="00D14763" w:rsidRPr="00C36C8F" w:rsidRDefault="00D14763" w:rsidP="00BE69D2">
            <w:pPr>
              <w:pStyle w:val="TableText"/>
              <w:rPr>
                <w:rFonts w:cs="Arial"/>
                <w:szCs w:val="18"/>
              </w:rPr>
            </w:pPr>
            <w:r w:rsidRPr="00C36C8F">
              <w:rPr>
                <w:rFonts w:cs="Arial"/>
                <w:szCs w:val="18"/>
              </w:rPr>
              <w:t>Sorted and rinsed to lower contamination and increase value relative to non CDL recovered material.</w:t>
            </w:r>
          </w:p>
        </w:tc>
      </w:tr>
      <w:tr w:rsidR="00D14763" w:rsidRPr="00C36C8F" w:rsidTr="00686C04">
        <w:tc>
          <w:tcPr>
            <w:tcW w:w="1241" w:type="pct"/>
            <w:tcMar>
              <w:right w:w="142" w:type="dxa"/>
            </w:tcMar>
          </w:tcPr>
          <w:p w:rsidR="00D14763" w:rsidRPr="00C36C8F" w:rsidRDefault="00D14763" w:rsidP="00BE69D2">
            <w:pPr>
              <w:pStyle w:val="TableText"/>
              <w:rPr>
                <w:rFonts w:cs="Arial"/>
                <w:szCs w:val="18"/>
              </w:rPr>
            </w:pPr>
            <w:r w:rsidRPr="00C36C8F">
              <w:rPr>
                <w:rFonts w:cs="Arial"/>
                <w:szCs w:val="18"/>
              </w:rPr>
              <w:t>Food Waste Pilot</w:t>
            </w:r>
          </w:p>
        </w:tc>
        <w:tc>
          <w:tcPr>
            <w:tcW w:w="1109" w:type="pct"/>
            <w:tcMar>
              <w:right w:w="142" w:type="dxa"/>
            </w:tcMar>
          </w:tcPr>
          <w:p w:rsidR="00D14763" w:rsidRPr="00C36C8F" w:rsidRDefault="00D14763" w:rsidP="00BE69D2">
            <w:pPr>
              <w:pStyle w:val="TableText"/>
              <w:rPr>
                <w:rFonts w:cs="Arial"/>
                <w:szCs w:val="18"/>
              </w:rPr>
            </w:pPr>
            <w:r w:rsidRPr="00C36C8F">
              <w:rPr>
                <w:rFonts w:cs="Arial"/>
                <w:szCs w:val="18"/>
              </w:rPr>
              <w:t>Municipal solid waste - organic</w:t>
            </w:r>
          </w:p>
        </w:tc>
        <w:tc>
          <w:tcPr>
            <w:tcW w:w="2650" w:type="pct"/>
            <w:tcMar>
              <w:right w:w="142" w:type="dxa"/>
            </w:tcMar>
          </w:tcPr>
          <w:p w:rsidR="00D14763" w:rsidRPr="00C36C8F" w:rsidRDefault="00D14763" w:rsidP="00BE69D2">
            <w:pPr>
              <w:pStyle w:val="TableText"/>
              <w:rPr>
                <w:rFonts w:cs="Arial"/>
                <w:szCs w:val="18"/>
              </w:rPr>
            </w:pPr>
            <w:r w:rsidRPr="00C36C8F">
              <w:rPr>
                <w:rFonts w:cs="Arial"/>
                <w:szCs w:val="18"/>
              </w:rPr>
              <w:t>Zero Waste SA piloted a kerbside collection service with 10 SA councils. The pilot project combined food waste with green organics, and included the option of a fortnightly residual waste collection.</w:t>
            </w:r>
          </w:p>
        </w:tc>
      </w:tr>
      <w:tr w:rsidR="00D14763" w:rsidRPr="00C36C8F" w:rsidTr="00686C04">
        <w:tc>
          <w:tcPr>
            <w:tcW w:w="1241" w:type="pct"/>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Resource Efficiency Assistance Program (REAP)</w:t>
            </w:r>
          </w:p>
        </w:tc>
        <w:tc>
          <w:tcPr>
            <w:tcW w:w="1109" w:type="pct"/>
            <w:tcMar>
              <w:right w:w="142" w:type="dxa"/>
            </w:tcMar>
          </w:tcPr>
          <w:p w:rsidR="00D14763" w:rsidRPr="00C36C8F" w:rsidRDefault="00D14763" w:rsidP="00BE69D2">
            <w:pPr>
              <w:pStyle w:val="TableText"/>
              <w:rPr>
                <w:rFonts w:cs="Arial"/>
                <w:szCs w:val="18"/>
              </w:rPr>
            </w:pPr>
            <w:r w:rsidRPr="00C36C8F">
              <w:rPr>
                <w:rFonts w:cs="Arial"/>
                <w:szCs w:val="18"/>
              </w:rPr>
              <w:t>C&amp;I</w:t>
            </w:r>
          </w:p>
        </w:tc>
        <w:tc>
          <w:tcPr>
            <w:tcW w:w="2650" w:type="pct"/>
            <w:tcMar>
              <w:right w:w="142" w:type="dxa"/>
            </w:tcMar>
          </w:tcPr>
          <w:p w:rsidR="00D14763" w:rsidRPr="00C36C8F" w:rsidRDefault="00D14763" w:rsidP="00BE69D2">
            <w:pPr>
              <w:pStyle w:val="TableText"/>
              <w:rPr>
                <w:rFonts w:cs="Arial"/>
                <w:szCs w:val="18"/>
              </w:rPr>
            </w:pPr>
            <w:r w:rsidRPr="00C36C8F">
              <w:rPr>
                <w:rFonts w:cs="Arial"/>
                <w:szCs w:val="18"/>
              </w:rPr>
              <w:t>Zero Waste SA’s REAP supports companies to address waste management and resource use to improve sustainability with a focus on seeking improved financial, environmental and social returns.</w:t>
            </w:r>
          </w:p>
        </w:tc>
      </w:tr>
      <w:tr w:rsidR="00D14763" w:rsidRPr="00C36C8F" w:rsidTr="00686C04">
        <w:tc>
          <w:tcPr>
            <w:tcW w:w="1241" w:type="pct"/>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Recycle Right at Work</w:t>
            </w:r>
          </w:p>
        </w:tc>
        <w:tc>
          <w:tcPr>
            <w:tcW w:w="1109" w:type="pct"/>
            <w:tcMar>
              <w:right w:w="142" w:type="dxa"/>
            </w:tcMar>
          </w:tcPr>
          <w:p w:rsidR="00D14763" w:rsidRPr="00C36C8F" w:rsidRDefault="00D14763" w:rsidP="00BE69D2">
            <w:pPr>
              <w:pStyle w:val="TableText"/>
              <w:rPr>
                <w:rFonts w:cs="Arial"/>
                <w:szCs w:val="18"/>
              </w:rPr>
            </w:pPr>
            <w:r w:rsidRPr="00C36C8F">
              <w:rPr>
                <w:rFonts w:cs="Arial"/>
                <w:szCs w:val="18"/>
              </w:rPr>
              <w:t>C&amp;I</w:t>
            </w:r>
          </w:p>
        </w:tc>
        <w:tc>
          <w:tcPr>
            <w:tcW w:w="2650" w:type="pct"/>
            <w:tcMar>
              <w:right w:w="142" w:type="dxa"/>
            </w:tcMar>
          </w:tcPr>
          <w:p w:rsidR="00D14763" w:rsidRPr="00C36C8F" w:rsidRDefault="00D14763" w:rsidP="00BE69D2">
            <w:pPr>
              <w:pStyle w:val="TableText"/>
              <w:rPr>
                <w:rFonts w:cs="Arial"/>
                <w:szCs w:val="18"/>
              </w:rPr>
            </w:pPr>
            <w:r w:rsidRPr="00C36C8F">
              <w:rPr>
                <w:rFonts w:cs="Arial"/>
                <w:szCs w:val="18"/>
              </w:rPr>
              <w:t>The program encourages waste and recycling collection companies to offer improved recycling collection services for Adelaide’s SMEs. Some funding assistance is available through Zero Waste SA for the introduction of new services</w:t>
            </w:r>
            <w:r w:rsidR="009E45B7" w:rsidRPr="00C36C8F">
              <w:rPr>
                <w:rFonts w:cs="Arial"/>
                <w:szCs w:val="18"/>
              </w:rPr>
              <w:t>.</w:t>
            </w:r>
          </w:p>
        </w:tc>
      </w:tr>
      <w:tr w:rsidR="00D14763" w:rsidRPr="00C36C8F" w:rsidTr="00686C04">
        <w:tc>
          <w:tcPr>
            <w:tcW w:w="1241" w:type="pct"/>
            <w:tcBorders>
              <w:bottom w:val="single" w:sz="4" w:space="0" w:color="808080"/>
            </w:tcBorders>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 xml:space="preserve">Oil Recycling </w:t>
            </w:r>
          </w:p>
          <w:p w:rsidR="00D14763" w:rsidRPr="00C36C8F" w:rsidRDefault="00D14763" w:rsidP="00BE69D2">
            <w:pPr>
              <w:pStyle w:val="TableText"/>
              <w:rPr>
                <w:rFonts w:cs="Arial"/>
                <w:color w:val="000000"/>
                <w:szCs w:val="18"/>
                <w:highlight w:val="yellow"/>
              </w:rPr>
            </w:pPr>
          </w:p>
        </w:tc>
        <w:tc>
          <w:tcPr>
            <w:tcW w:w="1109" w:type="pct"/>
            <w:tcBorders>
              <w:bottom w:val="single" w:sz="4" w:space="0" w:color="808080"/>
            </w:tcBorders>
            <w:tcMar>
              <w:right w:w="142" w:type="dxa"/>
            </w:tcMar>
          </w:tcPr>
          <w:p w:rsidR="00D14763" w:rsidRPr="00C36C8F" w:rsidRDefault="00D14763" w:rsidP="00BE69D2">
            <w:pPr>
              <w:pStyle w:val="TableText"/>
              <w:rPr>
                <w:rFonts w:cs="Arial"/>
                <w:szCs w:val="18"/>
                <w:highlight w:val="yellow"/>
              </w:rPr>
            </w:pPr>
            <w:r w:rsidRPr="00C36C8F">
              <w:rPr>
                <w:rFonts w:cs="Arial"/>
                <w:szCs w:val="18"/>
              </w:rPr>
              <w:t>Motor oil &amp; oil containers</w:t>
            </w:r>
          </w:p>
        </w:tc>
        <w:tc>
          <w:tcPr>
            <w:tcW w:w="2650" w:type="pct"/>
            <w:tcBorders>
              <w:bottom w:val="single" w:sz="4" w:space="0" w:color="808080"/>
            </w:tcBorders>
            <w:tcMar>
              <w:right w:w="142" w:type="dxa"/>
            </w:tcMar>
          </w:tcPr>
          <w:p w:rsidR="00D14763" w:rsidRPr="00C36C8F" w:rsidRDefault="00D14763" w:rsidP="00BE69D2">
            <w:pPr>
              <w:pStyle w:val="TableText"/>
              <w:rPr>
                <w:rFonts w:cs="Arial"/>
                <w:szCs w:val="18"/>
              </w:rPr>
            </w:pPr>
            <w:r w:rsidRPr="00C36C8F">
              <w:rPr>
                <w:rFonts w:cs="Arial"/>
                <w:szCs w:val="18"/>
              </w:rPr>
              <w:t>There is a network of 85 sites across South Australia where used oil can be safely disposed for recycling. Approximately 50 sites also collect the used oil containers for recycling into new oil containers and other plastic products</w:t>
            </w:r>
            <w:r w:rsidR="009E45B7" w:rsidRPr="00C36C8F">
              <w:rPr>
                <w:rFonts w:cs="Arial"/>
                <w:szCs w:val="18"/>
              </w:rPr>
              <w:t>.</w:t>
            </w:r>
          </w:p>
        </w:tc>
      </w:tr>
      <w:tr w:rsidR="00D14763" w:rsidRPr="00C36C8F" w:rsidTr="00686C04">
        <w:tc>
          <w:tcPr>
            <w:tcW w:w="1241" w:type="pct"/>
            <w:tcBorders>
              <w:top w:val="single" w:sz="4" w:space="0" w:color="808080"/>
              <w:bottom w:val="single" w:sz="4" w:space="0" w:color="7F7F7F" w:themeColor="text1" w:themeTint="80"/>
            </w:tcBorders>
            <w:tcMar>
              <w:right w:w="142" w:type="dxa"/>
            </w:tcMar>
          </w:tcPr>
          <w:p w:rsidR="00D14763" w:rsidRPr="00C36C8F" w:rsidRDefault="00D14763" w:rsidP="00BE69D2">
            <w:pPr>
              <w:pStyle w:val="TableText"/>
              <w:rPr>
                <w:rFonts w:cs="Arial"/>
                <w:color w:val="000000"/>
                <w:szCs w:val="18"/>
              </w:rPr>
            </w:pPr>
            <w:r w:rsidRPr="00C36C8F">
              <w:rPr>
                <w:rFonts w:cs="Arial"/>
                <w:szCs w:val="18"/>
              </w:rPr>
              <w:t>Household Hazardous Waste Collection</w:t>
            </w:r>
          </w:p>
        </w:tc>
        <w:tc>
          <w:tcPr>
            <w:tcW w:w="1109" w:type="pct"/>
            <w:tcBorders>
              <w:top w:val="single" w:sz="4" w:space="0" w:color="808080"/>
              <w:bottom w:val="single" w:sz="4" w:space="0" w:color="7F7F7F" w:themeColor="text1" w:themeTint="80"/>
            </w:tcBorders>
            <w:tcMar>
              <w:right w:w="142" w:type="dxa"/>
            </w:tcMar>
          </w:tcPr>
          <w:p w:rsidR="00D14763" w:rsidRPr="00C36C8F" w:rsidRDefault="00D14763" w:rsidP="00BE69D2">
            <w:pPr>
              <w:pStyle w:val="TableText"/>
              <w:rPr>
                <w:rFonts w:cs="Arial"/>
                <w:szCs w:val="18"/>
              </w:rPr>
            </w:pPr>
            <w:r w:rsidRPr="00C36C8F">
              <w:rPr>
                <w:rFonts w:cs="Arial"/>
                <w:szCs w:val="18"/>
              </w:rPr>
              <w:t>Household hazardous waste</w:t>
            </w:r>
          </w:p>
          <w:p w:rsidR="00D14763" w:rsidRPr="00C36C8F" w:rsidRDefault="00D14763" w:rsidP="00BE69D2">
            <w:pPr>
              <w:pStyle w:val="TableText"/>
              <w:rPr>
                <w:rFonts w:cs="Arial"/>
                <w:szCs w:val="18"/>
              </w:rPr>
            </w:pPr>
          </w:p>
        </w:tc>
        <w:tc>
          <w:tcPr>
            <w:tcW w:w="2650" w:type="pct"/>
            <w:tcBorders>
              <w:top w:val="single" w:sz="4" w:space="0" w:color="808080"/>
              <w:bottom w:val="single" w:sz="4" w:space="0" w:color="7F7F7F" w:themeColor="text1" w:themeTint="80"/>
            </w:tcBorders>
            <w:tcMar>
              <w:right w:w="142" w:type="dxa"/>
            </w:tcMar>
          </w:tcPr>
          <w:p w:rsidR="00047490" w:rsidRPr="00C36C8F" w:rsidRDefault="00D14763" w:rsidP="00686C04">
            <w:pPr>
              <w:pStyle w:val="TableText"/>
              <w:rPr>
                <w:rFonts w:cs="Arial"/>
                <w:szCs w:val="18"/>
              </w:rPr>
            </w:pPr>
            <w:r w:rsidRPr="00C36C8F">
              <w:rPr>
                <w:rFonts w:cs="Arial"/>
                <w:szCs w:val="18"/>
              </w:rPr>
              <w:t>Zero Waste SA and Local Government provides free household hazardous waste collections to help disposal of unwanted chemicals in an environmentally safe way. This includes mobile collections and permanent sites for collection</w:t>
            </w:r>
            <w:r w:rsidR="00047490" w:rsidRPr="00C36C8F">
              <w:rPr>
                <w:rFonts w:cs="Arial"/>
                <w:szCs w:val="18"/>
              </w:rPr>
              <w:t>.</w:t>
            </w:r>
          </w:p>
        </w:tc>
      </w:tr>
      <w:tr w:rsidR="00D14763" w:rsidRPr="00C36C8F" w:rsidTr="00686C04">
        <w:tc>
          <w:tcPr>
            <w:tcW w:w="1241" w:type="pct"/>
            <w:tcBorders>
              <w:top w:val="single" w:sz="4" w:space="0" w:color="7F7F7F" w:themeColor="text1" w:themeTint="80"/>
            </w:tcBorders>
            <w:tcMar>
              <w:right w:w="142" w:type="dxa"/>
            </w:tcMar>
          </w:tcPr>
          <w:p w:rsidR="00D14763" w:rsidRPr="00C36C8F" w:rsidRDefault="00D14763" w:rsidP="00BE69D2">
            <w:pPr>
              <w:pStyle w:val="TableText"/>
              <w:rPr>
                <w:rFonts w:cs="Arial"/>
                <w:color w:val="000000"/>
                <w:szCs w:val="18"/>
              </w:rPr>
            </w:pPr>
            <w:r w:rsidRPr="00C36C8F">
              <w:rPr>
                <w:rFonts w:cs="Arial"/>
                <w:szCs w:val="18"/>
              </w:rPr>
              <w:t>Zero Waste SA Environment Users System (ZEUS)</w:t>
            </w:r>
          </w:p>
        </w:tc>
        <w:tc>
          <w:tcPr>
            <w:tcW w:w="1109" w:type="pct"/>
            <w:tcBorders>
              <w:top w:val="single" w:sz="4" w:space="0" w:color="7F7F7F" w:themeColor="text1" w:themeTint="80"/>
            </w:tcBorders>
            <w:tcMar>
              <w:right w:w="142" w:type="dxa"/>
            </w:tcMar>
          </w:tcPr>
          <w:p w:rsidR="00D14763" w:rsidRPr="00C36C8F" w:rsidRDefault="00D14763" w:rsidP="00BE69D2">
            <w:pPr>
              <w:pStyle w:val="TableText"/>
              <w:rPr>
                <w:rFonts w:cs="Arial"/>
                <w:szCs w:val="18"/>
              </w:rPr>
            </w:pPr>
            <w:r w:rsidRPr="00C36C8F">
              <w:rPr>
                <w:rFonts w:cs="Arial"/>
                <w:szCs w:val="18"/>
              </w:rPr>
              <w:t>Illegal Dumping, C&amp;I, C&amp;D</w:t>
            </w:r>
          </w:p>
        </w:tc>
        <w:tc>
          <w:tcPr>
            <w:tcW w:w="2650" w:type="pct"/>
            <w:tcBorders>
              <w:top w:val="single" w:sz="4" w:space="0" w:color="7F7F7F" w:themeColor="text1" w:themeTint="80"/>
            </w:tcBorders>
            <w:tcMar>
              <w:right w:w="142" w:type="dxa"/>
            </w:tcMar>
          </w:tcPr>
          <w:p w:rsidR="00D14763" w:rsidRPr="00C36C8F" w:rsidRDefault="00D14763" w:rsidP="00BE69D2">
            <w:pPr>
              <w:pStyle w:val="TableText"/>
              <w:rPr>
                <w:rFonts w:cs="Arial"/>
                <w:szCs w:val="18"/>
              </w:rPr>
            </w:pPr>
            <w:r w:rsidRPr="00C36C8F">
              <w:rPr>
                <w:rFonts w:cs="Arial"/>
                <w:szCs w:val="18"/>
              </w:rPr>
              <w:t>ZEUS is a web-based data collection system for Councils. ZEUS allows Zero Waste SA to measure the State’s performance against targets set in the SA Strategic Plan. Data collection modules include Illegal Dumping, C&amp;I, C&amp;D</w:t>
            </w:r>
            <w:r w:rsidR="009E45B7" w:rsidRPr="00C36C8F">
              <w:rPr>
                <w:rFonts w:cs="Arial"/>
                <w:szCs w:val="18"/>
              </w:rPr>
              <w:t>.</w:t>
            </w:r>
          </w:p>
        </w:tc>
      </w:tr>
      <w:tr w:rsidR="00D14763" w:rsidRPr="00C36C8F" w:rsidTr="00686C04">
        <w:tc>
          <w:tcPr>
            <w:tcW w:w="1241" w:type="pct"/>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 xml:space="preserve">Kerbside Performance Incentives </w:t>
            </w:r>
          </w:p>
        </w:tc>
        <w:tc>
          <w:tcPr>
            <w:tcW w:w="1109" w:type="pct"/>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Municipal solid waste</w:t>
            </w:r>
          </w:p>
        </w:tc>
        <w:tc>
          <w:tcPr>
            <w:tcW w:w="2650" w:type="pct"/>
            <w:tcMar>
              <w:right w:w="142" w:type="dxa"/>
            </w:tcMar>
          </w:tcPr>
          <w:p w:rsidR="00D14763" w:rsidRPr="00C36C8F" w:rsidRDefault="00D14763" w:rsidP="00BE69D2">
            <w:pPr>
              <w:pStyle w:val="TableText"/>
              <w:rPr>
                <w:rFonts w:cs="Arial"/>
                <w:color w:val="000000"/>
                <w:szCs w:val="18"/>
              </w:rPr>
            </w:pPr>
            <w:r w:rsidRPr="00C36C8F">
              <w:rPr>
                <w:rFonts w:cs="Arial"/>
                <w:szCs w:val="18"/>
              </w:rPr>
              <w:t>SA councils are eligible to received Kerbside Performance Incentive payments from Zero Waste SA must submit kerbside performance reports</w:t>
            </w:r>
            <w:r w:rsidR="009E45B7" w:rsidRPr="00C36C8F">
              <w:rPr>
                <w:rFonts w:cs="Arial"/>
                <w:szCs w:val="18"/>
              </w:rPr>
              <w:t>.</w:t>
            </w:r>
          </w:p>
        </w:tc>
      </w:tr>
      <w:tr w:rsidR="00D14763" w:rsidRPr="00C36C8F" w:rsidTr="00686C04">
        <w:tc>
          <w:tcPr>
            <w:tcW w:w="1241" w:type="pct"/>
            <w:tcBorders>
              <w:bottom w:val="single" w:sz="4" w:space="0" w:color="808080"/>
            </w:tcBorders>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Zero Waste SA Grants Program</w:t>
            </w:r>
          </w:p>
        </w:tc>
        <w:tc>
          <w:tcPr>
            <w:tcW w:w="1109" w:type="pct"/>
            <w:tcBorders>
              <w:bottom w:val="single" w:sz="4" w:space="0" w:color="808080"/>
            </w:tcBorders>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Varied depending on program</w:t>
            </w:r>
          </w:p>
        </w:tc>
        <w:tc>
          <w:tcPr>
            <w:tcW w:w="2650" w:type="pct"/>
            <w:tcBorders>
              <w:bottom w:val="single" w:sz="4" w:space="0" w:color="808080"/>
            </w:tcBorders>
            <w:tcMar>
              <w:right w:w="142" w:type="dxa"/>
            </w:tcMar>
          </w:tcPr>
          <w:p w:rsidR="00D14763" w:rsidRPr="00C36C8F" w:rsidRDefault="00D14763" w:rsidP="00BE69D2">
            <w:pPr>
              <w:pStyle w:val="TableText"/>
              <w:rPr>
                <w:rFonts w:cs="Arial"/>
                <w:szCs w:val="18"/>
              </w:rPr>
            </w:pPr>
            <w:r w:rsidRPr="00C36C8F">
              <w:rPr>
                <w:rFonts w:cs="Arial"/>
                <w:szCs w:val="18"/>
              </w:rPr>
              <w:t>Illegal Dumping; Metropolitan Infrastructure; Showcase Projects; Kerbside Performance Plus (Food waste incentives); Regional Implementation Program; School &amp; Community Grants – other programs are also listed in this table</w:t>
            </w:r>
            <w:r w:rsidR="009E45B7" w:rsidRPr="00C36C8F">
              <w:rPr>
                <w:rFonts w:cs="Arial"/>
                <w:szCs w:val="18"/>
              </w:rPr>
              <w:t>.</w:t>
            </w:r>
          </w:p>
        </w:tc>
      </w:tr>
      <w:tr w:rsidR="00D14763" w:rsidRPr="00C36C8F" w:rsidTr="00686C04">
        <w:tc>
          <w:tcPr>
            <w:tcW w:w="1241" w:type="pct"/>
            <w:tcBorders>
              <w:top w:val="single" w:sz="4" w:space="0" w:color="808080"/>
              <w:bottom w:val="single" w:sz="4" w:space="0" w:color="808080"/>
            </w:tcBorders>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TV Recycling Program</w:t>
            </w:r>
          </w:p>
        </w:tc>
        <w:tc>
          <w:tcPr>
            <w:tcW w:w="1109" w:type="pct"/>
            <w:tcBorders>
              <w:top w:val="single" w:sz="4" w:space="0" w:color="808080"/>
              <w:bottom w:val="single" w:sz="4" w:space="0" w:color="808080"/>
            </w:tcBorders>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E-waste</w:t>
            </w:r>
          </w:p>
        </w:tc>
        <w:tc>
          <w:tcPr>
            <w:tcW w:w="2650" w:type="pct"/>
            <w:tcBorders>
              <w:top w:val="single" w:sz="4" w:space="0" w:color="808080"/>
              <w:bottom w:val="single" w:sz="4" w:space="0" w:color="808080"/>
            </w:tcBorders>
            <w:tcMar>
              <w:right w:w="142" w:type="dxa"/>
            </w:tcMar>
          </w:tcPr>
          <w:p w:rsidR="00D14763" w:rsidRPr="00C36C8F" w:rsidRDefault="00D14763" w:rsidP="00BE69D2">
            <w:pPr>
              <w:pStyle w:val="TableText"/>
              <w:rPr>
                <w:rFonts w:cs="Arial"/>
                <w:szCs w:val="18"/>
              </w:rPr>
            </w:pPr>
            <w:r w:rsidRPr="00C36C8F">
              <w:rPr>
                <w:rFonts w:cs="Arial"/>
                <w:szCs w:val="18"/>
              </w:rPr>
              <w:t>To coincide with the digital switchover in selected regional areas of SA, residents were offered free drop off opportunities for unwanted televisions for recycling at various locations. </w:t>
            </w:r>
          </w:p>
        </w:tc>
      </w:tr>
      <w:tr w:rsidR="00D14763" w:rsidRPr="00C36C8F" w:rsidTr="00686C04">
        <w:tc>
          <w:tcPr>
            <w:tcW w:w="1241" w:type="pct"/>
            <w:tcBorders>
              <w:top w:val="single" w:sz="4" w:space="0" w:color="808080"/>
              <w:bottom w:val="single" w:sz="4" w:space="0" w:color="808080"/>
            </w:tcBorders>
            <w:tcMar>
              <w:right w:w="142" w:type="dxa"/>
            </w:tcMar>
          </w:tcPr>
          <w:p w:rsidR="00D14763" w:rsidRPr="00C36C8F" w:rsidRDefault="00D14763" w:rsidP="00BE69D2">
            <w:pPr>
              <w:pStyle w:val="TableText"/>
              <w:rPr>
                <w:rFonts w:cs="Arial"/>
                <w:szCs w:val="18"/>
              </w:rPr>
            </w:pPr>
            <w:r w:rsidRPr="00C36C8F">
              <w:rPr>
                <w:rFonts w:cs="Arial"/>
                <w:szCs w:val="18"/>
              </w:rPr>
              <w:t>Wipe Out Waste (WOW)</w:t>
            </w:r>
          </w:p>
        </w:tc>
        <w:tc>
          <w:tcPr>
            <w:tcW w:w="1109" w:type="pct"/>
            <w:tcBorders>
              <w:top w:val="single" w:sz="4" w:space="0" w:color="808080"/>
              <w:bottom w:val="single" w:sz="4" w:space="0" w:color="808080"/>
            </w:tcBorders>
            <w:tcMar>
              <w:right w:w="142" w:type="dxa"/>
            </w:tcMar>
          </w:tcPr>
          <w:p w:rsidR="00D14763" w:rsidRPr="00C36C8F" w:rsidRDefault="00D14763" w:rsidP="00BE69D2">
            <w:pPr>
              <w:pStyle w:val="TableText"/>
              <w:rPr>
                <w:rFonts w:cs="Arial"/>
                <w:szCs w:val="18"/>
              </w:rPr>
            </w:pPr>
            <w:r w:rsidRPr="00C36C8F">
              <w:rPr>
                <w:rFonts w:cs="Arial"/>
                <w:szCs w:val="18"/>
              </w:rPr>
              <w:t>Municipal solid waste</w:t>
            </w:r>
          </w:p>
        </w:tc>
        <w:tc>
          <w:tcPr>
            <w:tcW w:w="2650" w:type="pct"/>
            <w:tcBorders>
              <w:top w:val="single" w:sz="4" w:space="0" w:color="808080"/>
              <w:bottom w:val="single" w:sz="4" w:space="0" w:color="808080"/>
            </w:tcBorders>
            <w:tcMar>
              <w:right w:w="142" w:type="dxa"/>
            </w:tcMar>
          </w:tcPr>
          <w:p w:rsidR="00D14763" w:rsidRPr="00C36C8F" w:rsidRDefault="00D14763" w:rsidP="00BE69D2">
            <w:pPr>
              <w:pStyle w:val="TableText"/>
              <w:rPr>
                <w:rFonts w:cs="Arial"/>
                <w:szCs w:val="18"/>
              </w:rPr>
            </w:pPr>
            <w:r w:rsidRPr="00C36C8F">
              <w:rPr>
                <w:rFonts w:cs="Arial"/>
                <w:szCs w:val="18"/>
              </w:rPr>
              <w:t>Aims to encourage schools to reduce waste and raise student awareness about waste recycling and disposal. Resources and professional development available for teachers and schools</w:t>
            </w:r>
            <w:r w:rsidR="009E45B7" w:rsidRPr="00C36C8F">
              <w:rPr>
                <w:rFonts w:cs="Arial"/>
                <w:szCs w:val="18"/>
              </w:rPr>
              <w:t>.</w:t>
            </w:r>
          </w:p>
        </w:tc>
      </w:tr>
      <w:tr w:rsidR="00D14763" w:rsidRPr="00C36C8F" w:rsidTr="00686C04">
        <w:tc>
          <w:tcPr>
            <w:tcW w:w="1241" w:type="pct"/>
            <w:tcBorders>
              <w:top w:val="single" w:sz="4" w:space="0" w:color="808080"/>
              <w:bottom w:val="single" w:sz="4" w:space="0" w:color="808080"/>
            </w:tcBorders>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Zero Waste Lifeline</w:t>
            </w:r>
          </w:p>
        </w:tc>
        <w:tc>
          <w:tcPr>
            <w:tcW w:w="1109" w:type="pct"/>
            <w:tcBorders>
              <w:top w:val="single" w:sz="4" w:space="0" w:color="808080"/>
              <w:bottom w:val="single" w:sz="4" w:space="0" w:color="808080"/>
            </w:tcBorders>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Solid waste</w:t>
            </w:r>
          </w:p>
        </w:tc>
        <w:tc>
          <w:tcPr>
            <w:tcW w:w="2650" w:type="pct"/>
            <w:tcBorders>
              <w:top w:val="single" w:sz="4" w:space="0" w:color="808080"/>
              <w:bottom w:val="single" w:sz="4" w:space="0" w:color="808080"/>
            </w:tcBorders>
            <w:tcMar>
              <w:right w:w="142" w:type="dxa"/>
            </w:tcMar>
          </w:tcPr>
          <w:p w:rsidR="00D14763" w:rsidRPr="00C36C8F" w:rsidRDefault="00D14763" w:rsidP="00BE69D2">
            <w:pPr>
              <w:pStyle w:val="TableText"/>
              <w:rPr>
                <w:rFonts w:cs="Arial"/>
                <w:color w:val="000000"/>
                <w:szCs w:val="18"/>
              </w:rPr>
            </w:pPr>
            <w:r w:rsidRPr="00C36C8F">
              <w:rPr>
                <w:rFonts w:cs="Arial"/>
                <w:color w:val="000000"/>
                <w:szCs w:val="18"/>
              </w:rPr>
              <w:t>Art program with works located in the Range Wetlands, Adelaide. The artwork aims to symbolise SA's commitment to a zero waste society and to raise public awareness about environmental sustainability</w:t>
            </w:r>
            <w:r w:rsidR="009E45B7" w:rsidRPr="00C36C8F">
              <w:rPr>
                <w:rFonts w:cs="Arial"/>
                <w:color w:val="000000"/>
                <w:szCs w:val="18"/>
              </w:rPr>
              <w:t>.</w:t>
            </w:r>
          </w:p>
        </w:tc>
      </w:tr>
    </w:tbl>
    <w:p w:rsidR="00DA4D44" w:rsidRPr="00C36C8F" w:rsidRDefault="00DA4D44" w:rsidP="00DA4D44">
      <w:pPr>
        <w:pStyle w:val="ParaIndent"/>
      </w:pPr>
    </w:p>
    <w:p w:rsidR="00DA4D44" w:rsidRPr="00C36C8F" w:rsidRDefault="00DA4D44" w:rsidP="00DA4D44">
      <w:pPr>
        <w:pStyle w:val="ParaIndent"/>
      </w:pPr>
      <w:r w:rsidRPr="00C36C8F">
        <w:br w:type="page"/>
      </w:r>
    </w:p>
    <w:p w:rsidR="00D14763" w:rsidRPr="00C36C8F" w:rsidRDefault="00D14763" w:rsidP="00FC6E50">
      <w:pPr>
        <w:pStyle w:val="Heading2"/>
        <w:spacing w:before="240" w:after="120"/>
      </w:pPr>
      <w:bookmarkStart w:id="266" w:name="_Toc325020121"/>
      <w:bookmarkStart w:id="267" w:name="_Toc305049769"/>
      <w:r w:rsidRPr="00C36C8F">
        <w:t>Western Australia</w:t>
      </w:r>
      <w:bookmarkEnd w:id="266"/>
      <w:bookmarkEnd w:id="267"/>
    </w:p>
    <w:p w:rsidR="00D14763" w:rsidRPr="00C36C8F" w:rsidRDefault="00D14763" w:rsidP="009B3DDD">
      <w:pPr>
        <w:pStyle w:val="ParaIndent"/>
        <w:jc w:val="both"/>
      </w:pPr>
      <w:r w:rsidRPr="00C36C8F">
        <w:t>Information on the programs and strategies being implemented in WA has been sourced from:</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Department of Environment and Conservation website: www.dec.wa.gov.au </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ZeroWaste WA website: www.zerowastewa.com.au </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Western Australian Waste Authority (2010) </w:t>
      </w:r>
      <w:r w:rsidRPr="00C36C8F">
        <w:rPr>
          <w:i/>
        </w:rPr>
        <w:t>Draft II Waste Strategy for Western Australia</w:t>
      </w:r>
      <w:r w:rsidRPr="00C36C8F">
        <w:t xml:space="preserve"> March 2010.</w:t>
      </w:r>
    </w:p>
    <w:p w:rsidR="00D14763" w:rsidRPr="00C36C8F" w:rsidRDefault="00D14763" w:rsidP="00FC6E50">
      <w:pPr>
        <w:pStyle w:val="Heading40"/>
        <w:spacing w:before="0" w:after="120"/>
        <w:jc w:val="both"/>
      </w:pPr>
      <w:r w:rsidRPr="00C36C8F">
        <w:t>Strategy and policy</w:t>
      </w:r>
    </w:p>
    <w:p w:rsidR="00D14763" w:rsidRPr="00C36C8F" w:rsidRDefault="00D14763" w:rsidP="009B3DDD">
      <w:pPr>
        <w:pStyle w:val="ParaIndent"/>
        <w:jc w:val="both"/>
      </w:pPr>
      <w:r w:rsidRPr="00C36C8F">
        <w:t xml:space="preserve">The introduction of the </w:t>
      </w:r>
      <w:r w:rsidRPr="00C36C8F">
        <w:rPr>
          <w:i/>
        </w:rPr>
        <w:t>Waste Avoidance and Resource Recovery Act 2007</w:t>
      </w:r>
      <w:r w:rsidRPr="00C36C8F">
        <w:t xml:space="preserve"> (WARR Act), in December 2007 resulted in the establishment in May 2008 of the Western Australian Waste Authority, which replaced the former Waste Management Board. The Waste Authority commenced full operation on 1st July 2008. The Waste Authority funding is sourced from the Waste Avoidance and Resource Recovery Account. </w:t>
      </w:r>
    </w:p>
    <w:p w:rsidR="00D14763" w:rsidRPr="00C36C8F" w:rsidRDefault="00D14763" w:rsidP="009B3DDD">
      <w:pPr>
        <w:pStyle w:val="ParaIndent"/>
        <w:jc w:val="both"/>
      </w:pPr>
      <w:r w:rsidRPr="00C36C8F">
        <w:t>The Department of Environment and Conservation (DEC) supports the Waste Authority with the provision of executive, administrative, and contract management support, and also coordinates project specific activities on behalf of the Authority.</w:t>
      </w:r>
    </w:p>
    <w:p w:rsidR="00D14763" w:rsidRPr="00C36C8F" w:rsidRDefault="00D14763" w:rsidP="009B3DDD">
      <w:pPr>
        <w:pStyle w:val="ParaIndent"/>
        <w:jc w:val="both"/>
      </w:pPr>
      <w:r w:rsidRPr="00C36C8F">
        <w:t>One of the key deliverables of the Waste Authority is the development of a long term Waste Strategy for Western Australia. The Strategy is required to plan for continuous improvement of waste services, waste avoidance and resource recovery, and be benchmarked against best practice. In addition, the directive for the Strategy requires that it must set whole of state targets for waste reduction, resource recovery and the diversion of waste from landfill disposal.</w:t>
      </w:r>
    </w:p>
    <w:p w:rsidR="00D14763" w:rsidRPr="00C36C8F" w:rsidRDefault="00D14763" w:rsidP="009B3DDD">
      <w:pPr>
        <w:pStyle w:val="ParaIndent"/>
        <w:jc w:val="both"/>
      </w:pPr>
      <w:r w:rsidRPr="00C36C8F">
        <w:t xml:space="preserve">A first draft of the </w:t>
      </w:r>
      <w:r w:rsidRPr="00C36C8F">
        <w:rPr>
          <w:i/>
        </w:rPr>
        <w:t>Waste Strategy for Western Australia</w:t>
      </w:r>
      <w:r w:rsidRPr="00C36C8F">
        <w:t xml:space="preserve"> was released in September 2009 with public comment open until December 2009. On the basis of comments received, a further draft was prepared </w:t>
      </w:r>
      <w:r w:rsidRPr="00C36C8F">
        <w:rPr>
          <w:i/>
        </w:rPr>
        <w:t>Draft II Waste Strategy for Western Australia March 2010</w:t>
      </w:r>
      <w:r w:rsidRPr="00C36C8F">
        <w:t>, (Draft II Strategy) with public comment sough</w:t>
      </w:r>
      <w:r w:rsidR="00047847" w:rsidRPr="00C36C8F">
        <w:t>t</w:t>
      </w:r>
      <w:r w:rsidRPr="00C36C8F">
        <w:t xml:space="preserve"> until April 19, 2010.</w:t>
      </w:r>
    </w:p>
    <w:p w:rsidR="00D14763" w:rsidRPr="00C36C8F" w:rsidRDefault="00D14763" w:rsidP="009B3DDD">
      <w:pPr>
        <w:pStyle w:val="ParaIndent"/>
        <w:jc w:val="both"/>
      </w:pPr>
      <w:r w:rsidRPr="00C36C8F">
        <w:t>The Draft II Strategy acknowledges that it builds on a range of work and policy development including the following:</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2005 </w:t>
      </w:r>
      <w:r w:rsidRPr="00C36C8F">
        <w:rPr>
          <w:i/>
        </w:rPr>
        <w:t>Extended Producer Responsibility Policy Statement</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2004 </w:t>
      </w:r>
      <w:r w:rsidRPr="00C36C8F">
        <w:rPr>
          <w:i/>
        </w:rPr>
        <w:t>Statement of Strategic Direction for Waste Management in Western Australia</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2001 </w:t>
      </w:r>
      <w:r w:rsidRPr="00C36C8F">
        <w:rPr>
          <w:i/>
        </w:rPr>
        <w:t xml:space="preserve">Towards Zero Waste </w:t>
      </w:r>
      <w:r w:rsidR="00EF22B6">
        <w:rPr>
          <w:i/>
        </w:rPr>
        <w:t>A</w:t>
      </w:r>
      <w:r w:rsidR="00EF22B6" w:rsidRPr="00C36C8F">
        <w:rPr>
          <w:i/>
        </w:rPr>
        <w:t xml:space="preserve">ction </w:t>
      </w:r>
      <w:r w:rsidR="00EF22B6">
        <w:rPr>
          <w:i/>
        </w:rPr>
        <w:t>P</w:t>
      </w:r>
      <w:r w:rsidR="00EF22B6" w:rsidRPr="00C36C8F">
        <w:rPr>
          <w:i/>
        </w:rPr>
        <w:t>lan</w:t>
      </w:r>
      <w:r w:rsidR="00EF22B6" w:rsidRPr="00C36C8F">
        <w:t xml:space="preserve"> </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2007 Stakeholder Advisory Group </w:t>
      </w:r>
      <w:r w:rsidRPr="00C36C8F">
        <w:rPr>
          <w:i/>
        </w:rPr>
        <w:t>Investigation into Best Practice Container Deposit Systems for Western Australia</w:t>
      </w:r>
      <w:r w:rsidRPr="00C36C8F">
        <w:t>.</w:t>
      </w:r>
    </w:p>
    <w:p w:rsidR="00D14763" w:rsidRPr="00C36C8F" w:rsidRDefault="00D14763" w:rsidP="009B3DDD">
      <w:pPr>
        <w:pStyle w:val="ParaIndent"/>
        <w:jc w:val="both"/>
      </w:pPr>
      <w:r w:rsidRPr="00C36C8F">
        <w:t>The Draft II Strategy outlines that a series of principles will be applied to deliver on an overarching aim that seeks best practice in waste management in the State by 2022. The principles as articulated in the Draft II Strategy are:</w:t>
      </w:r>
    </w:p>
    <w:p w:rsidR="00D14763" w:rsidRPr="00C36C8F" w:rsidRDefault="00D14763" w:rsidP="00FC6E50">
      <w:pPr>
        <w:pStyle w:val="BulletPoints"/>
        <w:tabs>
          <w:tab w:val="clear" w:pos="567"/>
          <w:tab w:val="left" w:pos="1134"/>
          <w:tab w:val="num" w:pos="1701"/>
          <w:tab w:val="left" w:pos="2268"/>
        </w:tabs>
        <w:ind w:left="1701"/>
        <w:jc w:val="both"/>
      </w:pPr>
      <w:r w:rsidRPr="00C36C8F">
        <w:t xml:space="preserve">promoting the most efficient use of resources, including resource recovery and waste avoidance </w:t>
      </w:r>
    </w:p>
    <w:p w:rsidR="00D14763" w:rsidRPr="00C36C8F" w:rsidRDefault="00D14763" w:rsidP="00FC6E50">
      <w:pPr>
        <w:pStyle w:val="BulletPoints"/>
        <w:tabs>
          <w:tab w:val="clear" w:pos="567"/>
          <w:tab w:val="left" w:pos="1134"/>
          <w:tab w:val="num" w:pos="1701"/>
          <w:tab w:val="left" w:pos="2268"/>
        </w:tabs>
        <w:ind w:left="1701"/>
        <w:jc w:val="both"/>
      </w:pPr>
      <w:r w:rsidRPr="00C36C8F">
        <w:t xml:space="preserve">reducing environmental harm, including pollution through waste </w:t>
      </w:r>
    </w:p>
    <w:p w:rsidR="00D14763" w:rsidRPr="00C36C8F" w:rsidRDefault="00D14763" w:rsidP="00FC6E50">
      <w:pPr>
        <w:pStyle w:val="BulletPoints"/>
        <w:tabs>
          <w:tab w:val="clear" w:pos="567"/>
          <w:tab w:val="left" w:pos="1134"/>
          <w:tab w:val="num" w:pos="1701"/>
          <w:tab w:val="left" w:pos="2268"/>
        </w:tabs>
        <w:ind w:left="1701"/>
        <w:jc w:val="both"/>
      </w:pPr>
      <w:r w:rsidRPr="00C36C8F">
        <w:t>consideration of resource management options against the following waste management hierarchy</w:t>
      </w:r>
      <w:r w:rsidR="00EF22B6">
        <w:t>–</w:t>
      </w:r>
      <w:r w:rsidRPr="00C36C8F">
        <w:t xml:space="preserve"> </w:t>
      </w:r>
    </w:p>
    <w:p w:rsidR="00D14763" w:rsidRPr="00C36C8F" w:rsidRDefault="00D14763" w:rsidP="00FC6E50">
      <w:pPr>
        <w:pStyle w:val="ParaIndent"/>
        <w:numPr>
          <w:ilvl w:val="0"/>
          <w:numId w:val="25"/>
        </w:numPr>
        <w:spacing w:after="120"/>
        <w:ind w:left="2268" w:hanging="425"/>
        <w:jc w:val="both"/>
      </w:pPr>
      <w:r w:rsidRPr="00C36C8F">
        <w:t>avoidance of unnecessary resource consumption</w:t>
      </w:r>
    </w:p>
    <w:p w:rsidR="00D14763" w:rsidRPr="00C36C8F" w:rsidRDefault="00D14763" w:rsidP="00FC6E50">
      <w:pPr>
        <w:pStyle w:val="ParaIndent"/>
        <w:numPr>
          <w:ilvl w:val="0"/>
          <w:numId w:val="25"/>
        </w:numPr>
        <w:spacing w:after="120"/>
        <w:ind w:left="2268" w:hanging="425"/>
        <w:jc w:val="both"/>
      </w:pPr>
      <w:r w:rsidRPr="00C36C8F">
        <w:t>resource recovery (including re</w:t>
      </w:r>
      <w:r w:rsidR="000A1612" w:rsidRPr="00C36C8F">
        <w:t>-</w:t>
      </w:r>
      <w:r w:rsidRPr="00C36C8F">
        <w:t>use, reprocessing, recycling or energy recovery)</w:t>
      </w:r>
      <w:r w:rsidR="00E54C15">
        <w:t xml:space="preserve">                                                                           </w:t>
      </w:r>
    </w:p>
    <w:p w:rsidR="00D14763" w:rsidRPr="00C36C8F" w:rsidRDefault="00D14763" w:rsidP="00FC6E50">
      <w:pPr>
        <w:pStyle w:val="ParaIndent"/>
        <w:numPr>
          <w:ilvl w:val="0"/>
          <w:numId w:val="25"/>
        </w:numPr>
        <w:spacing w:after="120"/>
        <w:ind w:left="2268" w:hanging="425"/>
        <w:jc w:val="both"/>
      </w:pPr>
      <w:r w:rsidRPr="00C36C8F">
        <w:t>disposal</w:t>
      </w:r>
      <w:r w:rsidR="00E54C15">
        <w:t>.</w:t>
      </w:r>
    </w:p>
    <w:p w:rsidR="00D14763" w:rsidRPr="00C36C8F" w:rsidRDefault="00D14763" w:rsidP="00FC6E50">
      <w:pPr>
        <w:pStyle w:val="BulletPoints"/>
        <w:tabs>
          <w:tab w:val="clear" w:pos="567"/>
          <w:tab w:val="left" w:pos="1134"/>
          <w:tab w:val="num" w:pos="1701"/>
          <w:tab w:val="left" w:pos="2268"/>
        </w:tabs>
        <w:ind w:left="1701"/>
        <w:jc w:val="both"/>
      </w:pPr>
      <w:r w:rsidRPr="00C36C8F">
        <w:t>identifying and supporting solutions that offer value for money when social, environmental and financial consid</w:t>
      </w:r>
      <w:r w:rsidR="002B559B" w:rsidRPr="00C36C8F">
        <w:t>erations are taken into account</w:t>
      </w:r>
    </w:p>
    <w:p w:rsidR="00D14763" w:rsidRPr="00C36C8F" w:rsidRDefault="00D14763" w:rsidP="00FC6E50">
      <w:pPr>
        <w:pStyle w:val="BulletPoints"/>
        <w:tabs>
          <w:tab w:val="clear" w:pos="567"/>
          <w:tab w:val="left" w:pos="1134"/>
          <w:tab w:val="num" w:pos="1701"/>
          <w:tab w:val="left" w:pos="2268"/>
        </w:tabs>
        <w:ind w:left="1701"/>
        <w:jc w:val="both"/>
      </w:pPr>
      <w:r w:rsidRPr="00C36C8F">
        <w:t>application of both the ‘polluter pays’ and the ‘user pays’ principles where appropriate</w:t>
      </w:r>
    </w:p>
    <w:p w:rsidR="00D14763" w:rsidRPr="00C36C8F" w:rsidRDefault="00D14763" w:rsidP="00FC6E50">
      <w:pPr>
        <w:pStyle w:val="BulletPoints"/>
        <w:tabs>
          <w:tab w:val="clear" w:pos="567"/>
          <w:tab w:val="left" w:pos="1134"/>
          <w:tab w:val="num" w:pos="1701"/>
          <w:tab w:val="left" w:pos="2268"/>
        </w:tabs>
        <w:ind w:left="1701"/>
        <w:jc w:val="both"/>
      </w:pPr>
      <w:r w:rsidRPr="00C36C8F">
        <w:t>pu</w:t>
      </w:r>
      <w:r w:rsidR="002B559B" w:rsidRPr="00C36C8F">
        <w:t>rsuit of continuous improvement</w:t>
      </w:r>
    </w:p>
    <w:p w:rsidR="00D14763" w:rsidRPr="00C36C8F" w:rsidRDefault="00D14763" w:rsidP="00FC6E50">
      <w:pPr>
        <w:pStyle w:val="BulletPoints"/>
        <w:tabs>
          <w:tab w:val="clear" w:pos="567"/>
          <w:tab w:val="left" w:pos="1134"/>
          <w:tab w:val="num" w:pos="1701"/>
          <w:tab w:val="left" w:pos="2268"/>
        </w:tabs>
        <w:ind w:left="1701"/>
        <w:jc w:val="both"/>
      </w:pPr>
      <w:r w:rsidRPr="00C36C8F">
        <w:t>favouring mechanisms which can achieve the desired outcomes with minimal central control ov</w:t>
      </w:r>
      <w:r w:rsidR="002B559B" w:rsidRPr="00C36C8F">
        <w:t>er how these are achieved</w:t>
      </w:r>
      <w:r w:rsidR="00F77479" w:rsidRPr="00C36C8F">
        <w:t>.</w:t>
      </w:r>
    </w:p>
    <w:p w:rsidR="00D14763" w:rsidRPr="00C36C8F" w:rsidRDefault="00D14763" w:rsidP="009B3DDD">
      <w:pPr>
        <w:pStyle w:val="ParaIndent"/>
        <w:jc w:val="both"/>
      </w:pPr>
      <w:r w:rsidRPr="00C36C8F">
        <w:t>To fulfil these principles, a series of strategies and targets have been articulated in the Draft II Strategy</w:t>
      </w:r>
      <w:r w:rsidR="00F77479" w:rsidRPr="00C36C8F">
        <w:t xml:space="preserve">, as outlined in </w:t>
      </w:r>
      <w:fldSimple w:instr=" REF _Ref283643955 \h  \* MERGEFORMAT ">
        <w:r w:rsidR="00AE7E3B" w:rsidRPr="00C36C8F">
          <w:t xml:space="preserve">Table </w:t>
        </w:r>
        <w:r w:rsidR="00AE7E3B">
          <w:rPr>
            <w:noProof/>
          </w:rPr>
          <w:t>6</w:t>
        </w:r>
        <w:r w:rsidR="00AE7E3B" w:rsidRPr="00C36C8F">
          <w:rPr>
            <w:noProof/>
          </w:rPr>
          <w:t>-</w:t>
        </w:r>
        <w:r w:rsidR="00AE7E3B">
          <w:rPr>
            <w:noProof/>
          </w:rPr>
          <w:t>63</w:t>
        </w:r>
      </w:fldSimple>
      <w:r w:rsidRPr="00C36C8F">
        <w:t>.</w:t>
      </w:r>
    </w:p>
    <w:p w:rsidR="00D14763" w:rsidRPr="00C36C8F" w:rsidRDefault="00D14763" w:rsidP="00D14763">
      <w:pPr>
        <w:pStyle w:val="Caption"/>
      </w:pPr>
      <w:bookmarkStart w:id="268" w:name="_Ref283643955"/>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63</w:t>
      </w:r>
      <w:r w:rsidR="00B9555F" w:rsidRPr="00C36C8F">
        <w:rPr>
          <w:noProof/>
        </w:rPr>
        <w:fldChar w:fldCharType="end"/>
      </w:r>
      <w:bookmarkEnd w:id="268"/>
      <w:r w:rsidRPr="00C36C8F">
        <w:tab/>
        <w:t>Draft II Strategy Targets, Western Australia</w:t>
      </w:r>
    </w:p>
    <w:tbl>
      <w:tblPr>
        <w:tblW w:w="8645" w:type="dxa"/>
        <w:tblInd w:w="1191" w:type="dxa"/>
        <w:tblBorders>
          <w:bottom w:val="single" w:sz="4" w:space="0" w:color="808080"/>
          <w:insideH w:val="single" w:sz="4" w:space="0" w:color="808080"/>
        </w:tblBorders>
        <w:tblLayout w:type="fixed"/>
        <w:tblCellMar>
          <w:left w:w="0" w:type="dxa"/>
          <w:right w:w="0" w:type="dxa"/>
        </w:tblCellMar>
        <w:tblLook w:val="0000"/>
      </w:tblPr>
      <w:tblGrid>
        <w:gridCol w:w="1843"/>
        <w:gridCol w:w="3401"/>
        <w:gridCol w:w="3401"/>
      </w:tblGrid>
      <w:tr w:rsidR="00D14763" w:rsidRPr="00C36C8F" w:rsidTr="00FC6E50">
        <w:trPr>
          <w:cantSplit/>
        </w:trPr>
        <w:tc>
          <w:tcPr>
            <w:tcW w:w="1843" w:type="dxa"/>
            <w:shd w:val="clear" w:color="auto" w:fill="auto"/>
            <w:tcMar>
              <w:left w:w="85" w:type="dxa"/>
              <w:right w:w="85" w:type="dxa"/>
            </w:tcMar>
          </w:tcPr>
          <w:p w:rsidR="00D14763" w:rsidRPr="00C36C8F" w:rsidRDefault="00D14763" w:rsidP="00E175A1">
            <w:pPr>
              <w:pStyle w:val="TableHeading"/>
            </w:pPr>
            <w:r w:rsidRPr="00C36C8F">
              <w:t>Waste hierarchy focus</w:t>
            </w:r>
          </w:p>
        </w:tc>
        <w:tc>
          <w:tcPr>
            <w:tcW w:w="3401" w:type="dxa"/>
            <w:tcBorders>
              <w:top w:val="nil"/>
              <w:right w:val="single" w:sz="4" w:space="0" w:color="808080"/>
            </w:tcBorders>
            <w:shd w:val="clear" w:color="auto" w:fill="auto"/>
            <w:tcMar>
              <w:left w:w="85" w:type="dxa"/>
              <w:right w:w="85" w:type="dxa"/>
            </w:tcMar>
          </w:tcPr>
          <w:p w:rsidR="00D14763" w:rsidRPr="00C36C8F" w:rsidRDefault="00D14763" w:rsidP="00E175A1">
            <w:pPr>
              <w:pStyle w:val="TableHeading"/>
            </w:pPr>
            <w:r w:rsidRPr="00C36C8F">
              <w:t>2016 Target / outcome</w:t>
            </w:r>
          </w:p>
        </w:tc>
        <w:tc>
          <w:tcPr>
            <w:tcW w:w="3401" w:type="dxa"/>
            <w:tcBorders>
              <w:top w:val="nil"/>
              <w:left w:val="single" w:sz="4" w:space="0" w:color="808080"/>
            </w:tcBorders>
            <w:shd w:val="clear" w:color="auto" w:fill="auto"/>
            <w:tcMar>
              <w:left w:w="85" w:type="dxa"/>
              <w:right w:w="85" w:type="dxa"/>
            </w:tcMar>
          </w:tcPr>
          <w:p w:rsidR="00D14763" w:rsidRPr="00C36C8F" w:rsidRDefault="00D14763" w:rsidP="00E175A1">
            <w:pPr>
              <w:pStyle w:val="TableHeading"/>
            </w:pPr>
            <w:r w:rsidRPr="00C36C8F">
              <w:t>2020 Target / outcome</w:t>
            </w:r>
          </w:p>
        </w:tc>
      </w:tr>
      <w:tr w:rsidR="00D14763" w:rsidRPr="00C36C8F" w:rsidTr="00FC6E50">
        <w:trPr>
          <w:cantSplit/>
        </w:trPr>
        <w:tc>
          <w:tcPr>
            <w:tcW w:w="1843" w:type="dxa"/>
            <w:vMerge w:val="restart"/>
            <w:shd w:val="clear" w:color="auto" w:fill="auto"/>
            <w:tcMar>
              <w:left w:w="85" w:type="dxa"/>
              <w:right w:w="85" w:type="dxa"/>
            </w:tcMar>
          </w:tcPr>
          <w:p w:rsidR="00D14763" w:rsidRPr="00C36C8F" w:rsidRDefault="00D14763" w:rsidP="00E175A1">
            <w:pPr>
              <w:pStyle w:val="TableText"/>
              <w:keepNext/>
            </w:pPr>
            <w:r w:rsidRPr="00C36C8F">
              <w:t>Resource recovery</w:t>
            </w:r>
          </w:p>
        </w:tc>
        <w:tc>
          <w:tcPr>
            <w:tcW w:w="3401" w:type="dxa"/>
            <w:tcBorders>
              <w:top w:val="single" w:sz="4" w:space="0" w:color="808080"/>
              <w:righ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r w:rsidRPr="00C36C8F">
              <w:rPr>
                <w:rFonts w:cs="HelveticaNeueLT Std Thin"/>
                <w:color w:val="000000"/>
                <w:szCs w:val="18"/>
              </w:rPr>
              <w:t>70% MSW recovery rate in metropolitan Perth (up from approximately 45%)</w:t>
            </w:r>
          </w:p>
        </w:tc>
        <w:tc>
          <w:tcPr>
            <w:tcW w:w="3401" w:type="dxa"/>
            <w:vMerge w:val="restart"/>
            <w:tcBorders>
              <w:top w:val="single" w:sz="4" w:space="0" w:color="808080"/>
              <w:lef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p>
        </w:tc>
      </w:tr>
      <w:tr w:rsidR="00D14763" w:rsidRPr="00C36C8F" w:rsidTr="00FC6E50">
        <w:trPr>
          <w:cantSplit/>
        </w:trPr>
        <w:tc>
          <w:tcPr>
            <w:tcW w:w="1843" w:type="dxa"/>
            <w:vMerge/>
            <w:shd w:val="clear" w:color="auto" w:fill="auto"/>
            <w:tcMar>
              <w:left w:w="85" w:type="dxa"/>
              <w:right w:w="85" w:type="dxa"/>
            </w:tcMar>
          </w:tcPr>
          <w:p w:rsidR="00D14763" w:rsidRPr="00C36C8F" w:rsidRDefault="00D14763" w:rsidP="00E175A1">
            <w:pPr>
              <w:pStyle w:val="TableText"/>
              <w:keepNext/>
            </w:pPr>
          </w:p>
        </w:tc>
        <w:tc>
          <w:tcPr>
            <w:tcW w:w="3401" w:type="dxa"/>
            <w:tcBorders>
              <w:top w:val="single" w:sz="4" w:space="0" w:color="808080"/>
              <w:righ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r w:rsidRPr="00C36C8F">
              <w:rPr>
                <w:rFonts w:cs="HelveticaNeueLT Std Thin"/>
                <w:color w:val="000000"/>
                <w:szCs w:val="18"/>
              </w:rPr>
              <w:t>Contamination rate of kerbside recyclable collections reduced from approximately 25% to 10%</w:t>
            </w:r>
          </w:p>
        </w:tc>
        <w:tc>
          <w:tcPr>
            <w:tcW w:w="3401" w:type="dxa"/>
            <w:vMerge/>
            <w:tcBorders>
              <w:top w:val="single" w:sz="4" w:space="0" w:color="808080"/>
              <w:lef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p>
        </w:tc>
      </w:tr>
      <w:tr w:rsidR="00D14763" w:rsidRPr="00C36C8F" w:rsidTr="00FC6E50">
        <w:trPr>
          <w:cantSplit/>
        </w:trPr>
        <w:tc>
          <w:tcPr>
            <w:tcW w:w="1843" w:type="dxa"/>
            <w:vMerge/>
            <w:shd w:val="clear" w:color="auto" w:fill="auto"/>
            <w:tcMar>
              <w:left w:w="85" w:type="dxa"/>
              <w:right w:w="85" w:type="dxa"/>
            </w:tcMar>
          </w:tcPr>
          <w:p w:rsidR="00D14763" w:rsidRPr="00C36C8F" w:rsidRDefault="00D14763" w:rsidP="00E175A1">
            <w:pPr>
              <w:pStyle w:val="TableText"/>
              <w:keepNext/>
            </w:pPr>
          </w:p>
        </w:tc>
        <w:tc>
          <w:tcPr>
            <w:tcW w:w="3401" w:type="dxa"/>
            <w:tcBorders>
              <w:top w:val="single" w:sz="4" w:space="0" w:color="808080"/>
              <w:right w:val="single" w:sz="4" w:space="0" w:color="808080"/>
            </w:tcBorders>
            <w:shd w:val="clear" w:color="auto" w:fill="auto"/>
            <w:tcMar>
              <w:left w:w="85" w:type="dxa"/>
              <w:right w:w="85" w:type="dxa"/>
            </w:tcMar>
          </w:tcPr>
          <w:p w:rsidR="00D14763" w:rsidRPr="00C36C8F" w:rsidRDefault="00D14763" w:rsidP="00E175A1">
            <w:pPr>
              <w:pStyle w:val="TableText"/>
              <w:keepNext/>
              <w:rPr>
                <w:rFonts w:cs="HelveticaNeueLT Std Thin"/>
                <w:color w:val="000000"/>
                <w:szCs w:val="18"/>
              </w:rPr>
            </w:pPr>
            <w:r w:rsidRPr="00C36C8F">
              <w:rPr>
                <w:rFonts w:cs="HelveticaNeueLT Std Thin"/>
                <w:color w:val="000000"/>
                <w:szCs w:val="18"/>
              </w:rPr>
              <w:t>At least a 45% waste recovery rate in regional areas of populations greater than 25,000</w:t>
            </w:r>
          </w:p>
        </w:tc>
        <w:tc>
          <w:tcPr>
            <w:tcW w:w="3401" w:type="dxa"/>
            <w:vMerge/>
            <w:tcBorders>
              <w:top w:val="single" w:sz="4" w:space="0" w:color="808080"/>
              <w:lef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p>
        </w:tc>
      </w:tr>
      <w:tr w:rsidR="00D14763" w:rsidRPr="00C36C8F" w:rsidTr="00FC6E50">
        <w:trPr>
          <w:cantSplit/>
        </w:trPr>
        <w:tc>
          <w:tcPr>
            <w:tcW w:w="1843" w:type="dxa"/>
            <w:vMerge/>
            <w:shd w:val="clear" w:color="auto" w:fill="auto"/>
            <w:tcMar>
              <w:left w:w="85" w:type="dxa"/>
              <w:right w:w="85" w:type="dxa"/>
            </w:tcMar>
          </w:tcPr>
          <w:p w:rsidR="00D14763" w:rsidRPr="00C36C8F" w:rsidRDefault="00D14763" w:rsidP="00E175A1">
            <w:pPr>
              <w:pStyle w:val="TableText"/>
              <w:keepNext/>
            </w:pPr>
          </w:p>
        </w:tc>
        <w:tc>
          <w:tcPr>
            <w:tcW w:w="3401" w:type="dxa"/>
            <w:tcBorders>
              <w:top w:val="single" w:sz="4" w:space="0" w:color="808080"/>
              <w:righ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r w:rsidRPr="00C36C8F">
              <w:rPr>
                <w:rFonts w:cs="HelveticaNeueLT Std Thin"/>
                <w:color w:val="000000"/>
                <w:szCs w:val="18"/>
              </w:rPr>
              <w:t>C&amp;D waste recovery rate of 50% (up from 14% in 2006/07)</w:t>
            </w:r>
          </w:p>
        </w:tc>
        <w:tc>
          <w:tcPr>
            <w:tcW w:w="3401" w:type="dxa"/>
            <w:tcBorders>
              <w:top w:val="single" w:sz="4" w:space="0" w:color="808080"/>
              <w:lef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r w:rsidRPr="00C36C8F">
              <w:rPr>
                <w:rFonts w:cs="HelveticaNeueLT Std Thin"/>
                <w:color w:val="000000"/>
                <w:szCs w:val="18"/>
              </w:rPr>
              <w:t xml:space="preserve">C&amp;D waste recovery rate of 70% </w:t>
            </w:r>
          </w:p>
        </w:tc>
      </w:tr>
      <w:tr w:rsidR="00D14763" w:rsidRPr="00C36C8F" w:rsidTr="00FC6E50">
        <w:trPr>
          <w:cantSplit/>
        </w:trPr>
        <w:tc>
          <w:tcPr>
            <w:tcW w:w="1843" w:type="dxa"/>
            <w:vMerge/>
            <w:shd w:val="clear" w:color="auto" w:fill="auto"/>
            <w:tcMar>
              <w:left w:w="85" w:type="dxa"/>
              <w:right w:w="85" w:type="dxa"/>
            </w:tcMar>
          </w:tcPr>
          <w:p w:rsidR="00D14763" w:rsidRPr="00C36C8F" w:rsidRDefault="00D14763" w:rsidP="00E175A1">
            <w:pPr>
              <w:pStyle w:val="TableText"/>
              <w:keepNext/>
            </w:pPr>
          </w:p>
        </w:tc>
        <w:tc>
          <w:tcPr>
            <w:tcW w:w="3401" w:type="dxa"/>
            <w:tcBorders>
              <w:top w:val="single" w:sz="4" w:space="0" w:color="808080"/>
              <w:righ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r w:rsidRPr="00C36C8F">
              <w:rPr>
                <w:rFonts w:cs="HelveticaNeueLT Std Thin"/>
                <w:color w:val="000000"/>
                <w:szCs w:val="18"/>
              </w:rPr>
              <w:t xml:space="preserve">A commitment that C&amp;I waste resource recovery rates will continuously increase over the lifespan of the strategy. At least one facility for processing C&amp;I waste will be established by 2016 </w:t>
            </w:r>
          </w:p>
        </w:tc>
        <w:tc>
          <w:tcPr>
            <w:tcW w:w="3401" w:type="dxa"/>
            <w:tcBorders>
              <w:top w:val="single" w:sz="4" w:space="0" w:color="808080"/>
              <w:lef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r w:rsidRPr="00C36C8F">
              <w:rPr>
                <w:rFonts w:cs="HelveticaNeueLT Std Thin"/>
                <w:color w:val="000000"/>
                <w:szCs w:val="18"/>
              </w:rPr>
              <w:t>A commitment that C&amp;I waste resource recovery rates will continuously increase over the lifespan of the strategy. A second C&amp;I waste processing facility will be established by 2020</w:t>
            </w:r>
          </w:p>
        </w:tc>
      </w:tr>
      <w:tr w:rsidR="00D14763" w:rsidRPr="00C36C8F" w:rsidTr="00FC6E50">
        <w:trPr>
          <w:cantSplit/>
        </w:trPr>
        <w:tc>
          <w:tcPr>
            <w:tcW w:w="1843" w:type="dxa"/>
            <w:vMerge/>
            <w:shd w:val="clear" w:color="auto" w:fill="auto"/>
            <w:tcMar>
              <w:left w:w="85" w:type="dxa"/>
              <w:right w:w="85" w:type="dxa"/>
            </w:tcMar>
          </w:tcPr>
          <w:p w:rsidR="00D14763" w:rsidRPr="00C36C8F" w:rsidRDefault="00D14763" w:rsidP="00E175A1">
            <w:pPr>
              <w:pStyle w:val="TableText"/>
              <w:keepNext/>
            </w:pPr>
          </w:p>
        </w:tc>
        <w:tc>
          <w:tcPr>
            <w:tcW w:w="6802" w:type="dxa"/>
            <w:gridSpan w:val="2"/>
            <w:tcBorders>
              <w:top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r w:rsidRPr="00C36C8F">
              <w:rPr>
                <w:rFonts w:cs="HelveticaNeueLT Std Thin"/>
                <w:color w:val="000000"/>
                <w:szCs w:val="18"/>
              </w:rPr>
              <w:t>The Waste Authority will assist Local Government and Industry (with guidance from the EPA) to determine which forms of resource recovery are acceptable</w:t>
            </w:r>
          </w:p>
        </w:tc>
      </w:tr>
      <w:tr w:rsidR="00D14763" w:rsidRPr="00C36C8F" w:rsidTr="00FC6E50">
        <w:trPr>
          <w:cantSplit/>
        </w:trPr>
        <w:tc>
          <w:tcPr>
            <w:tcW w:w="1843" w:type="dxa"/>
            <w:vMerge w:val="restart"/>
            <w:shd w:val="clear" w:color="auto" w:fill="auto"/>
            <w:tcMar>
              <w:left w:w="85" w:type="dxa"/>
              <w:right w:w="85" w:type="dxa"/>
            </w:tcMar>
          </w:tcPr>
          <w:p w:rsidR="00D14763" w:rsidRPr="00C36C8F" w:rsidRDefault="00D14763" w:rsidP="00E175A1">
            <w:pPr>
              <w:pStyle w:val="TableText"/>
              <w:keepNext/>
            </w:pPr>
            <w:r w:rsidRPr="00C36C8F">
              <w:t>Waste disposal</w:t>
            </w:r>
          </w:p>
        </w:tc>
        <w:tc>
          <w:tcPr>
            <w:tcW w:w="3401" w:type="dxa"/>
            <w:tcBorders>
              <w:top w:val="single" w:sz="4" w:space="0" w:color="808080"/>
              <w:right w:val="single" w:sz="4" w:space="0" w:color="808080"/>
            </w:tcBorders>
            <w:shd w:val="clear" w:color="auto" w:fill="auto"/>
            <w:tcMar>
              <w:left w:w="85" w:type="dxa"/>
              <w:right w:w="85" w:type="dxa"/>
            </w:tcMar>
          </w:tcPr>
          <w:p w:rsidR="00D14763" w:rsidRPr="00C36C8F" w:rsidRDefault="00D14763" w:rsidP="00E175A1">
            <w:pPr>
              <w:pStyle w:val="TableText"/>
              <w:keepNext/>
            </w:pPr>
            <w:r w:rsidRPr="00C36C8F">
              <w:t>2011 Target / outcome</w:t>
            </w:r>
          </w:p>
        </w:tc>
        <w:tc>
          <w:tcPr>
            <w:tcW w:w="3401" w:type="dxa"/>
            <w:tcBorders>
              <w:top w:val="single" w:sz="4" w:space="0" w:color="808080"/>
              <w:left w:val="single" w:sz="4" w:space="0" w:color="808080"/>
            </w:tcBorders>
            <w:shd w:val="clear" w:color="auto" w:fill="auto"/>
            <w:tcMar>
              <w:left w:w="85" w:type="dxa"/>
              <w:right w:w="85" w:type="dxa"/>
            </w:tcMar>
          </w:tcPr>
          <w:p w:rsidR="00D14763" w:rsidRPr="00C36C8F" w:rsidRDefault="00D14763" w:rsidP="00E175A1">
            <w:pPr>
              <w:pStyle w:val="TableText"/>
              <w:keepNext/>
            </w:pPr>
            <w:r w:rsidRPr="00C36C8F">
              <w:t>2015 Target / outcome</w:t>
            </w:r>
          </w:p>
        </w:tc>
      </w:tr>
      <w:tr w:rsidR="00D14763" w:rsidRPr="00C36C8F" w:rsidTr="00FC6E50">
        <w:trPr>
          <w:cantSplit/>
        </w:trPr>
        <w:tc>
          <w:tcPr>
            <w:tcW w:w="1843" w:type="dxa"/>
            <w:vMerge/>
            <w:shd w:val="clear" w:color="auto" w:fill="auto"/>
            <w:tcMar>
              <w:left w:w="85" w:type="dxa"/>
              <w:right w:w="85" w:type="dxa"/>
            </w:tcMar>
          </w:tcPr>
          <w:p w:rsidR="00D14763" w:rsidRPr="00C36C8F" w:rsidRDefault="00D14763" w:rsidP="00E175A1">
            <w:pPr>
              <w:pStyle w:val="TableText"/>
              <w:keepNext/>
            </w:pPr>
          </w:p>
        </w:tc>
        <w:tc>
          <w:tcPr>
            <w:tcW w:w="3401" w:type="dxa"/>
            <w:vMerge w:val="restart"/>
            <w:tcBorders>
              <w:top w:val="single" w:sz="4" w:space="0" w:color="808080"/>
              <w:righ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r w:rsidRPr="00C36C8F">
              <w:rPr>
                <w:rFonts w:cs="HelveticaNeueLT Std Thin"/>
                <w:color w:val="000000"/>
                <w:szCs w:val="18"/>
              </w:rPr>
              <w:t>All landfills servicing metropolitan Perth will be operating to appropriate standards</w:t>
            </w:r>
          </w:p>
        </w:tc>
        <w:tc>
          <w:tcPr>
            <w:tcW w:w="3401" w:type="dxa"/>
            <w:tcBorders>
              <w:top w:val="single" w:sz="4" w:space="0" w:color="808080"/>
              <w:left w:val="single" w:sz="4" w:space="0" w:color="808080"/>
            </w:tcBorders>
            <w:shd w:val="clear" w:color="auto" w:fill="auto"/>
            <w:tcMar>
              <w:left w:w="85" w:type="dxa"/>
              <w:right w:w="85" w:type="dxa"/>
            </w:tcMar>
          </w:tcPr>
          <w:p w:rsidR="00D14763" w:rsidRPr="00C36C8F" w:rsidRDefault="00D14763" w:rsidP="00E175A1">
            <w:pPr>
              <w:pStyle w:val="TableText"/>
              <w:keepNext/>
              <w:rPr>
                <w:szCs w:val="18"/>
              </w:rPr>
            </w:pPr>
            <w:r w:rsidRPr="00C36C8F">
              <w:rPr>
                <w:rFonts w:cs="HelveticaNeueLT Std Thin"/>
                <w:color w:val="000000"/>
                <w:szCs w:val="18"/>
              </w:rPr>
              <w:t>All landfills servicing regional areas</w:t>
            </w:r>
            <w:r w:rsidRPr="00C36C8F">
              <w:rPr>
                <w:szCs w:val="18"/>
              </w:rPr>
              <w:t xml:space="preserve"> </w:t>
            </w:r>
            <w:r w:rsidRPr="00C36C8F">
              <w:rPr>
                <w:rFonts w:cs="HelveticaNeueLT Std Thin"/>
                <w:color w:val="000000"/>
                <w:szCs w:val="18"/>
              </w:rPr>
              <w:t>with a population greater than 25,000 will be operating to existing standards consistent with those used by larger landfills in WA. Those not complying to these standards will be closed if they lie within a 100km radius of a landfill that does</w:t>
            </w:r>
            <w:r w:rsidR="00DA4D44" w:rsidRPr="00C36C8F">
              <w:rPr>
                <w:rFonts w:cs="HelveticaNeueLT Std Thin"/>
                <w:color w:val="000000"/>
                <w:szCs w:val="18"/>
              </w:rPr>
              <w:t xml:space="preserve"> meet the agreed standards. Non-</w:t>
            </w:r>
            <w:r w:rsidRPr="00C36C8F">
              <w:rPr>
                <w:rFonts w:cs="HelveticaNeueLT Std Thin"/>
                <w:color w:val="000000"/>
                <w:szCs w:val="18"/>
              </w:rPr>
              <w:t>compliant sites will be replaced with transfer stations</w:t>
            </w:r>
          </w:p>
        </w:tc>
      </w:tr>
      <w:tr w:rsidR="00D14763" w:rsidRPr="00C36C8F" w:rsidTr="00FC6E50">
        <w:trPr>
          <w:cantSplit/>
        </w:trPr>
        <w:tc>
          <w:tcPr>
            <w:tcW w:w="1843" w:type="dxa"/>
            <w:vMerge/>
            <w:shd w:val="clear" w:color="auto" w:fill="auto"/>
            <w:tcMar>
              <w:left w:w="85" w:type="dxa"/>
              <w:right w:w="85" w:type="dxa"/>
            </w:tcMar>
          </w:tcPr>
          <w:p w:rsidR="00D14763" w:rsidRPr="00C36C8F" w:rsidRDefault="00D14763" w:rsidP="00BE69D2">
            <w:pPr>
              <w:pStyle w:val="TableText"/>
            </w:pPr>
          </w:p>
        </w:tc>
        <w:tc>
          <w:tcPr>
            <w:tcW w:w="3401" w:type="dxa"/>
            <w:vMerge/>
            <w:tcBorders>
              <w:top w:val="single" w:sz="4" w:space="0" w:color="808080"/>
              <w:right w:val="single" w:sz="4" w:space="0" w:color="808080"/>
            </w:tcBorders>
            <w:shd w:val="clear" w:color="auto" w:fill="auto"/>
            <w:tcMar>
              <w:left w:w="85" w:type="dxa"/>
              <w:right w:w="85" w:type="dxa"/>
            </w:tcMar>
          </w:tcPr>
          <w:p w:rsidR="00D14763" w:rsidRPr="00C36C8F" w:rsidRDefault="00D14763" w:rsidP="00BE69D2">
            <w:pPr>
              <w:pStyle w:val="TableText"/>
              <w:rPr>
                <w:szCs w:val="18"/>
              </w:rPr>
            </w:pPr>
          </w:p>
        </w:tc>
        <w:tc>
          <w:tcPr>
            <w:tcW w:w="3401" w:type="dxa"/>
            <w:tcBorders>
              <w:top w:val="single" w:sz="4" w:space="0" w:color="808080"/>
              <w:left w:val="single" w:sz="4" w:space="0" w:color="808080"/>
            </w:tcBorders>
            <w:shd w:val="clear" w:color="auto" w:fill="auto"/>
            <w:tcMar>
              <w:left w:w="85" w:type="dxa"/>
              <w:right w:w="85" w:type="dxa"/>
            </w:tcMar>
          </w:tcPr>
          <w:p w:rsidR="00D14763" w:rsidRPr="00C36C8F" w:rsidRDefault="00D14763" w:rsidP="00BE69D2">
            <w:pPr>
              <w:pStyle w:val="TableText"/>
              <w:rPr>
                <w:szCs w:val="18"/>
              </w:rPr>
            </w:pPr>
            <w:r w:rsidRPr="00C36C8F">
              <w:rPr>
                <w:rFonts w:cs="HelveticaNeueLT Std Thin"/>
                <w:color w:val="000000"/>
                <w:szCs w:val="18"/>
              </w:rPr>
              <w:t>Residual waste from all regions with a population of less than 25,000 will be managed in accordance with a local or regional strategic waste management plan</w:t>
            </w:r>
          </w:p>
        </w:tc>
      </w:tr>
    </w:tbl>
    <w:p w:rsidR="00D14763" w:rsidRPr="00C36C8F" w:rsidRDefault="00D14763" w:rsidP="009B3DDD">
      <w:pPr>
        <w:pStyle w:val="Heading40"/>
        <w:spacing w:before="0"/>
        <w:jc w:val="both"/>
      </w:pPr>
      <w:r w:rsidRPr="00C36C8F">
        <w:t>Landfill levy</w:t>
      </w:r>
    </w:p>
    <w:p w:rsidR="00D14763" w:rsidRPr="00C36C8F" w:rsidRDefault="00D14763" w:rsidP="009B3DDD">
      <w:pPr>
        <w:pStyle w:val="ParaIndent"/>
        <w:keepNext/>
        <w:keepLines/>
        <w:jc w:val="both"/>
      </w:pPr>
      <w:r w:rsidRPr="00C36C8F">
        <w:t>The landfill levy, introduced in 1998, applies to waste generated within metropolitan Perth and wastes disposed at landfill sites within the metropolitan area. The levy acts to increase the price of landfill compared with recovery options in order to make the latter more cost effective, and to provide resources for strategic programs. The funds generated by the levy are hypothecated for programs in the areas of management, reduction, re</w:t>
      </w:r>
      <w:r w:rsidR="000A1612" w:rsidRPr="00C36C8F">
        <w:t>-</w:t>
      </w:r>
      <w:r w:rsidRPr="00C36C8F">
        <w:t>use, recycling, monitoring or measurement of waste. Legislation requires a minimum 25% of the forecast levy income must be spent on the implementation of the Waste Strategy.</w:t>
      </w:r>
    </w:p>
    <w:p w:rsidR="00D14763" w:rsidRPr="00C36C8F" w:rsidRDefault="00D14763" w:rsidP="009B3DDD">
      <w:pPr>
        <w:pStyle w:val="ParaIndent"/>
        <w:jc w:val="both"/>
      </w:pPr>
      <w:r w:rsidRPr="00C36C8F">
        <w:t xml:space="preserve">The </w:t>
      </w:r>
      <w:r w:rsidRPr="00C36C8F">
        <w:rPr>
          <w:i/>
        </w:rPr>
        <w:t>Waste Avoidance and Resource Recovery Levy Regulations</w:t>
      </w:r>
      <w:r w:rsidRPr="00C36C8F">
        <w:t xml:space="preserve"> 2008 (WARR Levy Regulations) outline</w:t>
      </w:r>
      <w:r w:rsidR="009507A5" w:rsidRPr="00C36C8F">
        <w:t>s</w:t>
      </w:r>
      <w:r w:rsidRPr="00C36C8F">
        <w:t xml:space="preserve"> the levy requirements for the disposal of waste to landfill.</w:t>
      </w:r>
    </w:p>
    <w:p w:rsidR="00D14763" w:rsidRPr="00C36C8F" w:rsidRDefault="00D14763" w:rsidP="009B3DDD">
      <w:pPr>
        <w:pStyle w:val="ParaIndent"/>
        <w:jc w:val="both"/>
      </w:pPr>
      <w:r w:rsidRPr="00C36C8F">
        <w:t xml:space="preserve">Simplified guidance on the WARR Levy Regulations and levy calculation is available in a document called </w:t>
      </w:r>
      <w:r w:rsidRPr="00C36C8F">
        <w:rPr>
          <w:i/>
        </w:rPr>
        <w:t>Waste Avoidance and Resource Recovery Levy Regulations Administration Policy 2009</w:t>
      </w:r>
      <w:r w:rsidRPr="00C36C8F">
        <w:t xml:space="preserve"> (The Administration Policy). </w:t>
      </w:r>
    </w:p>
    <w:p w:rsidR="00D14763" w:rsidRPr="00C36C8F" w:rsidRDefault="00D14763" w:rsidP="009B3DDD">
      <w:pPr>
        <w:pStyle w:val="ParaIndent"/>
        <w:jc w:val="both"/>
      </w:pPr>
      <w:r w:rsidRPr="00C36C8F">
        <w:t xml:space="preserve">The Administration Policy outlines the landfill levy calculation equations for inert and putrescible landfill waste disposal. A summary of per unit costs </w:t>
      </w:r>
      <w:r w:rsidR="009507A5" w:rsidRPr="00C36C8F">
        <w:t>is</w:t>
      </w:r>
      <w:r w:rsidRPr="00C36C8F">
        <w:t xml:space="preserve"> provided in </w:t>
      </w:r>
      <w:fldSimple w:instr=" REF _Ref283644017 \h  \* MERGEFORMAT ">
        <w:r w:rsidR="00AE7E3B" w:rsidRPr="00C36C8F">
          <w:t xml:space="preserve">Table </w:t>
        </w:r>
        <w:r w:rsidR="00AE7E3B">
          <w:rPr>
            <w:noProof/>
          </w:rPr>
          <w:t>6</w:t>
        </w:r>
        <w:r w:rsidR="00AE7E3B" w:rsidRPr="00C36C8F">
          <w:rPr>
            <w:noProof/>
          </w:rPr>
          <w:t>-</w:t>
        </w:r>
        <w:r w:rsidR="00AE7E3B">
          <w:rPr>
            <w:noProof/>
          </w:rPr>
          <w:t>64</w:t>
        </w:r>
      </w:fldSimple>
      <w:r w:rsidRPr="00C36C8F">
        <w:t xml:space="preserve">. The per unit landfill levy cost is part of a more complex calculation of the landfill levy payable by a site. </w:t>
      </w:r>
    </w:p>
    <w:p w:rsidR="00D14763" w:rsidRPr="00C36C8F" w:rsidRDefault="00D14763" w:rsidP="00D14763">
      <w:pPr>
        <w:pStyle w:val="Caption"/>
      </w:pPr>
      <w:bookmarkStart w:id="269" w:name="_Ref283644017"/>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64</w:t>
      </w:r>
      <w:r w:rsidR="00B9555F" w:rsidRPr="00C36C8F">
        <w:rPr>
          <w:noProof/>
        </w:rPr>
        <w:fldChar w:fldCharType="end"/>
      </w:r>
      <w:bookmarkEnd w:id="269"/>
      <w:r w:rsidRPr="00C36C8F">
        <w:tab/>
        <w:t>Western Australia levy</w:t>
      </w:r>
    </w:p>
    <w:tbl>
      <w:tblPr>
        <w:tblW w:w="8504" w:type="dxa"/>
        <w:tblInd w:w="1191" w:type="dxa"/>
        <w:tblBorders>
          <w:bottom w:val="single" w:sz="18" w:space="0" w:color="808080"/>
          <w:insideH w:val="single" w:sz="4" w:space="0" w:color="808080"/>
        </w:tblBorders>
        <w:tblLayout w:type="fixed"/>
        <w:tblCellMar>
          <w:left w:w="0" w:type="dxa"/>
          <w:right w:w="0" w:type="dxa"/>
        </w:tblCellMar>
        <w:tblLook w:val="0000"/>
      </w:tblPr>
      <w:tblGrid>
        <w:gridCol w:w="3685"/>
        <w:gridCol w:w="4819"/>
      </w:tblGrid>
      <w:tr w:rsidR="00D14763" w:rsidRPr="00C36C8F" w:rsidTr="00BE69D2">
        <w:trPr>
          <w:cantSplit/>
        </w:trPr>
        <w:tc>
          <w:tcPr>
            <w:tcW w:w="3685" w:type="dxa"/>
            <w:tcBorders>
              <w:bottom w:val="single" w:sz="4" w:space="0" w:color="808080"/>
            </w:tcBorders>
            <w:shd w:val="clear" w:color="auto" w:fill="auto"/>
          </w:tcPr>
          <w:p w:rsidR="00D14763" w:rsidRPr="00C36C8F" w:rsidRDefault="00D14763" w:rsidP="00F67C08">
            <w:pPr>
              <w:pStyle w:val="TableHeading"/>
            </w:pPr>
            <w:r w:rsidRPr="00C36C8F">
              <w:t xml:space="preserve">Levy per cubic metre </w:t>
            </w:r>
            <w:r w:rsidR="00F67C08" w:rsidRPr="00C36C8F">
              <w:t>–</w:t>
            </w:r>
            <w:r w:rsidRPr="00C36C8F">
              <w:t xml:space="preserve"> Inert landfills</w:t>
            </w:r>
          </w:p>
        </w:tc>
        <w:tc>
          <w:tcPr>
            <w:tcW w:w="4819" w:type="dxa"/>
            <w:tcBorders>
              <w:bottom w:val="single" w:sz="4" w:space="0" w:color="808080"/>
            </w:tcBorders>
            <w:shd w:val="clear" w:color="auto" w:fill="auto"/>
          </w:tcPr>
          <w:p w:rsidR="00D14763" w:rsidRPr="00C36C8F" w:rsidRDefault="00D14763" w:rsidP="00F67C08">
            <w:pPr>
              <w:pStyle w:val="TableHeading"/>
            </w:pPr>
            <w:r w:rsidRPr="00C36C8F">
              <w:t xml:space="preserve">Levy per tonne </w:t>
            </w:r>
            <w:r w:rsidR="00F67C08" w:rsidRPr="00C36C8F">
              <w:t>–</w:t>
            </w:r>
            <w:r w:rsidRPr="00C36C8F">
              <w:t xml:space="preserve"> Putrescible landfills</w:t>
            </w:r>
          </w:p>
        </w:tc>
      </w:tr>
      <w:tr w:rsidR="00D14763" w:rsidRPr="00C36C8F" w:rsidTr="00BE69D2">
        <w:trPr>
          <w:cantSplit/>
        </w:trPr>
        <w:tc>
          <w:tcPr>
            <w:tcW w:w="3685" w:type="dxa"/>
            <w:vMerge w:val="restart"/>
            <w:tcBorders>
              <w:top w:val="single" w:sz="4" w:space="0" w:color="808080"/>
              <w:bottom w:val="single" w:sz="4" w:space="0" w:color="808080"/>
            </w:tcBorders>
          </w:tcPr>
          <w:p w:rsidR="00D14763" w:rsidRPr="00C36C8F" w:rsidRDefault="00D14763" w:rsidP="00BE69D2">
            <w:pPr>
              <w:pStyle w:val="TableText"/>
            </w:pPr>
            <w:r w:rsidRPr="00C36C8F">
              <w:t>$12 / cubic metre</w:t>
            </w:r>
          </w:p>
        </w:tc>
        <w:tc>
          <w:tcPr>
            <w:tcW w:w="4819" w:type="dxa"/>
            <w:tcBorders>
              <w:top w:val="single" w:sz="4" w:space="0" w:color="808080"/>
              <w:bottom w:val="single" w:sz="4" w:space="0" w:color="808080"/>
            </w:tcBorders>
          </w:tcPr>
          <w:p w:rsidR="00D14763" w:rsidRPr="00C36C8F" w:rsidRDefault="00D14763" w:rsidP="00F67C08">
            <w:pPr>
              <w:pStyle w:val="TableText"/>
            </w:pPr>
            <w:r w:rsidRPr="00C36C8F">
              <w:t>October 1, 2006 – June 30, 2008</w:t>
            </w:r>
            <w:r w:rsidR="00F67C08" w:rsidRPr="00C36C8F">
              <w:t>,</w:t>
            </w:r>
            <w:r w:rsidRPr="00C36C8F">
              <w:t xml:space="preserve"> $6 / tonne</w:t>
            </w:r>
          </w:p>
        </w:tc>
      </w:tr>
      <w:tr w:rsidR="00D14763" w:rsidRPr="00C36C8F" w:rsidTr="00BE69D2">
        <w:trPr>
          <w:cantSplit/>
        </w:trPr>
        <w:tc>
          <w:tcPr>
            <w:tcW w:w="3685" w:type="dxa"/>
            <w:vMerge/>
            <w:tcBorders>
              <w:top w:val="single" w:sz="4" w:space="0" w:color="808080"/>
              <w:bottom w:val="single" w:sz="4" w:space="0" w:color="808080"/>
            </w:tcBorders>
          </w:tcPr>
          <w:p w:rsidR="00D14763" w:rsidRPr="00C36C8F" w:rsidRDefault="00D14763" w:rsidP="00BE69D2">
            <w:pPr>
              <w:pStyle w:val="TableText"/>
            </w:pPr>
          </w:p>
        </w:tc>
        <w:tc>
          <w:tcPr>
            <w:tcW w:w="4819" w:type="dxa"/>
            <w:tcBorders>
              <w:top w:val="single" w:sz="4" w:space="0" w:color="808080"/>
              <w:bottom w:val="single" w:sz="4" w:space="0" w:color="808080"/>
            </w:tcBorders>
          </w:tcPr>
          <w:p w:rsidR="00D14763" w:rsidRPr="00C36C8F" w:rsidRDefault="00D14763" w:rsidP="00F67C08">
            <w:pPr>
              <w:pStyle w:val="TableText"/>
            </w:pPr>
            <w:r w:rsidRPr="00C36C8F">
              <w:t>July 1, 2008 – June 30, 2009</w:t>
            </w:r>
            <w:r w:rsidR="00F67C08" w:rsidRPr="00C36C8F">
              <w:t>,</w:t>
            </w:r>
            <w:r w:rsidR="00690F1F" w:rsidRPr="00C36C8F">
              <w:t xml:space="preserve"> </w:t>
            </w:r>
            <w:r w:rsidRPr="00C36C8F">
              <w:t>$7 / tonne</w:t>
            </w:r>
          </w:p>
        </w:tc>
      </w:tr>
      <w:tr w:rsidR="00D14763" w:rsidRPr="00C36C8F" w:rsidTr="00BE69D2">
        <w:trPr>
          <w:cantSplit/>
        </w:trPr>
        <w:tc>
          <w:tcPr>
            <w:tcW w:w="3685" w:type="dxa"/>
            <w:vMerge/>
            <w:tcBorders>
              <w:top w:val="single" w:sz="4" w:space="0" w:color="808080"/>
              <w:bottom w:val="single" w:sz="4" w:space="0" w:color="808080"/>
            </w:tcBorders>
          </w:tcPr>
          <w:p w:rsidR="00D14763" w:rsidRPr="00C36C8F" w:rsidRDefault="00D14763" w:rsidP="00BE69D2">
            <w:pPr>
              <w:pStyle w:val="TableText"/>
            </w:pPr>
          </w:p>
        </w:tc>
        <w:tc>
          <w:tcPr>
            <w:tcW w:w="4819" w:type="dxa"/>
            <w:tcBorders>
              <w:top w:val="single" w:sz="4" w:space="0" w:color="808080"/>
              <w:bottom w:val="single" w:sz="4" w:space="0" w:color="808080"/>
            </w:tcBorders>
          </w:tcPr>
          <w:p w:rsidR="00D14763" w:rsidRPr="00C36C8F" w:rsidRDefault="00D14763" w:rsidP="00F67C08">
            <w:pPr>
              <w:pStyle w:val="TableText"/>
            </w:pPr>
            <w:r w:rsidRPr="00C36C8F">
              <w:t>July 1, 2009 – December 31, 2009</w:t>
            </w:r>
            <w:r w:rsidR="00F67C08" w:rsidRPr="00C36C8F">
              <w:t>:</w:t>
            </w:r>
            <w:r w:rsidRPr="00C36C8F">
              <w:t xml:space="preserve"> $8 / tonne</w:t>
            </w:r>
          </w:p>
        </w:tc>
      </w:tr>
      <w:tr w:rsidR="00D14763" w:rsidRPr="00C36C8F" w:rsidTr="00BE69D2">
        <w:trPr>
          <w:cantSplit/>
        </w:trPr>
        <w:tc>
          <w:tcPr>
            <w:tcW w:w="3685" w:type="dxa"/>
            <w:vMerge/>
            <w:tcBorders>
              <w:top w:val="single" w:sz="4" w:space="0" w:color="808080"/>
              <w:bottom w:val="single" w:sz="4" w:space="0" w:color="808080"/>
            </w:tcBorders>
          </w:tcPr>
          <w:p w:rsidR="00D14763" w:rsidRPr="00C36C8F" w:rsidRDefault="00D14763" w:rsidP="00BE69D2">
            <w:pPr>
              <w:pStyle w:val="TableText"/>
            </w:pPr>
          </w:p>
        </w:tc>
        <w:tc>
          <w:tcPr>
            <w:tcW w:w="4819" w:type="dxa"/>
            <w:tcBorders>
              <w:top w:val="single" w:sz="4" w:space="0" w:color="808080"/>
              <w:bottom w:val="single" w:sz="4" w:space="0" w:color="808080"/>
            </w:tcBorders>
          </w:tcPr>
          <w:p w:rsidR="00D14763" w:rsidRPr="00C36C8F" w:rsidRDefault="00D14763" w:rsidP="00F67C08">
            <w:pPr>
              <w:pStyle w:val="TableText"/>
            </w:pPr>
            <w:r w:rsidRPr="00C36C8F">
              <w:t>January 1, 2010 – onwards</w:t>
            </w:r>
            <w:r w:rsidR="00F67C08" w:rsidRPr="00C36C8F">
              <w:t>,</w:t>
            </w:r>
            <w:r w:rsidRPr="00C36C8F">
              <w:t xml:space="preserve"> $28 / tonne</w:t>
            </w:r>
          </w:p>
        </w:tc>
      </w:tr>
    </w:tbl>
    <w:p w:rsidR="009B3DDD" w:rsidRPr="00C36C8F" w:rsidRDefault="009B3DDD" w:rsidP="009B3DDD">
      <w:pPr>
        <w:pStyle w:val="Heading40"/>
        <w:spacing w:before="0"/>
        <w:jc w:val="both"/>
      </w:pPr>
    </w:p>
    <w:p w:rsidR="00D14763" w:rsidRPr="00C36C8F" w:rsidRDefault="00D14763" w:rsidP="009B3DDD">
      <w:pPr>
        <w:pStyle w:val="Heading40"/>
        <w:spacing w:before="0"/>
        <w:jc w:val="both"/>
      </w:pPr>
      <w:r w:rsidRPr="00C36C8F">
        <w:t>Extended producer responsibility (EPR)</w:t>
      </w:r>
    </w:p>
    <w:p w:rsidR="00D14763" w:rsidRPr="00C36C8F" w:rsidRDefault="00D14763" w:rsidP="009B3DDD">
      <w:pPr>
        <w:pStyle w:val="ParaIndent"/>
        <w:jc w:val="both"/>
      </w:pPr>
      <w:r w:rsidRPr="00C36C8F">
        <w:t xml:space="preserve">In June 2005, the Western Australian Government released its </w:t>
      </w:r>
      <w:r w:rsidRPr="00C36C8F">
        <w:rPr>
          <w:i/>
        </w:rPr>
        <w:t>Extended Producer Responsibility Policy Statement</w:t>
      </w:r>
      <w:r w:rsidRPr="00C36C8F">
        <w:t xml:space="preserve"> (the Statement). The Statement outlines the Government’s commitment to EPR and how it will be applied in Western Australia. This was further reinforced by the inclusion of EPR in the </w:t>
      </w:r>
      <w:r w:rsidRPr="00C36C8F">
        <w:rPr>
          <w:i/>
        </w:rPr>
        <w:t>Waste Avoidance and Resource Recovery Act 2007</w:t>
      </w:r>
      <w:r w:rsidRPr="00C36C8F">
        <w:t>. To ensure implementation of EPR programs, the Draft II Strategy has identified the following ‘problem wastes’ as priorities for product stewardship schemes: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packaging and containers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glass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domestic ha</w:t>
      </w:r>
      <w:r w:rsidR="00F77479" w:rsidRPr="00C36C8F">
        <w:t>zardous materials and products</w:t>
      </w:r>
      <w:r w:rsidRPr="00C36C8F">
        <w:t xml:space="preserve"> containing hazardous materials, including chemicals, paint, fluorescent lights and batteries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electronic waste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tyres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mattresses</w:t>
      </w:r>
    </w:p>
    <w:p w:rsidR="00D14763" w:rsidRPr="00C36C8F" w:rsidRDefault="002B559B" w:rsidP="009B3DDD">
      <w:pPr>
        <w:pStyle w:val="BulletPoints"/>
        <w:tabs>
          <w:tab w:val="clear" w:pos="567"/>
          <w:tab w:val="left" w:pos="1134"/>
          <w:tab w:val="num" w:pos="1701"/>
          <w:tab w:val="left" w:pos="2268"/>
        </w:tabs>
        <w:spacing w:after="180"/>
        <w:ind w:left="1701"/>
        <w:jc w:val="both"/>
      </w:pPr>
      <w:r w:rsidRPr="00C36C8F">
        <w:t>used oil</w:t>
      </w:r>
      <w:r w:rsidR="00F77479" w:rsidRPr="00C36C8F">
        <w:t>.</w:t>
      </w:r>
    </w:p>
    <w:p w:rsidR="00D14763" w:rsidRPr="00C36C8F" w:rsidRDefault="00D14763" w:rsidP="00E175A1">
      <w:pPr>
        <w:pStyle w:val="Heading40"/>
      </w:pPr>
      <w:r w:rsidRPr="00C36C8F">
        <w:t>Programs</w:t>
      </w:r>
    </w:p>
    <w:p w:rsidR="00D14763" w:rsidRPr="00C36C8F" w:rsidRDefault="00D14763" w:rsidP="00F77479">
      <w:pPr>
        <w:pStyle w:val="ParaIndent"/>
        <w:keepNext/>
        <w:spacing w:after="120"/>
        <w:jc w:val="both"/>
      </w:pPr>
      <w:r w:rsidRPr="00C36C8F">
        <w:t xml:space="preserve">A range of programs are identified on the ZeroWaste WA website. These are </w:t>
      </w:r>
      <w:r w:rsidR="009507A5" w:rsidRPr="00C36C8F">
        <w:t xml:space="preserve">summarised </w:t>
      </w:r>
      <w:r w:rsidRPr="00C36C8F">
        <w:t xml:space="preserve">in </w:t>
      </w:r>
      <w:r w:rsidR="00B9555F" w:rsidRPr="00C36C8F">
        <w:fldChar w:fldCharType="begin"/>
      </w:r>
      <w:r w:rsidRPr="00C36C8F">
        <w:instrText xml:space="preserve"> REF _Ref283644129 \h </w:instrText>
      </w:r>
      <w:r w:rsidR="00B9555F" w:rsidRPr="00C36C8F">
        <w:fldChar w:fldCharType="separate"/>
      </w:r>
      <w:r w:rsidR="00AE7E3B" w:rsidRPr="00C36C8F">
        <w:t xml:space="preserve">Table </w:t>
      </w:r>
      <w:r w:rsidR="00AE7E3B">
        <w:rPr>
          <w:noProof/>
        </w:rPr>
        <w:t>6</w:t>
      </w:r>
      <w:r w:rsidR="00AE7E3B" w:rsidRPr="00C36C8F">
        <w:t>-</w:t>
      </w:r>
      <w:r w:rsidR="00AE7E3B">
        <w:rPr>
          <w:noProof/>
        </w:rPr>
        <w:t>65</w:t>
      </w:r>
      <w:r w:rsidR="00B9555F" w:rsidRPr="00C36C8F">
        <w:fldChar w:fldCharType="end"/>
      </w:r>
      <w:r w:rsidRPr="00C36C8F">
        <w:t>.</w:t>
      </w:r>
    </w:p>
    <w:p w:rsidR="00D14763" w:rsidRPr="00C36C8F" w:rsidRDefault="00D14763" w:rsidP="00D14763">
      <w:pPr>
        <w:pStyle w:val="Caption"/>
      </w:pPr>
      <w:bookmarkStart w:id="270" w:name="_Ref283644129"/>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65</w:t>
      </w:r>
      <w:r w:rsidR="00B9555F" w:rsidRPr="00C36C8F">
        <w:rPr>
          <w:noProof/>
        </w:rPr>
        <w:fldChar w:fldCharType="end"/>
      </w:r>
      <w:bookmarkEnd w:id="270"/>
      <w:r w:rsidRPr="00C36C8F">
        <w:tab/>
        <w:t>Other Western Australia programs of interest</w:t>
      </w:r>
    </w:p>
    <w:tbl>
      <w:tblPr>
        <w:tblW w:w="4412" w:type="pct"/>
        <w:tblInd w:w="1134" w:type="dxa"/>
        <w:tblBorders>
          <w:bottom w:val="single" w:sz="18" w:space="0" w:color="808080"/>
          <w:insideH w:val="single" w:sz="4" w:space="0" w:color="808080"/>
        </w:tblBorders>
        <w:tblLayout w:type="fixed"/>
        <w:tblCellMar>
          <w:left w:w="0" w:type="dxa"/>
          <w:right w:w="0" w:type="dxa"/>
        </w:tblCellMar>
        <w:tblLook w:val="0000"/>
      </w:tblPr>
      <w:tblGrid>
        <w:gridCol w:w="2091"/>
        <w:gridCol w:w="6414"/>
      </w:tblGrid>
      <w:tr w:rsidR="00D14763" w:rsidRPr="00C36C8F" w:rsidTr="00BE69D2">
        <w:trPr>
          <w:cantSplit/>
          <w:tblHeader/>
        </w:trPr>
        <w:tc>
          <w:tcPr>
            <w:tcW w:w="1229" w:type="pct"/>
            <w:shd w:val="clear" w:color="auto" w:fill="auto"/>
          </w:tcPr>
          <w:p w:rsidR="00D14763" w:rsidRPr="00C36C8F" w:rsidRDefault="00D14763" w:rsidP="00E175A1">
            <w:pPr>
              <w:pStyle w:val="TableHeading"/>
              <w:rPr>
                <w:szCs w:val="18"/>
              </w:rPr>
            </w:pPr>
            <w:r w:rsidRPr="00C36C8F">
              <w:rPr>
                <w:szCs w:val="18"/>
              </w:rPr>
              <w:t>Title</w:t>
            </w:r>
          </w:p>
        </w:tc>
        <w:tc>
          <w:tcPr>
            <w:tcW w:w="3771" w:type="pct"/>
            <w:shd w:val="clear" w:color="auto" w:fill="auto"/>
          </w:tcPr>
          <w:p w:rsidR="00D14763" w:rsidRPr="00C36C8F" w:rsidRDefault="00D14763" w:rsidP="00E175A1">
            <w:pPr>
              <w:pStyle w:val="TableHeading"/>
              <w:rPr>
                <w:szCs w:val="18"/>
              </w:rPr>
            </w:pPr>
            <w:r w:rsidRPr="00C36C8F">
              <w:rPr>
                <w:szCs w:val="18"/>
              </w:rPr>
              <w:t>Details</w:t>
            </w:r>
          </w:p>
        </w:tc>
      </w:tr>
      <w:tr w:rsidR="00D14763" w:rsidRPr="00C36C8F" w:rsidTr="00BE69D2">
        <w:trPr>
          <w:cantSplit/>
        </w:trPr>
        <w:tc>
          <w:tcPr>
            <w:tcW w:w="1229" w:type="pct"/>
          </w:tcPr>
          <w:p w:rsidR="00D14763" w:rsidRPr="00C36C8F" w:rsidRDefault="00D14763" w:rsidP="00E175A1">
            <w:pPr>
              <w:pStyle w:val="TableText"/>
              <w:keepNext/>
              <w:rPr>
                <w:szCs w:val="18"/>
              </w:rPr>
            </w:pPr>
            <w:r w:rsidRPr="00C36C8F">
              <w:rPr>
                <w:i/>
                <w:szCs w:val="18"/>
              </w:rPr>
              <w:t>Zero Waste Plan Development Scheme</w:t>
            </w:r>
            <w:r w:rsidRPr="00C36C8F">
              <w:rPr>
                <w:szCs w:val="18"/>
              </w:rPr>
              <w:t xml:space="preserve"> (ZWPDS) and Regional Funding Program (RFP) pilot</w:t>
            </w:r>
          </w:p>
        </w:tc>
        <w:tc>
          <w:tcPr>
            <w:tcW w:w="3771" w:type="pct"/>
          </w:tcPr>
          <w:p w:rsidR="00D14763" w:rsidRPr="00C36C8F" w:rsidRDefault="00D14763" w:rsidP="00E175A1">
            <w:pPr>
              <w:pStyle w:val="TableText"/>
              <w:keepNext/>
              <w:rPr>
                <w:rFonts w:ascii="ArialNarrow" w:hAnsi="ArialNarrow" w:cs="ArialNarrow"/>
                <w:szCs w:val="18"/>
                <w:lang w:eastAsia="en-AU"/>
              </w:rPr>
            </w:pPr>
            <w:r w:rsidRPr="00C36C8F">
              <w:rPr>
                <w:rFonts w:cs="Arial"/>
                <w:szCs w:val="18"/>
                <w:lang w:eastAsia="en-AU"/>
              </w:rPr>
              <w:t>The ZWPDS was intended to assist local governments in the preparation of Strategic Waste Management Plans (SWMP). An independent review was undertaken of the ZWPDS and RFP Pilot to assess the value of the programs and provide recommendations for future consideration. A report on the review was released in 2010. On the basis of the findings and the release of the Draft II Strategy, the Waste Authority has indicated that a</w:t>
            </w:r>
            <w:r w:rsidRPr="00C36C8F">
              <w:rPr>
                <w:rFonts w:ascii="ArialNarrow" w:hAnsi="ArialNarrow" w:cs="ArialNarrow"/>
                <w:szCs w:val="18"/>
                <w:lang w:eastAsia="en-AU"/>
              </w:rPr>
              <w:t xml:space="preserve"> review of SWMP criteria is planned for 2010</w:t>
            </w:r>
            <w:r w:rsidRPr="000B315F">
              <w:t>–</w:t>
            </w:r>
            <w:r w:rsidRPr="00C36C8F">
              <w:rPr>
                <w:rFonts w:ascii="ArialNarrow" w:hAnsi="ArialNarrow" w:cs="ArialNarrow"/>
                <w:szCs w:val="18"/>
                <w:lang w:eastAsia="en-AU"/>
              </w:rPr>
              <w:t xml:space="preserve">11 to ensure alignment with Waste Strategy priorities. </w:t>
            </w:r>
          </w:p>
        </w:tc>
      </w:tr>
      <w:tr w:rsidR="00D14763" w:rsidRPr="00C36C8F" w:rsidTr="00BE69D2">
        <w:trPr>
          <w:cantSplit/>
        </w:trPr>
        <w:tc>
          <w:tcPr>
            <w:tcW w:w="1229" w:type="pct"/>
          </w:tcPr>
          <w:p w:rsidR="00D14763" w:rsidRPr="00C36C8F" w:rsidRDefault="00D14763" w:rsidP="00E175A1">
            <w:pPr>
              <w:pStyle w:val="TableText"/>
              <w:keepNext/>
              <w:rPr>
                <w:rFonts w:cs="Arial"/>
                <w:i/>
                <w:szCs w:val="18"/>
              </w:rPr>
            </w:pPr>
            <w:r w:rsidRPr="00C36C8F">
              <w:rPr>
                <w:rFonts w:cs="Arial"/>
                <w:i/>
                <w:szCs w:val="18"/>
              </w:rPr>
              <w:t>Investigation into best practice CDL for WA</w:t>
            </w:r>
          </w:p>
        </w:tc>
        <w:tc>
          <w:tcPr>
            <w:tcW w:w="3771" w:type="pct"/>
          </w:tcPr>
          <w:p w:rsidR="00D14763" w:rsidRPr="00C36C8F" w:rsidRDefault="00D14763" w:rsidP="00E175A1">
            <w:pPr>
              <w:pStyle w:val="TableText"/>
              <w:keepNext/>
              <w:rPr>
                <w:rFonts w:cs="Arial"/>
                <w:szCs w:val="18"/>
              </w:rPr>
            </w:pPr>
            <w:r w:rsidRPr="00C36C8F">
              <w:rPr>
                <w:rFonts w:cs="Arial"/>
                <w:szCs w:val="18"/>
              </w:rPr>
              <w:t>In 2006 the WA Minister for the Environment formed a Stakeholder Advisory Group (SAG) on Best Practice Container Deposit Systems. The SAG investigated the potential for the introduction of container deposits on beverage containers. The report of the investigation released in 2007 stated that the SAG expected container deposits to significantly increase recycling beyond current levels for WA. This was noted to be especially the case for containers of beverages consumed away from home. Reference has been made in the Draft II Strategy to CDL being one mechanism that may be addressed in consideration of ‘advance recycling fees’ on problematic wastes during the life of the Strategy.</w:t>
            </w:r>
          </w:p>
        </w:tc>
      </w:tr>
      <w:tr w:rsidR="00D14763" w:rsidRPr="00C36C8F" w:rsidTr="00BE69D2">
        <w:trPr>
          <w:cantSplit/>
        </w:trPr>
        <w:tc>
          <w:tcPr>
            <w:tcW w:w="1229" w:type="pct"/>
            <w:tcBorders>
              <w:bottom w:val="single" w:sz="4" w:space="0" w:color="808080"/>
            </w:tcBorders>
          </w:tcPr>
          <w:p w:rsidR="00D14763" w:rsidRPr="00C36C8F" w:rsidRDefault="00D14763" w:rsidP="00E175A1">
            <w:pPr>
              <w:pStyle w:val="TableText"/>
              <w:keepNext/>
              <w:rPr>
                <w:rFonts w:cs="Arial"/>
                <w:szCs w:val="18"/>
              </w:rPr>
            </w:pPr>
            <w:r w:rsidRPr="00C36C8F">
              <w:rPr>
                <w:rFonts w:cs="Arial"/>
                <w:szCs w:val="18"/>
              </w:rPr>
              <w:t>The Household Hazardous Waste Program</w:t>
            </w:r>
          </w:p>
        </w:tc>
        <w:tc>
          <w:tcPr>
            <w:tcW w:w="3771" w:type="pct"/>
            <w:tcBorders>
              <w:bottom w:val="single" w:sz="4" w:space="0" w:color="808080"/>
            </w:tcBorders>
          </w:tcPr>
          <w:p w:rsidR="00D14763" w:rsidRPr="00C36C8F" w:rsidRDefault="00D14763" w:rsidP="00E175A1">
            <w:pPr>
              <w:pStyle w:val="TableText"/>
              <w:keepNext/>
              <w:rPr>
                <w:rFonts w:cs="Arial"/>
                <w:szCs w:val="18"/>
              </w:rPr>
            </w:pPr>
            <w:r w:rsidRPr="00C36C8F">
              <w:rPr>
                <w:rFonts w:cs="Arial"/>
                <w:szCs w:val="18"/>
              </w:rPr>
              <w:t xml:space="preserve">14 local government household hazardous drop-off centres located throughout the Perth metropolitan area. These facilities provide interim storage and some recovery and disposal avenues for various household hazardous wastes that are deposited by householders and the general public. The program includes the promotion of the safe storage, recovery and disposal of household hazardous. A strategy to seek long-term funding to sustain the program is being pursued. This will include the promotion of product stewardship programs to identify and avoid the production of harmful household hazardous wastes. </w:t>
            </w:r>
          </w:p>
        </w:tc>
      </w:tr>
      <w:tr w:rsidR="00D14763" w:rsidRPr="00C36C8F" w:rsidTr="00BE69D2">
        <w:trPr>
          <w:cantSplit/>
        </w:trPr>
        <w:tc>
          <w:tcPr>
            <w:tcW w:w="1229" w:type="pct"/>
            <w:tcBorders>
              <w:top w:val="single" w:sz="4" w:space="0" w:color="808080"/>
              <w:bottom w:val="single" w:sz="4" w:space="0" w:color="808080"/>
            </w:tcBorders>
          </w:tcPr>
          <w:p w:rsidR="00D14763" w:rsidRPr="00C36C8F" w:rsidRDefault="00D14763" w:rsidP="00BE69D2">
            <w:pPr>
              <w:pStyle w:val="TableText"/>
              <w:rPr>
                <w:rFonts w:cs="Arial"/>
                <w:szCs w:val="18"/>
              </w:rPr>
            </w:pPr>
            <w:r w:rsidRPr="00C36C8F">
              <w:rPr>
                <w:rFonts w:cs="Arial"/>
                <w:szCs w:val="18"/>
              </w:rPr>
              <w:t>Grant programs</w:t>
            </w:r>
          </w:p>
        </w:tc>
        <w:tc>
          <w:tcPr>
            <w:tcW w:w="3771" w:type="pct"/>
            <w:tcBorders>
              <w:top w:val="single" w:sz="4" w:space="0" w:color="808080"/>
              <w:bottom w:val="single" w:sz="4" w:space="0" w:color="808080"/>
            </w:tcBorders>
          </w:tcPr>
          <w:p w:rsidR="00D14763" w:rsidRPr="00C36C8F" w:rsidRDefault="009507A5" w:rsidP="00BE69D2">
            <w:pPr>
              <w:pStyle w:val="TableText"/>
              <w:rPr>
                <w:rFonts w:cs="Arial"/>
                <w:szCs w:val="18"/>
              </w:rPr>
            </w:pPr>
            <w:r w:rsidRPr="00C36C8F">
              <w:rPr>
                <w:rFonts w:cs="Arial"/>
                <w:szCs w:val="18"/>
              </w:rPr>
              <w:t xml:space="preserve">The </w:t>
            </w:r>
            <w:r w:rsidR="00D14763" w:rsidRPr="00C36C8F">
              <w:rPr>
                <w:rFonts w:cs="Arial"/>
                <w:szCs w:val="18"/>
              </w:rPr>
              <w:t>Community Grants Scheme</w:t>
            </w:r>
            <w:r w:rsidRPr="00C36C8F">
              <w:rPr>
                <w:rFonts w:cs="Arial"/>
                <w:i/>
                <w:szCs w:val="18"/>
              </w:rPr>
              <w:t xml:space="preserve"> </w:t>
            </w:r>
            <w:r w:rsidR="00D14763" w:rsidRPr="00C36C8F">
              <w:rPr>
                <w:rFonts w:cs="Arial"/>
                <w:szCs w:val="18"/>
              </w:rPr>
              <w:t>(CGS) has been established to support local, community-scale projects that improve the management of waste in Western Australia.</w:t>
            </w:r>
          </w:p>
          <w:p w:rsidR="00D14763" w:rsidRPr="00C36C8F" w:rsidRDefault="009507A5" w:rsidP="009507A5">
            <w:pPr>
              <w:pStyle w:val="TableText"/>
              <w:rPr>
                <w:rFonts w:cs="Arial"/>
                <w:szCs w:val="18"/>
              </w:rPr>
            </w:pPr>
            <w:r w:rsidRPr="00C36C8F">
              <w:rPr>
                <w:rFonts w:cs="Arial"/>
                <w:szCs w:val="18"/>
              </w:rPr>
              <w:t xml:space="preserve">The </w:t>
            </w:r>
            <w:r w:rsidR="00D14763" w:rsidRPr="00C36C8F">
              <w:rPr>
                <w:rFonts w:cs="Arial"/>
                <w:szCs w:val="18"/>
              </w:rPr>
              <w:t>Strategic Waste Initiatives Scheme</w:t>
            </w:r>
            <w:r w:rsidRPr="00C36C8F">
              <w:rPr>
                <w:rFonts w:cs="Arial"/>
                <w:szCs w:val="18"/>
              </w:rPr>
              <w:t xml:space="preserve"> </w:t>
            </w:r>
            <w:r w:rsidR="00D14763" w:rsidRPr="00C36C8F">
              <w:rPr>
                <w:rFonts w:cs="Arial"/>
                <w:szCs w:val="18"/>
              </w:rPr>
              <w:t>(SWIS) is aimed at providing support and encouragement to business and industry, local government, community groups and individuals in tackling priority waste issues.</w:t>
            </w:r>
          </w:p>
        </w:tc>
      </w:tr>
    </w:tbl>
    <w:p w:rsidR="00166307" w:rsidRPr="00C36C8F" w:rsidRDefault="00166307" w:rsidP="00166307">
      <w:pPr>
        <w:pStyle w:val="ParaIndent"/>
      </w:pPr>
    </w:p>
    <w:p w:rsidR="00166307" w:rsidRPr="00C36C8F" w:rsidRDefault="00166307" w:rsidP="00166307">
      <w:pPr>
        <w:pStyle w:val="ParaIndent"/>
      </w:pPr>
      <w:r w:rsidRPr="00C36C8F">
        <w:br w:type="page"/>
      </w:r>
    </w:p>
    <w:p w:rsidR="00D14763" w:rsidRPr="00C36C8F" w:rsidRDefault="00D14763" w:rsidP="00D14763">
      <w:pPr>
        <w:pStyle w:val="Heading2"/>
        <w:spacing w:before="240"/>
      </w:pPr>
      <w:bookmarkStart w:id="271" w:name="_Toc325020122"/>
      <w:bookmarkStart w:id="272" w:name="_Toc305049770"/>
      <w:r w:rsidRPr="00C36C8F">
        <w:t>Tasmania</w:t>
      </w:r>
      <w:bookmarkEnd w:id="271"/>
      <w:bookmarkEnd w:id="272"/>
    </w:p>
    <w:p w:rsidR="00D14763" w:rsidRPr="00C36C8F" w:rsidRDefault="00D14763" w:rsidP="009B3DDD">
      <w:pPr>
        <w:pStyle w:val="ParaIndent"/>
        <w:keepNext/>
        <w:jc w:val="both"/>
      </w:pPr>
      <w:r w:rsidRPr="00C36C8F">
        <w:t>Information on the programs and strategies being implemented in Tasmania has been sourced from:</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Department of Primary Industries, Parks, Water and Environment website: www.environment.tas.gov.au</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Taswaste website: www.taswaste.com.au </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Tasmania Department of Environment, Parks, Heritage and the Arts (2009) </w:t>
      </w:r>
      <w:r w:rsidRPr="00C36C8F">
        <w:rPr>
          <w:i/>
        </w:rPr>
        <w:t>Tasmanian Waste and Resource Management Strategy</w:t>
      </w:r>
      <w:r w:rsidR="009E45B7" w:rsidRPr="00C36C8F">
        <w:t>.</w:t>
      </w:r>
    </w:p>
    <w:p w:rsidR="00D14763" w:rsidRPr="00C36C8F" w:rsidRDefault="00D14763" w:rsidP="009B3DDD">
      <w:pPr>
        <w:pStyle w:val="Heading40"/>
        <w:spacing w:before="0"/>
        <w:jc w:val="both"/>
      </w:pPr>
      <w:r w:rsidRPr="00C36C8F">
        <w:t>Waste strategy</w:t>
      </w:r>
    </w:p>
    <w:p w:rsidR="00D14763" w:rsidRPr="00C36C8F" w:rsidRDefault="00D14763" w:rsidP="009B3DDD">
      <w:pPr>
        <w:pStyle w:val="ParaIndent"/>
        <w:jc w:val="both"/>
      </w:pPr>
      <w:r w:rsidRPr="00C36C8F">
        <w:t xml:space="preserve">Under the </w:t>
      </w:r>
      <w:r w:rsidRPr="00C36C8F">
        <w:rPr>
          <w:i/>
        </w:rPr>
        <w:t>Environmental Management and Pollution Control Act 1994</w:t>
      </w:r>
      <w:r w:rsidRPr="00C36C8F">
        <w:t xml:space="preserve"> (the Act), the Environment Protection Authority is responsible for regulating waste management activities in Tasmania. To fulfil this responsibility for waste management, a draft Waste Management Strategy was prepared in 2007, and on the basis of consultation, a final Strategy was released in June 2009. </w:t>
      </w:r>
    </w:p>
    <w:p w:rsidR="00D14763" w:rsidRPr="00C36C8F" w:rsidRDefault="00D14763" w:rsidP="009B3DDD">
      <w:pPr>
        <w:pStyle w:val="ParaIndent"/>
        <w:jc w:val="both"/>
      </w:pPr>
      <w:r w:rsidRPr="00C36C8F">
        <w:t xml:space="preserve">The </w:t>
      </w:r>
      <w:r w:rsidRPr="00C36C8F">
        <w:rPr>
          <w:i/>
        </w:rPr>
        <w:t>Tasmanian Waste and Resource Management Strategy</w:t>
      </w:r>
      <w:r w:rsidRPr="00C36C8F">
        <w:t xml:space="preserve"> (the Strategy) supports the Tasmanian Government’s </w:t>
      </w:r>
      <w:r w:rsidR="009507A5" w:rsidRPr="00C36C8F">
        <w:t>‘</w:t>
      </w:r>
      <w:r w:rsidRPr="00C36C8F">
        <w:t>Tasmania Together</w:t>
      </w:r>
      <w:r w:rsidR="009507A5" w:rsidRPr="00C36C8F">
        <w:t>’</w:t>
      </w:r>
      <w:r w:rsidRPr="00C36C8F">
        <w:t xml:space="preserve"> Goal 12 for achieving </w:t>
      </w:r>
      <w:r w:rsidRPr="00C36C8F">
        <w:rPr>
          <w:i/>
        </w:rPr>
        <w:t>Sustainable Management of our Natural Resources</w:t>
      </w:r>
      <w:r w:rsidRPr="00C36C8F">
        <w:t>.</w:t>
      </w:r>
    </w:p>
    <w:p w:rsidR="00D14763" w:rsidRPr="00C36C8F" w:rsidRDefault="00D14763" w:rsidP="009B3DDD">
      <w:pPr>
        <w:pStyle w:val="ParaIndent"/>
        <w:jc w:val="both"/>
      </w:pPr>
      <w:r w:rsidRPr="00C36C8F">
        <w:t>As outlined in the Strategy, the overarching framework of the Resource Management and Planning System (RMPS) has been applied, which also provides the framework for Tasmania’s environmental and planning legislation and policies.</w:t>
      </w:r>
    </w:p>
    <w:p w:rsidR="00D14763" w:rsidRPr="00C36C8F" w:rsidRDefault="00D14763" w:rsidP="009B3DDD">
      <w:pPr>
        <w:pStyle w:val="ParaIndent"/>
        <w:jc w:val="both"/>
      </w:pPr>
      <w:r w:rsidRPr="00C36C8F">
        <w:t>The guiding principles of the Strategy include: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sustainable development</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the waste management hierarchy</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environmental stewardship</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precautionary principle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life-cycle principle</w:t>
      </w:r>
    </w:p>
    <w:p w:rsidR="00D14763" w:rsidRPr="00C36C8F" w:rsidRDefault="002B559B" w:rsidP="009B3DDD">
      <w:pPr>
        <w:pStyle w:val="BulletPoints"/>
        <w:tabs>
          <w:tab w:val="clear" w:pos="567"/>
          <w:tab w:val="left" w:pos="1134"/>
          <w:tab w:val="num" w:pos="1701"/>
          <w:tab w:val="left" w:pos="2268"/>
        </w:tabs>
        <w:spacing w:after="180"/>
        <w:ind w:left="1701"/>
        <w:jc w:val="both"/>
      </w:pPr>
      <w:r w:rsidRPr="00C36C8F">
        <w:t>polluter and user pays</w:t>
      </w:r>
      <w:r w:rsidR="00F77479" w:rsidRPr="00C36C8F">
        <w:t>.</w:t>
      </w:r>
    </w:p>
    <w:p w:rsidR="00D14763" w:rsidRPr="00C36C8F" w:rsidRDefault="00D14763" w:rsidP="009B3DDD">
      <w:pPr>
        <w:pStyle w:val="ParaIndent"/>
        <w:jc w:val="both"/>
      </w:pPr>
      <w:r w:rsidRPr="00C36C8F">
        <w:t>On the basis of these guiding principles, the Strategy sets out a series of objectives that are applicable State-wide</w:t>
      </w:r>
      <w:r w:rsidR="00F77479" w:rsidRPr="00C36C8F">
        <w:t>, as follows: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improved partnerships, coordination and planning</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waste avoidance and sustainable consumption</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waste minimisation and resource recovery</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improved regulation and management of residual wastes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improved data collection and management systems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reduct</w:t>
      </w:r>
      <w:r w:rsidR="002B559B" w:rsidRPr="00C36C8F">
        <w:t>ion of greenhouse gas emissions</w:t>
      </w:r>
      <w:r w:rsidR="000D6CAA" w:rsidRPr="00C36C8F">
        <w:t>.</w:t>
      </w:r>
    </w:p>
    <w:p w:rsidR="00BF10E2" w:rsidRDefault="00BF10E2">
      <w:pPr>
        <w:spacing w:after="0" w:line="240" w:lineRule="auto"/>
        <w:ind w:left="0"/>
      </w:pPr>
      <w:r>
        <w:br w:type="page"/>
      </w:r>
    </w:p>
    <w:p w:rsidR="00D14763" w:rsidRPr="00C36C8F" w:rsidRDefault="00D14763" w:rsidP="009B3DDD">
      <w:pPr>
        <w:pStyle w:val="ParaIndent"/>
        <w:jc w:val="both"/>
      </w:pPr>
      <w:r w:rsidRPr="00C36C8F">
        <w:t xml:space="preserve">The Strategy has taken these objectives and developed a series of strategic actions for which it seeks </w:t>
      </w:r>
      <w:r w:rsidR="00F77479" w:rsidRPr="00C36C8F">
        <w:t>to be</w:t>
      </w:r>
      <w:r w:rsidRPr="00C36C8F">
        <w:t xml:space="preserve"> considered and incorporated into ‘stakeholder action plans’. Performance measures are also identified for the objectives, however specific targets are not articulated. The Strategy notes that the performance measures are often written in broad terms due to a lack of available data. It is noted that once the data is collected, that performance measures will be further developed and incorporated with timeframes.</w:t>
      </w:r>
    </w:p>
    <w:p w:rsidR="00D14763" w:rsidRPr="00C36C8F" w:rsidRDefault="00D14763" w:rsidP="009B3DDD">
      <w:pPr>
        <w:pStyle w:val="Heading40"/>
        <w:spacing w:before="0"/>
        <w:jc w:val="both"/>
      </w:pPr>
      <w:r w:rsidRPr="00C36C8F">
        <w:t>Regional programs</w:t>
      </w:r>
    </w:p>
    <w:p w:rsidR="00D14763" w:rsidRPr="00C36C8F" w:rsidRDefault="00D14763" w:rsidP="009B3DDD">
      <w:pPr>
        <w:pStyle w:val="ParaIndent"/>
        <w:jc w:val="both"/>
      </w:pPr>
      <w:r w:rsidRPr="00C36C8F">
        <w:t>Taswaste is a consortium of three regional waste bodies in Tasmania that represent local government, and seeks to facilitate the delivery of consistent waste management and recovery programs State-wide.</w:t>
      </w:r>
    </w:p>
    <w:p w:rsidR="00D14763" w:rsidRPr="00C36C8F" w:rsidRDefault="00D14763" w:rsidP="009B3DDD">
      <w:pPr>
        <w:pStyle w:val="ParaIndent"/>
        <w:jc w:val="both"/>
      </w:pPr>
      <w:r w:rsidRPr="00C36C8F">
        <w:t>The three regional bodies within the consortium are: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Cradle Coast Waste Management Group (North West Tasmania)</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Northern Tasmanian Waste Management (North Tasmania)</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Southern Waste Strategy Authority (Southern Tasmania)</w:t>
      </w:r>
      <w:r w:rsidR="000D6CAA" w:rsidRPr="00C36C8F">
        <w:t>.</w:t>
      </w:r>
    </w:p>
    <w:p w:rsidR="00D14763" w:rsidRPr="00C36C8F" w:rsidRDefault="00D14763" w:rsidP="009B3DDD">
      <w:pPr>
        <w:pStyle w:val="ParaIndent"/>
        <w:jc w:val="both"/>
      </w:pPr>
      <w:r w:rsidRPr="00C36C8F">
        <w:t xml:space="preserve">Cradle Coast Waste Management Group (CCWMG) is responsible for managing the regional waste revenues which are collected from the Waste Levy in region, and the coordination of waste management projects which support the delivery of the regional and State Strategies. On its behalf, Dulverton Waste Management (DWM) administers the regional strategy and associated projects in direct consultation with the CCWMG. </w:t>
      </w:r>
    </w:p>
    <w:p w:rsidR="00D14763" w:rsidRPr="00C36C8F" w:rsidRDefault="00D14763" w:rsidP="009B3DDD">
      <w:pPr>
        <w:pStyle w:val="ParaIndent"/>
        <w:jc w:val="both"/>
      </w:pPr>
      <w:r w:rsidRPr="00C36C8F">
        <w:t>Northern Tasmanian Waste Management Group (NTWMG) was formed in 2008. Its regional waste strategy was adopted in early 2009 by the grouping of Northern Regions Councils which participate in the voluntary waste levy.</w:t>
      </w:r>
    </w:p>
    <w:p w:rsidR="00D14763" w:rsidRPr="00C36C8F" w:rsidRDefault="00D14763" w:rsidP="009B3DDD">
      <w:pPr>
        <w:pStyle w:val="ParaIndent"/>
        <w:jc w:val="both"/>
      </w:pPr>
      <w:r w:rsidRPr="00C36C8F">
        <w:t>Southern Waste Strategy Authority (SWSA) is a longest established and largest grouping of local government Councils in a regional waste structure in the State. It was also the first region to have a regional waste management strategy.</w:t>
      </w:r>
    </w:p>
    <w:p w:rsidR="00D14763" w:rsidRPr="00C36C8F" w:rsidRDefault="00D14763" w:rsidP="009B3DDD">
      <w:pPr>
        <w:pStyle w:val="ParaIndent"/>
        <w:jc w:val="both"/>
      </w:pPr>
      <w:r w:rsidRPr="00C36C8F">
        <w:t>Funding for the regional bodies is supported through a voluntary local government levy of $2 per tonne on waste disposed to landfill.</w:t>
      </w:r>
    </w:p>
    <w:p w:rsidR="00166307" w:rsidRPr="00C36C8F" w:rsidRDefault="00166307" w:rsidP="00166307">
      <w:pPr>
        <w:pStyle w:val="ParaIndent"/>
      </w:pPr>
      <w:r w:rsidRPr="00C36C8F">
        <w:br w:type="page"/>
      </w:r>
    </w:p>
    <w:p w:rsidR="00D14763" w:rsidRPr="00C36C8F" w:rsidRDefault="00D14763" w:rsidP="00D14763">
      <w:pPr>
        <w:pStyle w:val="Heading2"/>
        <w:spacing w:before="240"/>
      </w:pPr>
      <w:bookmarkStart w:id="273" w:name="_Toc325020123"/>
      <w:bookmarkStart w:id="274" w:name="_Toc305049771"/>
      <w:r w:rsidRPr="00C36C8F">
        <w:t>Australian Capital Territory</w:t>
      </w:r>
      <w:bookmarkEnd w:id="273"/>
      <w:bookmarkEnd w:id="274"/>
    </w:p>
    <w:p w:rsidR="00D14763" w:rsidRPr="00C36C8F" w:rsidRDefault="00D14763" w:rsidP="009B3DDD">
      <w:pPr>
        <w:pStyle w:val="ParaIndent"/>
        <w:jc w:val="both"/>
      </w:pPr>
      <w:r w:rsidRPr="00C36C8F">
        <w:t>Information on the programs and strategies being implemented in the ACT has been sourced from:</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Department of the Environment, Climate Change, Energy and Water (DECCEW) website: www.environment.act.gov.au </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Department of Territory and Municipal Services (TAMS) website: www.tams.act.gov.au/live/recycling-waste </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Department of the Environment, Climate Change, Energy and Water (2010) </w:t>
      </w:r>
      <w:r w:rsidRPr="00C36C8F">
        <w:rPr>
          <w:i/>
        </w:rPr>
        <w:t>Draft ACT Susta</w:t>
      </w:r>
      <w:r w:rsidR="002B559B" w:rsidRPr="00C36C8F">
        <w:rPr>
          <w:i/>
        </w:rPr>
        <w:t>inable Waste Strategy 2010–2025</w:t>
      </w:r>
      <w:r w:rsidR="000D6CAA" w:rsidRPr="00C36C8F">
        <w:t>.</w:t>
      </w:r>
    </w:p>
    <w:p w:rsidR="00D14763" w:rsidRPr="00C36C8F" w:rsidRDefault="00D14763" w:rsidP="009B3DDD">
      <w:pPr>
        <w:pStyle w:val="ParaIndent"/>
        <w:jc w:val="both"/>
      </w:pPr>
      <w:r w:rsidRPr="00C36C8F">
        <w:t xml:space="preserve">In the Australian Capital Territory (ACT) the Department of the Environment, Climate Change, Energy and Water (DECCEW) develops and implements sustainable environmental policies and practices, including in the area of waste management. This includes the development of the ACT’s waste strategy. The Environment Protection Authority (EPA) sits within the DECCEW. It has legislative responsibility through the </w:t>
      </w:r>
      <w:r w:rsidRPr="00C36C8F">
        <w:rPr>
          <w:i/>
        </w:rPr>
        <w:t>Environment Protection Act 1997</w:t>
      </w:r>
      <w:r w:rsidRPr="00C36C8F">
        <w:t xml:space="preserve"> for activities including waste transport and disposal.</w:t>
      </w:r>
    </w:p>
    <w:p w:rsidR="00D14763" w:rsidRPr="00C36C8F" w:rsidRDefault="00D14763" w:rsidP="009B3DDD">
      <w:pPr>
        <w:pStyle w:val="ParaIndent"/>
        <w:jc w:val="both"/>
      </w:pPr>
      <w:r w:rsidRPr="00C36C8F">
        <w:t>The Department of Territory and Municipal Services (TAMS) is responsible for the implementation of the ACT waste strategy through its business unit ACT NOWaste.</w:t>
      </w:r>
    </w:p>
    <w:p w:rsidR="00D14763" w:rsidRPr="00C36C8F" w:rsidRDefault="00D14763" w:rsidP="009B3DDD">
      <w:pPr>
        <w:pStyle w:val="Heading40"/>
        <w:spacing w:before="0"/>
        <w:jc w:val="both"/>
      </w:pPr>
      <w:r w:rsidRPr="00C36C8F">
        <w:t>Draft ACT Sustainable Waste Strategy 2010–2025</w:t>
      </w:r>
    </w:p>
    <w:p w:rsidR="00D14763" w:rsidRPr="00C36C8F" w:rsidRDefault="00D14763" w:rsidP="009B3DDD">
      <w:pPr>
        <w:pStyle w:val="ParaIndent"/>
        <w:jc w:val="both"/>
      </w:pPr>
      <w:r w:rsidRPr="00C36C8F">
        <w:t xml:space="preserve">The </w:t>
      </w:r>
      <w:r w:rsidRPr="00C36C8F">
        <w:rPr>
          <w:i/>
        </w:rPr>
        <w:t>No Waste by 2010 Strategy</w:t>
      </w:r>
      <w:r w:rsidRPr="00C36C8F">
        <w:t xml:space="preserve"> (2010 Strategy) was released in 1996 and set the vision and future directions for waste management in the ACT. The DECCEW is currently revising the 2010 Strategy, and in late 2010 released the </w:t>
      </w:r>
      <w:r w:rsidRPr="00C36C8F">
        <w:rPr>
          <w:i/>
        </w:rPr>
        <w:t>Draft ACT Sustainable Waste Strategy 2010–2025</w:t>
      </w:r>
      <w:r w:rsidRPr="00C36C8F">
        <w:t xml:space="preserve"> (Draft Strategy). Consultation </w:t>
      </w:r>
      <w:r w:rsidR="009507A5" w:rsidRPr="00C36C8F">
        <w:t>on the Draft Strategy closed</w:t>
      </w:r>
      <w:r w:rsidRPr="00C36C8F">
        <w:t xml:space="preserve"> in late February 2011.</w:t>
      </w:r>
    </w:p>
    <w:p w:rsidR="00D14763" w:rsidRPr="00C36C8F" w:rsidRDefault="00D14763" w:rsidP="009B3DDD">
      <w:pPr>
        <w:pStyle w:val="ParaIndent"/>
        <w:jc w:val="both"/>
      </w:pPr>
      <w:r w:rsidRPr="00C36C8F">
        <w:t>The Draft Strategy highlights that its aim is to ensure that the ACT leads innovation to achieve full resource recovery and a carbon neutral waste sector.</w:t>
      </w:r>
    </w:p>
    <w:p w:rsidR="00D14763" w:rsidRPr="00C36C8F" w:rsidRDefault="00D14763" w:rsidP="009B3DDD">
      <w:pPr>
        <w:pStyle w:val="ParaIndent"/>
        <w:jc w:val="both"/>
      </w:pPr>
      <w:r w:rsidRPr="00C36C8F">
        <w:t>To achieve this Draft Strategy outlines four overarching outcomes that is it seeking. These are: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less waste generated</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full resource recovery</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a clean environment</w:t>
      </w:r>
    </w:p>
    <w:p w:rsidR="00D14763" w:rsidRPr="00C36C8F" w:rsidRDefault="002B559B" w:rsidP="009B3DDD">
      <w:pPr>
        <w:pStyle w:val="BulletPoints"/>
        <w:tabs>
          <w:tab w:val="clear" w:pos="567"/>
          <w:tab w:val="left" w:pos="1134"/>
          <w:tab w:val="num" w:pos="1701"/>
          <w:tab w:val="left" w:pos="2268"/>
        </w:tabs>
        <w:spacing w:after="180"/>
        <w:ind w:left="1701"/>
        <w:jc w:val="both"/>
      </w:pPr>
      <w:r w:rsidRPr="00C36C8F">
        <w:t>carbon neutral waste sector</w:t>
      </w:r>
      <w:r w:rsidR="000D6CAA" w:rsidRPr="00C36C8F">
        <w:t>.</w:t>
      </w:r>
    </w:p>
    <w:p w:rsidR="00D14763" w:rsidRPr="00C36C8F" w:rsidRDefault="00D14763" w:rsidP="009B3DDD">
      <w:pPr>
        <w:pStyle w:val="ParaIndent"/>
        <w:jc w:val="both"/>
      </w:pPr>
      <w:r w:rsidRPr="00C36C8F">
        <w:t xml:space="preserve">For each of the outcomes the Draft Strategy presents a series of targets which are outlined in </w:t>
      </w:r>
      <w:fldSimple w:instr=" REF _Ref283644554 \h  \* MERGEFORMAT ">
        <w:r w:rsidR="00AE7E3B" w:rsidRPr="00C36C8F">
          <w:t xml:space="preserve">Table </w:t>
        </w:r>
        <w:r w:rsidR="00AE7E3B">
          <w:rPr>
            <w:noProof/>
          </w:rPr>
          <w:t>6</w:t>
        </w:r>
        <w:r w:rsidR="00AE7E3B" w:rsidRPr="00C36C8F">
          <w:rPr>
            <w:noProof/>
          </w:rPr>
          <w:t>-</w:t>
        </w:r>
        <w:r w:rsidR="00AE7E3B">
          <w:rPr>
            <w:noProof/>
          </w:rPr>
          <w:t>66</w:t>
        </w:r>
      </w:fldSimple>
      <w:r w:rsidRPr="00C36C8F">
        <w:t>.</w:t>
      </w:r>
    </w:p>
    <w:p w:rsidR="00D14763" w:rsidRPr="00C36C8F" w:rsidRDefault="00D14763" w:rsidP="00D14763">
      <w:pPr>
        <w:pStyle w:val="Caption"/>
      </w:pPr>
      <w:bookmarkStart w:id="275" w:name="_Ref283644554"/>
      <w:r w:rsidRPr="00C36C8F">
        <w:t xml:space="preserve">Table </w:t>
      </w:r>
      <w:r w:rsidR="00B9555F" w:rsidRPr="00C36C8F">
        <w:fldChar w:fldCharType="begin"/>
      </w:r>
      <w:r w:rsidR="0008255D" w:rsidRPr="00C36C8F">
        <w:instrText xml:space="preserve"> STYLEREF "_Heading1" \n </w:instrText>
      </w:r>
      <w:r w:rsidR="00B9555F" w:rsidRPr="00C36C8F">
        <w:fldChar w:fldCharType="separate"/>
      </w:r>
      <w:r w:rsidR="00AE7E3B">
        <w:rPr>
          <w:noProof/>
        </w:rPr>
        <w:t>6</w:t>
      </w:r>
      <w:r w:rsidR="00B9555F" w:rsidRPr="00C36C8F">
        <w:rPr>
          <w:noProof/>
        </w:rPr>
        <w:fldChar w:fldCharType="end"/>
      </w:r>
      <w:r w:rsidRPr="00C36C8F">
        <w:t>-</w:t>
      </w:r>
      <w:r w:rsidR="00B9555F" w:rsidRPr="00C36C8F">
        <w:fldChar w:fldCharType="begin"/>
      </w:r>
      <w:r w:rsidR="0008255D" w:rsidRPr="00C36C8F">
        <w:instrText xml:space="preserve"> SEQ Table \* Arabic </w:instrText>
      </w:r>
      <w:r w:rsidR="00B9555F" w:rsidRPr="00C36C8F">
        <w:fldChar w:fldCharType="separate"/>
      </w:r>
      <w:r w:rsidR="00AE7E3B">
        <w:rPr>
          <w:noProof/>
        </w:rPr>
        <w:t>66</w:t>
      </w:r>
      <w:r w:rsidR="00B9555F" w:rsidRPr="00C36C8F">
        <w:rPr>
          <w:noProof/>
        </w:rPr>
        <w:fldChar w:fldCharType="end"/>
      </w:r>
      <w:bookmarkEnd w:id="275"/>
      <w:r w:rsidRPr="00C36C8F">
        <w:tab/>
        <w:t>Draft Waste Strategy Target, ACT</w:t>
      </w:r>
    </w:p>
    <w:tbl>
      <w:tblPr>
        <w:tblW w:w="4990" w:type="pct"/>
        <w:tblBorders>
          <w:bottom w:val="single" w:sz="4" w:space="0" w:color="808080"/>
          <w:insideH w:val="single" w:sz="4" w:space="0" w:color="808080"/>
        </w:tblBorders>
        <w:tblLayout w:type="fixed"/>
        <w:tblCellMar>
          <w:left w:w="0" w:type="dxa"/>
          <w:right w:w="0" w:type="dxa"/>
        </w:tblCellMar>
        <w:tblLook w:val="0000"/>
      </w:tblPr>
      <w:tblGrid>
        <w:gridCol w:w="2268"/>
        <w:gridCol w:w="2551"/>
        <w:gridCol w:w="2411"/>
        <w:gridCol w:w="2390"/>
      </w:tblGrid>
      <w:tr w:rsidR="00D14763" w:rsidRPr="00C36C8F" w:rsidTr="00166307">
        <w:trPr>
          <w:cantSplit/>
          <w:tblHeader/>
        </w:trPr>
        <w:tc>
          <w:tcPr>
            <w:tcW w:w="1179" w:type="pct"/>
            <w:shd w:val="clear" w:color="auto" w:fill="auto"/>
          </w:tcPr>
          <w:p w:rsidR="00D14763" w:rsidRPr="00C36C8F" w:rsidRDefault="00D14763" w:rsidP="00BE69D2">
            <w:pPr>
              <w:pStyle w:val="TableHeading"/>
              <w:rPr>
                <w:szCs w:val="18"/>
              </w:rPr>
            </w:pPr>
            <w:r w:rsidRPr="00C36C8F">
              <w:rPr>
                <w:szCs w:val="18"/>
              </w:rPr>
              <w:t>Less Waste Generated</w:t>
            </w:r>
          </w:p>
        </w:tc>
        <w:tc>
          <w:tcPr>
            <w:tcW w:w="1326" w:type="pct"/>
            <w:shd w:val="clear" w:color="auto" w:fill="auto"/>
            <w:tcMar>
              <w:left w:w="142" w:type="dxa"/>
            </w:tcMar>
          </w:tcPr>
          <w:p w:rsidR="00D14763" w:rsidRPr="00C36C8F" w:rsidRDefault="00D14763" w:rsidP="00BE69D2">
            <w:pPr>
              <w:pStyle w:val="TableHeading"/>
              <w:rPr>
                <w:szCs w:val="18"/>
              </w:rPr>
            </w:pPr>
            <w:r w:rsidRPr="00C36C8F">
              <w:rPr>
                <w:szCs w:val="18"/>
              </w:rPr>
              <w:t>Full Resource Recovery</w:t>
            </w:r>
          </w:p>
        </w:tc>
        <w:tc>
          <w:tcPr>
            <w:tcW w:w="1253" w:type="pct"/>
            <w:shd w:val="clear" w:color="auto" w:fill="auto"/>
            <w:tcMar>
              <w:left w:w="142" w:type="dxa"/>
            </w:tcMar>
          </w:tcPr>
          <w:p w:rsidR="00D14763" w:rsidRPr="00C36C8F" w:rsidRDefault="00D14763" w:rsidP="00BE69D2">
            <w:pPr>
              <w:pStyle w:val="TableHeading"/>
              <w:rPr>
                <w:szCs w:val="18"/>
              </w:rPr>
            </w:pPr>
            <w:r w:rsidRPr="00C36C8F">
              <w:rPr>
                <w:szCs w:val="18"/>
              </w:rPr>
              <w:t>A Clean Environment</w:t>
            </w:r>
          </w:p>
        </w:tc>
        <w:tc>
          <w:tcPr>
            <w:tcW w:w="1242" w:type="pct"/>
            <w:shd w:val="clear" w:color="auto" w:fill="auto"/>
            <w:tcMar>
              <w:left w:w="142" w:type="dxa"/>
            </w:tcMar>
          </w:tcPr>
          <w:p w:rsidR="00D14763" w:rsidRPr="00C36C8F" w:rsidRDefault="00D14763" w:rsidP="00BE69D2">
            <w:pPr>
              <w:pStyle w:val="TableHeading"/>
              <w:rPr>
                <w:szCs w:val="18"/>
              </w:rPr>
            </w:pPr>
            <w:r w:rsidRPr="00C36C8F">
              <w:rPr>
                <w:szCs w:val="18"/>
              </w:rPr>
              <w:t>Carbon Neutral Waste Sector</w:t>
            </w:r>
          </w:p>
        </w:tc>
      </w:tr>
      <w:tr w:rsidR="00D14763" w:rsidRPr="00C36C8F" w:rsidTr="00166307">
        <w:trPr>
          <w:cantSplit/>
        </w:trPr>
        <w:tc>
          <w:tcPr>
            <w:tcW w:w="1179" w:type="pct"/>
          </w:tcPr>
          <w:p w:rsidR="00D14763" w:rsidRPr="00C36C8F" w:rsidRDefault="00166307" w:rsidP="00BE69D2">
            <w:pPr>
              <w:pStyle w:val="TableText"/>
              <w:rPr>
                <w:rFonts w:cs="Arial"/>
                <w:szCs w:val="18"/>
                <w:lang w:eastAsia="en-AU"/>
              </w:rPr>
            </w:pPr>
            <w:r w:rsidRPr="00C36C8F">
              <w:rPr>
                <w:rFonts w:cs="Arial"/>
                <w:szCs w:val="18"/>
                <w:lang w:eastAsia="en-AU"/>
              </w:rPr>
              <w:t xml:space="preserve">The growth in ACT waste generation is </w:t>
            </w:r>
            <w:r w:rsidR="00D14763" w:rsidRPr="00C36C8F">
              <w:rPr>
                <w:rFonts w:cs="Arial"/>
                <w:szCs w:val="18"/>
                <w:lang w:eastAsia="en-AU"/>
              </w:rPr>
              <w:t>less t</w:t>
            </w:r>
            <w:r w:rsidRPr="00C36C8F">
              <w:rPr>
                <w:rFonts w:cs="Arial"/>
                <w:szCs w:val="18"/>
                <w:lang w:eastAsia="en-AU"/>
              </w:rPr>
              <w:t xml:space="preserve">han the rate of </w:t>
            </w:r>
            <w:r w:rsidR="00D14763" w:rsidRPr="00C36C8F">
              <w:rPr>
                <w:rFonts w:cs="Arial"/>
                <w:szCs w:val="18"/>
                <w:lang w:eastAsia="en-AU"/>
              </w:rPr>
              <w:t>population growth</w:t>
            </w:r>
          </w:p>
        </w:tc>
        <w:tc>
          <w:tcPr>
            <w:tcW w:w="1326" w:type="pct"/>
            <w:tcMar>
              <w:left w:w="142" w:type="dxa"/>
            </w:tcMar>
          </w:tcPr>
          <w:p w:rsidR="00D14763" w:rsidRPr="00C36C8F" w:rsidRDefault="00166307" w:rsidP="00BE69D2">
            <w:pPr>
              <w:pStyle w:val="TableText"/>
              <w:rPr>
                <w:rFonts w:cs="Arial"/>
                <w:szCs w:val="18"/>
                <w:lang w:eastAsia="en-AU"/>
              </w:rPr>
            </w:pPr>
            <w:r w:rsidRPr="00C36C8F">
              <w:rPr>
                <w:rFonts w:cs="Arial"/>
                <w:szCs w:val="18"/>
                <w:lang w:eastAsia="en-AU"/>
              </w:rPr>
              <w:t xml:space="preserve">The rate of resource </w:t>
            </w:r>
            <w:r w:rsidR="00D14763" w:rsidRPr="00C36C8F">
              <w:rPr>
                <w:rFonts w:cs="Arial"/>
                <w:szCs w:val="18"/>
                <w:lang w:eastAsia="en-AU"/>
              </w:rPr>
              <w:t>recovery increases:</w:t>
            </w:r>
          </w:p>
          <w:p w:rsidR="00D14763" w:rsidRPr="00C36C8F" w:rsidRDefault="00D14763" w:rsidP="00BE69D2">
            <w:pPr>
              <w:pStyle w:val="TableText"/>
              <w:rPr>
                <w:rFonts w:cs="Arial"/>
                <w:szCs w:val="18"/>
                <w:lang w:eastAsia="en-AU"/>
              </w:rPr>
            </w:pPr>
            <w:r w:rsidRPr="00C36C8F">
              <w:rPr>
                <w:rFonts w:cs="Arial"/>
                <w:szCs w:val="18"/>
                <w:lang w:eastAsia="en-AU"/>
              </w:rPr>
              <w:t>– over 80% by 2015</w:t>
            </w:r>
          </w:p>
          <w:p w:rsidR="00D14763" w:rsidRPr="00C36C8F" w:rsidRDefault="00D14763" w:rsidP="00BE69D2">
            <w:pPr>
              <w:pStyle w:val="TableText"/>
              <w:rPr>
                <w:rFonts w:cs="Arial"/>
                <w:szCs w:val="18"/>
                <w:lang w:eastAsia="en-AU"/>
              </w:rPr>
            </w:pPr>
            <w:r w:rsidRPr="00C36C8F">
              <w:rPr>
                <w:rFonts w:cs="Arial"/>
                <w:szCs w:val="18"/>
                <w:lang w:eastAsia="en-AU"/>
              </w:rPr>
              <w:t>– over 85% by 2020</w:t>
            </w:r>
          </w:p>
          <w:p w:rsidR="00D14763" w:rsidRPr="00C36C8F" w:rsidRDefault="00D14763" w:rsidP="00BE69D2">
            <w:pPr>
              <w:pStyle w:val="TableText"/>
              <w:rPr>
                <w:rFonts w:cs="Arial"/>
                <w:szCs w:val="18"/>
                <w:lang w:eastAsia="en-AU"/>
              </w:rPr>
            </w:pPr>
            <w:r w:rsidRPr="00C36C8F">
              <w:rPr>
                <w:rFonts w:cs="Arial"/>
                <w:szCs w:val="18"/>
                <w:lang w:eastAsia="en-AU"/>
              </w:rPr>
              <w:t xml:space="preserve">– over 90% by 2025 </w:t>
            </w:r>
          </w:p>
          <w:p w:rsidR="00D14763" w:rsidRPr="00C36C8F" w:rsidRDefault="00D14763" w:rsidP="00BE69D2">
            <w:pPr>
              <w:pStyle w:val="TableText"/>
              <w:rPr>
                <w:szCs w:val="18"/>
              </w:rPr>
            </w:pPr>
            <w:r w:rsidRPr="00C36C8F">
              <w:rPr>
                <w:rFonts w:cs="Arial"/>
                <w:szCs w:val="18"/>
                <w:lang w:eastAsia="en-AU"/>
              </w:rPr>
              <w:t>(</w:t>
            </w:r>
            <w:r w:rsidRPr="00C36C8F">
              <w:rPr>
                <w:rFonts w:ascii="MyriadPro-LightIt" w:hAnsi="MyriadPro-LightIt" w:cs="MyriadPro-LightIt"/>
                <w:iCs/>
                <w:szCs w:val="18"/>
                <w:lang w:eastAsia="en-AU"/>
              </w:rPr>
              <w:t>with no recoverable waste sent to landfill)</w:t>
            </w:r>
          </w:p>
        </w:tc>
        <w:tc>
          <w:tcPr>
            <w:tcW w:w="1253" w:type="pct"/>
            <w:tcMar>
              <w:left w:w="142" w:type="dxa"/>
            </w:tcMar>
          </w:tcPr>
          <w:p w:rsidR="00D14763" w:rsidRPr="00C36C8F" w:rsidRDefault="00166307" w:rsidP="00BE69D2">
            <w:pPr>
              <w:pStyle w:val="TableText"/>
              <w:rPr>
                <w:rFonts w:cs="Arial"/>
                <w:szCs w:val="18"/>
                <w:lang w:eastAsia="en-AU"/>
              </w:rPr>
            </w:pPr>
            <w:r w:rsidRPr="00C36C8F">
              <w:rPr>
                <w:rFonts w:cs="Arial"/>
                <w:szCs w:val="18"/>
                <w:lang w:eastAsia="en-AU"/>
              </w:rPr>
              <w:t xml:space="preserve">ACT leads Australia in low littering and incidents of illegal </w:t>
            </w:r>
            <w:r w:rsidR="00D14763" w:rsidRPr="00C36C8F">
              <w:rPr>
                <w:rFonts w:cs="Arial"/>
                <w:szCs w:val="18"/>
                <w:lang w:eastAsia="en-AU"/>
              </w:rPr>
              <w:t>dumping.</w:t>
            </w:r>
          </w:p>
          <w:p w:rsidR="00D14763" w:rsidRPr="00C36C8F" w:rsidRDefault="00D14763" w:rsidP="00BE69D2">
            <w:pPr>
              <w:pStyle w:val="TableText"/>
              <w:rPr>
                <w:rFonts w:cs="Arial"/>
                <w:szCs w:val="18"/>
                <w:lang w:eastAsia="en-AU"/>
              </w:rPr>
            </w:pPr>
            <w:r w:rsidRPr="00C36C8F">
              <w:rPr>
                <w:rFonts w:cs="Arial"/>
                <w:szCs w:val="18"/>
                <w:lang w:eastAsia="en-AU"/>
              </w:rPr>
              <w:t>ACT’s n</w:t>
            </w:r>
            <w:r w:rsidR="00166307" w:rsidRPr="00C36C8F">
              <w:rPr>
                <w:rFonts w:cs="Arial"/>
                <w:szCs w:val="18"/>
                <w:lang w:eastAsia="en-AU"/>
              </w:rPr>
              <w:t xml:space="preserve">atural resources are protected and, where feasible, enhanced through waste </w:t>
            </w:r>
            <w:r w:rsidRPr="00C36C8F">
              <w:rPr>
                <w:rFonts w:cs="Arial"/>
                <w:szCs w:val="18"/>
                <w:lang w:eastAsia="en-AU"/>
              </w:rPr>
              <w:t>management</w:t>
            </w:r>
          </w:p>
        </w:tc>
        <w:tc>
          <w:tcPr>
            <w:tcW w:w="1242" w:type="pct"/>
            <w:tcMar>
              <w:left w:w="142" w:type="dxa"/>
            </w:tcMar>
          </w:tcPr>
          <w:p w:rsidR="00D14763" w:rsidRPr="00C36C8F" w:rsidRDefault="00166307" w:rsidP="00BE69D2">
            <w:pPr>
              <w:pStyle w:val="TableText"/>
              <w:rPr>
                <w:rFonts w:cs="Arial"/>
                <w:szCs w:val="18"/>
                <w:lang w:eastAsia="en-AU"/>
              </w:rPr>
            </w:pPr>
            <w:r w:rsidRPr="00C36C8F">
              <w:rPr>
                <w:rFonts w:cs="Arial"/>
                <w:szCs w:val="18"/>
                <w:lang w:eastAsia="en-AU"/>
              </w:rPr>
              <w:t xml:space="preserve">The ACT Waste Sector is carbon neutral by </w:t>
            </w:r>
            <w:r w:rsidR="00D14763" w:rsidRPr="00C36C8F">
              <w:rPr>
                <w:rFonts w:cs="Arial"/>
                <w:szCs w:val="18"/>
                <w:lang w:eastAsia="en-AU"/>
              </w:rPr>
              <w:t>2020</w:t>
            </w:r>
          </w:p>
        </w:tc>
      </w:tr>
    </w:tbl>
    <w:p w:rsidR="009B3DDD" w:rsidRPr="00C36C8F" w:rsidRDefault="009B3DDD" w:rsidP="009B3DDD">
      <w:pPr>
        <w:pStyle w:val="Heading40"/>
        <w:spacing w:before="0"/>
        <w:jc w:val="both"/>
      </w:pPr>
    </w:p>
    <w:p w:rsidR="00D14763" w:rsidRPr="00C36C8F" w:rsidRDefault="00D14763" w:rsidP="009B3DDD">
      <w:pPr>
        <w:pStyle w:val="Heading40"/>
        <w:spacing w:before="0"/>
        <w:jc w:val="both"/>
      </w:pPr>
      <w:r w:rsidRPr="00C36C8F">
        <w:t>Waste charges</w:t>
      </w:r>
    </w:p>
    <w:p w:rsidR="00D14763" w:rsidRPr="00C36C8F" w:rsidRDefault="00D14763" w:rsidP="009B3DDD">
      <w:pPr>
        <w:pStyle w:val="ParaIndent"/>
        <w:jc w:val="both"/>
      </w:pPr>
      <w:r w:rsidRPr="00C36C8F">
        <w:t>To deliver on each of the targets outlined, the Draft Strategy also presents a series of ‘strategies’ which are waste stream and program specific.</w:t>
      </w:r>
    </w:p>
    <w:p w:rsidR="00D14763" w:rsidRDefault="00D14763" w:rsidP="009B3DDD">
      <w:pPr>
        <w:pStyle w:val="ParaIndent"/>
        <w:jc w:val="both"/>
      </w:pPr>
      <w:r w:rsidRPr="00C36C8F">
        <w:t>One of the strategies the ACT has adopted in the past</w:t>
      </w:r>
      <w:r w:rsidR="009507A5" w:rsidRPr="00C36C8F">
        <w:t>,</w:t>
      </w:r>
      <w:r w:rsidRPr="00C36C8F">
        <w:t xml:space="preserve"> and which has worked well in supporting the diversion of waste from landfill</w:t>
      </w:r>
      <w:r w:rsidR="009507A5" w:rsidRPr="00C36C8F">
        <w:t>,</w:t>
      </w:r>
      <w:r w:rsidRPr="00C36C8F">
        <w:t xml:space="preserve"> has been to put a price on waste. The ACT has found that landfill disposal charges have changed behaviour, when compared with alternatives such as drop-off facilities that are free or have nominal fees which are less than landfill charges.</w:t>
      </w:r>
    </w:p>
    <w:p w:rsidR="001D657F" w:rsidRPr="00C36C8F" w:rsidRDefault="001D657F" w:rsidP="009B3DDD">
      <w:pPr>
        <w:pStyle w:val="ParaIndent"/>
        <w:jc w:val="both"/>
      </w:pPr>
      <w:r>
        <w:t>From 1 July 2011, the landfill fee for ACT household waste will be $68.67 per tonne, or $109.70 from non-ACT households. The landfill fee for general commercial and industrial waste will be $121.90 per tonne. Should the mixed C&amp;I waste contain greater than 50% recyclable material, then the fee payable will be $166.25 per tonne.</w:t>
      </w:r>
    </w:p>
    <w:p w:rsidR="00D14763" w:rsidRPr="00C36C8F" w:rsidRDefault="00D14763" w:rsidP="009B3DDD">
      <w:pPr>
        <w:pStyle w:val="ParaIndent"/>
        <w:jc w:val="both"/>
      </w:pPr>
      <w:r w:rsidRPr="00C36C8F">
        <w:t>The Draft Strategy highlights that the ACT Government will continue to develop its regulatory and pricing approach as the system for waste management evolves to incorporate new treatment and sorting facilities.</w:t>
      </w:r>
    </w:p>
    <w:p w:rsidR="00166307" w:rsidRPr="00C36C8F" w:rsidRDefault="00166307">
      <w:pPr>
        <w:spacing w:after="0" w:line="240" w:lineRule="auto"/>
        <w:ind w:left="0"/>
        <w:rPr>
          <w:rFonts w:cs="Arial"/>
          <w:color w:val="495F70"/>
          <w:sz w:val="32"/>
        </w:rPr>
      </w:pPr>
      <w:r w:rsidRPr="00C36C8F">
        <w:br w:type="page"/>
      </w:r>
    </w:p>
    <w:p w:rsidR="00D14763" w:rsidRPr="00C36C8F" w:rsidRDefault="00D14763" w:rsidP="00D14763">
      <w:pPr>
        <w:pStyle w:val="Heading2"/>
        <w:spacing w:before="240"/>
      </w:pPr>
      <w:bookmarkStart w:id="276" w:name="_Toc325020124"/>
      <w:bookmarkStart w:id="277" w:name="_Toc305049772"/>
      <w:r w:rsidRPr="00C36C8F">
        <w:t>Northern Territory</w:t>
      </w:r>
      <w:bookmarkEnd w:id="276"/>
      <w:bookmarkEnd w:id="277"/>
    </w:p>
    <w:p w:rsidR="00D14763" w:rsidRPr="00C36C8F" w:rsidRDefault="00D14763" w:rsidP="009B3DDD">
      <w:pPr>
        <w:pStyle w:val="ParaIndent"/>
        <w:keepNext/>
        <w:jc w:val="both"/>
      </w:pPr>
      <w:r w:rsidRPr="00C36C8F">
        <w:t>Information on the programs and strategies being implemented in the Northern Territory has been sourced from:</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Northern Territory Government websi</w:t>
      </w:r>
      <w:r w:rsidR="00166307" w:rsidRPr="00C36C8F">
        <w:t>te www.territory2030.nt.gov.au</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Northern Territory Department of Natural Resources, Environment and the Arts website: www.nt.gov.au/nreta/ </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Environment Protection Authority website www.epa.nt.gov.au </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 xml:space="preserve">The Department of the Chief Minister (2009) </w:t>
      </w:r>
      <w:r w:rsidRPr="00C36C8F">
        <w:rPr>
          <w:i/>
        </w:rPr>
        <w:t>Territory 2030 Strategic Plan</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Packaging Stewardship Forum of the Australian Food and Grocery Council website www.afgc.org.au</w:t>
      </w:r>
      <w:r w:rsidR="002B559B" w:rsidRPr="00C36C8F">
        <w:t>/psf/remote-and-indigenous.html</w:t>
      </w:r>
      <w:r w:rsidR="000D6CAA" w:rsidRPr="00C36C8F">
        <w:t>.</w:t>
      </w:r>
    </w:p>
    <w:p w:rsidR="00D14763" w:rsidRPr="00C36C8F" w:rsidRDefault="00D14763" w:rsidP="009B3DDD">
      <w:pPr>
        <w:pStyle w:val="ParaIndent"/>
        <w:jc w:val="both"/>
      </w:pPr>
      <w:r w:rsidRPr="00C36C8F">
        <w:t>The Northern Territory Environment Protection Authority (EPA) is an independent statutory body responsible for advising and making recommendations to NT Government, business and the community in relation to ecologically sustainable development. This includes addressing priority issues associated with human settlements and resource consumption, which include waste management.</w:t>
      </w:r>
    </w:p>
    <w:p w:rsidR="00D14763" w:rsidRPr="00C36C8F" w:rsidRDefault="00D14763" w:rsidP="009B3DDD">
      <w:pPr>
        <w:pStyle w:val="ParaIndent"/>
        <w:jc w:val="both"/>
      </w:pPr>
      <w:r w:rsidRPr="00C36C8F">
        <w:t>The NT Department of Natural Resources, Environment, the Arts and Sports (NRETAS) also has the Waste and Pollution Management unit which supports the Government to achieve its commitment to waste management.</w:t>
      </w:r>
    </w:p>
    <w:p w:rsidR="00D14763" w:rsidRPr="00C36C8F" w:rsidRDefault="00D14763" w:rsidP="009B3DDD">
      <w:pPr>
        <w:pStyle w:val="ParaIndent"/>
        <w:jc w:val="both"/>
      </w:pPr>
      <w:r w:rsidRPr="00C36C8F">
        <w:t>The Department of the Chief Minister began a process in 2008 to prepare a 20 year Strategic Plan for the NT. The NT Government appointed an independent steering committee, which defined six areas of importance to the Territory. These were: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education</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society</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economic sustainability</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health and wellbeing</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the environment</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knowl</w:t>
      </w:r>
      <w:r w:rsidR="002B559B" w:rsidRPr="00C36C8F">
        <w:t>edge, creativity and innovation</w:t>
      </w:r>
      <w:r w:rsidR="000D6CAA" w:rsidRPr="00C36C8F">
        <w:t>.</w:t>
      </w:r>
    </w:p>
    <w:p w:rsidR="00D14763" w:rsidRPr="00C36C8F" w:rsidRDefault="00D14763" w:rsidP="009B3DDD">
      <w:pPr>
        <w:pStyle w:val="ParaIndent"/>
        <w:jc w:val="both"/>
      </w:pPr>
      <w:r w:rsidRPr="00C36C8F">
        <w:t xml:space="preserve">After releasing and consulting on a draft Strategic Plan, the </w:t>
      </w:r>
      <w:r w:rsidRPr="00C36C8F">
        <w:rPr>
          <w:i/>
        </w:rPr>
        <w:t>Territory 2030 Strategic Plan</w:t>
      </w:r>
      <w:r w:rsidRPr="00C36C8F">
        <w:t xml:space="preserve"> (the Plan), was released in 2009.</w:t>
      </w:r>
    </w:p>
    <w:p w:rsidR="00D14763" w:rsidRPr="00C36C8F" w:rsidRDefault="00D14763" w:rsidP="009B3DDD">
      <w:pPr>
        <w:pStyle w:val="ParaIndent"/>
        <w:jc w:val="both"/>
      </w:pPr>
      <w:r w:rsidRPr="00C36C8F">
        <w:t>The Plan acknowledges that waste is a real issue for the NT. Waste management is addressed under some key areas of the Plan. These include objectives addressing the Territory making headway into lifestyle illnesses, where a target has been set to ‘improve environmental health in remote communities to a standard similar to rural and urban communities by 2020.’ Delivering effective waste management systems is seen as one action to deliver on this target.</w:t>
      </w:r>
    </w:p>
    <w:p w:rsidR="00D14763" w:rsidRPr="00C36C8F" w:rsidRDefault="00D14763" w:rsidP="009B3DDD">
      <w:pPr>
        <w:pStyle w:val="ParaIndent"/>
        <w:jc w:val="both"/>
      </w:pPr>
      <w:r w:rsidRPr="00C36C8F">
        <w:t xml:space="preserve">A further objective addresses sustainable living, and identifies a target to ‘reduce the amount of waste being taken to our rubbish dumps by 50% by 2020’. </w:t>
      </w:r>
    </w:p>
    <w:p w:rsidR="00D14763" w:rsidRPr="00C36C8F" w:rsidRDefault="00D14763" w:rsidP="009B3DDD">
      <w:pPr>
        <w:pStyle w:val="ParaIndent"/>
        <w:jc w:val="both"/>
      </w:pPr>
      <w:r w:rsidRPr="00C36C8F">
        <w:t>The measures that the Plan recommends be adopted to achieve this include: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measure and monitor aggregated landfill at licensed landfill locations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measure and monitor the volume of recycling</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provide more apartment complexes and residential areas with the capacity to recycle</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encourage better packaging of products by Territory manufacturers</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establish a container deposit system</w:t>
      </w:r>
    </w:p>
    <w:p w:rsidR="00D14763" w:rsidRPr="00C36C8F" w:rsidRDefault="00D14763" w:rsidP="009B3DDD">
      <w:pPr>
        <w:pStyle w:val="BulletPoints"/>
        <w:tabs>
          <w:tab w:val="clear" w:pos="567"/>
          <w:tab w:val="left" w:pos="1134"/>
          <w:tab w:val="num" w:pos="1701"/>
          <w:tab w:val="left" w:pos="2268"/>
        </w:tabs>
        <w:spacing w:after="180"/>
        <w:ind w:left="1701"/>
        <w:jc w:val="both"/>
      </w:pPr>
      <w:r w:rsidRPr="00C36C8F">
        <w:t>encourage a reduction of waste from Territory</w:t>
      </w:r>
      <w:r w:rsidR="002B559B" w:rsidRPr="00C36C8F">
        <w:t xml:space="preserve"> building and development sites</w:t>
      </w:r>
      <w:r w:rsidR="00A94464" w:rsidRPr="00C36C8F">
        <w:t>.</w:t>
      </w:r>
    </w:p>
    <w:p w:rsidR="00D14763" w:rsidRPr="00C36C8F" w:rsidRDefault="00D14763" w:rsidP="009B3DDD">
      <w:pPr>
        <w:pStyle w:val="ParaIndent"/>
        <w:jc w:val="both"/>
      </w:pPr>
      <w:r w:rsidRPr="00C36C8F">
        <w:t>It is proposed the Plan is reviewed every five years over its lifetime to ensure that it is meeting the objectives and outcomes it has set for the NT. The first review is scheduled for 2015.</w:t>
      </w:r>
    </w:p>
    <w:p w:rsidR="00D14763" w:rsidRPr="00C36C8F" w:rsidRDefault="00D14763" w:rsidP="009B3DDD">
      <w:pPr>
        <w:pStyle w:val="ParaIndent"/>
        <w:jc w:val="both"/>
      </w:pPr>
      <w:r w:rsidRPr="00C36C8F">
        <w:t>To support the practical implementation of the objectives of the Plan, the NT Government makes funding available through its annual EnvironmeNT Grants. The grants are available to schools, community groups, local government and industry associations for environmental projects and e</w:t>
      </w:r>
      <w:r w:rsidR="00A94464" w:rsidRPr="00C36C8F">
        <w:t xml:space="preserve">ducational activities. </w:t>
      </w:r>
      <w:r w:rsidRPr="00C36C8F">
        <w:t xml:space="preserve">Funding includes </w:t>
      </w:r>
      <w:r w:rsidR="00A94464" w:rsidRPr="00C36C8F">
        <w:t xml:space="preserve">support for </w:t>
      </w:r>
      <w:r w:rsidRPr="00C36C8F">
        <w:t>projects with a waste and resource recovery focus.</w:t>
      </w:r>
    </w:p>
    <w:p w:rsidR="00A94464" w:rsidRPr="00C36C8F" w:rsidRDefault="00D14763" w:rsidP="009B3DDD">
      <w:pPr>
        <w:pStyle w:val="ParaIndent"/>
        <w:jc w:val="both"/>
      </w:pPr>
      <w:r w:rsidRPr="00C36C8F">
        <w:t xml:space="preserve">To support opportunities in remote areas of the NT, organisations including the NT Government, Packaging Stewardship Forum of the Australian Food and Grocery Council (PSF) and Keep Australia Beautiful NT, have been working in partnership with </w:t>
      </w:r>
      <w:r w:rsidR="000D6CAA" w:rsidRPr="00C36C8F">
        <w:t>I</w:t>
      </w:r>
      <w:r w:rsidRPr="00C36C8F">
        <w:t>ndigenous communities to support their clean up and material recovery efforts. The partnership program has included the development and provision of guidance (‘Clean Up’ Book) and recovery services in remote indigenous communities. The initiative was launched in the NT in December 2007 and the partnership has seen the introduction of new recycling systems into many communities which were previously without services.</w:t>
      </w:r>
    </w:p>
    <w:p w:rsidR="00D14763" w:rsidRPr="00C36C8F" w:rsidRDefault="00D14763" w:rsidP="00E175A1">
      <w:pPr>
        <w:pStyle w:val="ParaIndent"/>
      </w:pPr>
      <w:r w:rsidRPr="00C36C8F">
        <w:br w:type="page"/>
      </w:r>
    </w:p>
    <w:p w:rsidR="0065771E" w:rsidRPr="00C36C8F" w:rsidRDefault="00107EAD" w:rsidP="0065771E">
      <w:pPr>
        <w:pStyle w:val="Heading1"/>
      </w:pPr>
      <w:bookmarkStart w:id="278" w:name="_Ref295214643"/>
      <w:bookmarkStart w:id="279" w:name="_Toc325020125"/>
      <w:bookmarkStart w:id="280" w:name="_Toc305049773"/>
      <w:r w:rsidRPr="00C36C8F">
        <w:rPr>
          <w:caps w:val="0"/>
        </w:rPr>
        <w:t>BARRIERS TO RESOURCE RECOVERY</w:t>
      </w:r>
      <w:bookmarkEnd w:id="242"/>
      <w:r w:rsidR="003E78E4" w:rsidRPr="00C36C8F">
        <w:rPr>
          <w:caps w:val="0"/>
        </w:rPr>
        <w:t xml:space="preserve"> &amp; WASTE </w:t>
      </w:r>
      <w:r w:rsidR="004B674B" w:rsidRPr="00C36C8F">
        <w:rPr>
          <w:caps w:val="0"/>
        </w:rPr>
        <w:t>MINIMISATION</w:t>
      </w:r>
      <w:bookmarkEnd w:id="278"/>
      <w:bookmarkEnd w:id="279"/>
      <w:bookmarkEnd w:id="280"/>
    </w:p>
    <w:p w:rsidR="00CF4BDC" w:rsidRPr="00C36C8F" w:rsidRDefault="00C5692B" w:rsidP="009B3DDD">
      <w:pPr>
        <w:pStyle w:val="ParaIndent"/>
        <w:jc w:val="both"/>
      </w:pPr>
      <w:r w:rsidRPr="00C36C8F">
        <w:t xml:space="preserve">This section contains </w:t>
      </w:r>
      <w:r w:rsidR="009D6F04" w:rsidRPr="00C36C8F">
        <w:t>an</w:t>
      </w:r>
      <w:r w:rsidRPr="00C36C8F">
        <w:t xml:space="preserve"> </w:t>
      </w:r>
      <w:r w:rsidR="009D6F04" w:rsidRPr="00C36C8F">
        <w:t xml:space="preserve">overview </w:t>
      </w:r>
      <w:r w:rsidRPr="00C36C8F">
        <w:t xml:space="preserve">discussion of the main barriers to </w:t>
      </w:r>
      <w:r w:rsidR="00A94464" w:rsidRPr="00C36C8F">
        <w:t xml:space="preserve">increasing the level of </w:t>
      </w:r>
      <w:r w:rsidR="00684BB7" w:rsidRPr="00C36C8F">
        <w:t>resource recovery in Australia</w:t>
      </w:r>
      <w:r w:rsidR="009D6F04" w:rsidRPr="00C36C8F">
        <w:t xml:space="preserve">. </w:t>
      </w:r>
      <w:r w:rsidR="00A94464" w:rsidRPr="00C36C8F">
        <w:t xml:space="preserve">Information from a wide range of sources was drawn together to provide an updated perspective on the barriers to resource recovery. This section of the report is an update from that provided in the 2009 report. </w:t>
      </w:r>
      <w:r w:rsidR="00CF4BDC" w:rsidRPr="00C36C8F">
        <w:t>The overarching framework for the discussion is based on a series of assumptions, which include:</w:t>
      </w:r>
    </w:p>
    <w:p w:rsidR="00CF4BDC" w:rsidRPr="00C36C8F" w:rsidRDefault="0040431B" w:rsidP="009B3DDD">
      <w:pPr>
        <w:pStyle w:val="BulletPoints"/>
        <w:tabs>
          <w:tab w:val="clear" w:pos="567"/>
          <w:tab w:val="left" w:pos="1134"/>
          <w:tab w:val="num" w:pos="1701"/>
          <w:tab w:val="left" w:pos="2268"/>
        </w:tabs>
        <w:spacing w:after="180"/>
        <w:ind w:left="1701"/>
        <w:jc w:val="both"/>
        <w:rPr>
          <w:lang w:eastAsia="en-AU"/>
        </w:rPr>
      </w:pPr>
      <w:r>
        <w:t>i</w:t>
      </w:r>
      <w:r w:rsidR="00CF4BDC" w:rsidRPr="00C36C8F">
        <w:t xml:space="preserve">ncreased resource recovery </w:t>
      </w:r>
      <w:r w:rsidR="003E78E4" w:rsidRPr="00C36C8F">
        <w:t xml:space="preserve">and reduced waste disposal to landfill </w:t>
      </w:r>
      <w:r w:rsidR="00A94464" w:rsidRPr="00C36C8F">
        <w:t>are</w:t>
      </w:r>
      <w:r w:rsidR="00CF4BDC" w:rsidRPr="00C36C8F">
        <w:t xml:space="preserve"> desirable due to the environmental and social benefits that they deliver</w:t>
      </w:r>
    </w:p>
    <w:p w:rsidR="00CF4BDC" w:rsidRPr="00C36C8F" w:rsidRDefault="0040431B" w:rsidP="009B3DDD">
      <w:pPr>
        <w:pStyle w:val="BulletPoints"/>
        <w:tabs>
          <w:tab w:val="clear" w:pos="567"/>
          <w:tab w:val="left" w:pos="1134"/>
          <w:tab w:val="num" w:pos="1701"/>
          <w:tab w:val="left" w:pos="2268"/>
        </w:tabs>
        <w:spacing w:after="180"/>
        <w:ind w:left="1701"/>
        <w:jc w:val="both"/>
      </w:pPr>
      <w:r>
        <w:t>t</w:t>
      </w:r>
      <w:r w:rsidR="00CF4BDC" w:rsidRPr="00C36C8F">
        <w:t>he optimal point of resource recovery</w:t>
      </w:r>
      <w:r w:rsidR="003E78E4" w:rsidRPr="00C36C8F">
        <w:t xml:space="preserve"> </w:t>
      </w:r>
      <w:r w:rsidR="00A94464" w:rsidRPr="00C36C8F">
        <w:t>has</w:t>
      </w:r>
      <w:r w:rsidR="00CF4BDC" w:rsidRPr="00C36C8F">
        <w:t xml:space="preserve"> not yet been achieved</w:t>
      </w:r>
      <w:r w:rsidR="003E78E4" w:rsidRPr="00C36C8F">
        <w:t xml:space="preserve"> in Australia</w:t>
      </w:r>
    </w:p>
    <w:p w:rsidR="00CF4BDC" w:rsidRPr="00C36C8F" w:rsidRDefault="0040431B" w:rsidP="009B3DDD">
      <w:pPr>
        <w:pStyle w:val="BulletPoints"/>
        <w:tabs>
          <w:tab w:val="clear" w:pos="567"/>
          <w:tab w:val="left" w:pos="1134"/>
          <w:tab w:val="num" w:pos="1701"/>
          <w:tab w:val="left" w:pos="2268"/>
        </w:tabs>
        <w:spacing w:after="180"/>
        <w:ind w:left="1701"/>
        <w:jc w:val="both"/>
      </w:pPr>
      <w:r>
        <w:t>d</w:t>
      </w:r>
      <w:r w:rsidR="00A94464" w:rsidRPr="00C36C8F">
        <w:t>ifferent barriers apply</w:t>
      </w:r>
      <w:r w:rsidR="00CF4BDC" w:rsidRPr="00C36C8F">
        <w:t xml:space="preserve"> in varying measure to the diverse products </w:t>
      </w:r>
      <w:r w:rsidR="00B137B8" w:rsidRPr="00C36C8F">
        <w:t xml:space="preserve">and materials </w:t>
      </w:r>
      <w:r w:rsidR="00A94464" w:rsidRPr="00C36C8F">
        <w:t>reaching end-of-life</w:t>
      </w:r>
      <w:r w:rsidR="00BF44C6" w:rsidRPr="00C36C8F">
        <w:t>.</w:t>
      </w:r>
    </w:p>
    <w:p w:rsidR="00CF4BDC" w:rsidRPr="00C36C8F" w:rsidRDefault="00CF4BDC" w:rsidP="009B3DDD">
      <w:pPr>
        <w:pStyle w:val="ParaIndent"/>
        <w:jc w:val="both"/>
      </w:pPr>
      <w:r w:rsidRPr="00C36C8F">
        <w:t>On the basis of these considerations the discussion that follows is the</w:t>
      </w:r>
      <w:r w:rsidR="00A94464" w:rsidRPr="00C36C8F">
        <w:t>refore of a general nature, and</w:t>
      </w:r>
      <w:r w:rsidRPr="00C36C8F">
        <w:t xml:space="preserve"> applies t</w:t>
      </w:r>
      <w:r w:rsidR="004D16C7" w:rsidRPr="00C36C8F">
        <w:t xml:space="preserve">o resource recovery </w:t>
      </w:r>
      <w:r w:rsidR="003E78E4" w:rsidRPr="00C36C8F">
        <w:t xml:space="preserve">and waste avoidance </w:t>
      </w:r>
      <w:r w:rsidR="004D16C7" w:rsidRPr="00C36C8F">
        <w:t>nationally.</w:t>
      </w:r>
    </w:p>
    <w:p w:rsidR="004D16C7" w:rsidRPr="00C36C8F" w:rsidRDefault="004D16C7" w:rsidP="004D16C7">
      <w:pPr>
        <w:pStyle w:val="Heading2"/>
      </w:pPr>
      <w:bookmarkStart w:id="281" w:name="_Toc325020126"/>
      <w:bookmarkStart w:id="282" w:name="_Toc305049774"/>
      <w:r w:rsidRPr="00C36C8F">
        <w:t>Unrestricted disposal</w:t>
      </w:r>
      <w:bookmarkEnd w:id="281"/>
      <w:bookmarkEnd w:id="282"/>
      <w:r w:rsidRPr="00C36C8F">
        <w:t xml:space="preserve"> </w:t>
      </w:r>
    </w:p>
    <w:p w:rsidR="004D16C7" w:rsidRPr="00C36C8F" w:rsidRDefault="00684BB7" w:rsidP="009B3DDD">
      <w:pPr>
        <w:pStyle w:val="BulletPoints"/>
        <w:numPr>
          <w:ilvl w:val="0"/>
          <w:numId w:val="0"/>
        </w:numPr>
        <w:spacing w:after="180"/>
        <w:ind w:left="1134"/>
        <w:jc w:val="both"/>
      </w:pPr>
      <w:r w:rsidRPr="00C36C8F">
        <w:t>In most Australian states and territories recycla</w:t>
      </w:r>
      <w:r w:rsidR="00A94464" w:rsidRPr="00C36C8F">
        <w:t>ble materials can be disposed</w:t>
      </w:r>
      <w:r w:rsidRPr="00C36C8F">
        <w:t xml:space="preserve"> to landfill without re</w:t>
      </w:r>
      <w:r w:rsidR="002D5148" w:rsidRPr="00C36C8F">
        <w:t>striction</w:t>
      </w:r>
      <w:r w:rsidRPr="00C36C8F">
        <w:t xml:space="preserve">. </w:t>
      </w:r>
      <w:r w:rsidR="009D166B">
        <w:t xml:space="preserve">In 2010 </w:t>
      </w:r>
      <w:r w:rsidR="004D16C7" w:rsidRPr="00C36C8F">
        <w:t>Hyder completed a desk top study into the international application of landfill bans</w:t>
      </w:r>
      <w:r w:rsidR="002D5148" w:rsidRPr="00C36C8F">
        <w:t xml:space="preserve"> and disposal restrictions</w:t>
      </w:r>
      <w:r w:rsidR="004D16C7" w:rsidRPr="00C36C8F">
        <w:rPr>
          <w:rStyle w:val="FootnoteReference"/>
        </w:rPr>
        <w:footnoteReference w:id="27"/>
      </w:r>
      <w:r w:rsidR="004D16C7" w:rsidRPr="00C36C8F">
        <w:t xml:space="preserve">. This review found many overseas jurisdictions have successfully introduced bans </w:t>
      </w:r>
      <w:r w:rsidR="002D5148" w:rsidRPr="00C36C8F">
        <w:t xml:space="preserve">or restrictions </w:t>
      </w:r>
      <w:r w:rsidR="004D16C7" w:rsidRPr="00C36C8F">
        <w:t>on the disposal of recyclables to landfill.</w:t>
      </w:r>
    </w:p>
    <w:p w:rsidR="004D16C7" w:rsidRPr="00C36C8F" w:rsidRDefault="004D16C7" w:rsidP="009B3DDD">
      <w:pPr>
        <w:pStyle w:val="BulletPoints"/>
        <w:numPr>
          <w:ilvl w:val="0"/>
          <w:numId w:val="0"/>
        </w:numPr>
        <w:spacing w:after="180"/>
        <w:ind w:left="1134"/>
        <w:jc w:val="both"/>
      </w:pPr>
      <w:r w:rsidRPr="00C36C8F">
        <w:t>In Europe for example, some landfill bans have been in existence for a decade and offer a good guide as to how bans can impact on waste outcomes. In all of the cases examined a combination of bans and other instruments (such as levies) have produced strong results in reducing waste disposal to landfill.</w:t>
      </w:r>
    </w:p>
    <w:p w:rsidR="004D16C7" w:rsidRPr="00C36C8F" w:rsidRDefault="004D16C7" w:rsidP="009B3DDD">
      <w:pPr>
        <w:pStyle w:val="BulletPoints"/>
        <w:numPr>
          <w:ilvl w:val="0"/>
          <w:numId w:val="0"/>
        </w:numPr>
        <w:spacing w:after="180"/>
        <w:ind w:left="1134"/>
        <w:jc w:val="both"/>
      </w:pPr>
      <w:r w:rsidRPr="00C36C8F">
        <w:t>The investigation highlighted that overseas bans</w:t>
      </w:r>
      <w:r w:rsidR="002D5148" w:rsidRPr="00C36C8F">
        <w:t xml:space="preserve"> and restrictions</w:t>
      </w:r>
      <w:r w:rsidRPr="00C36C8F">
        <w:t xml:space="preserve"> took a range of different forms. Some addressed unsorted waste; wastes determined by their organic content; by their sources; or by waste type, such as e-waste, liquid wastes, batteries, packaging, vehicles, timber, paper and biodegradable wastes.</w:t>
      </w:r>
    </w:p>
    <w:p w:rsidR="00684BB7" w:rsidRPr="00C36C8F" w:rsidRDefault="00684BB7" w:rsidP="009B3DDD">
      <w:pPr>
        <w:pStyle w:val="BulletPoints"/>
        <w:numPr>
          <w:ilvl w:val="0"/>
          <w:numId w:val="0"/>
        </w:numPr>
        <w:spacing w:after="180"/>
        <w:ind w:left="1134"/>
        <w:jc w:val="both"/>
      </w:pPr>
      <w:r w:rsidRPr="00C36C8F">
        <w:t>There are, h</w:t>
      </w:r>
      <w:r w:rsidR="004D16C7" w:rsidRPr="00C36C8F">
        <w:t>owever, a number of different landfill bans</w:t>
      </w:r>
      <w:r w:rsidR="002D5148" w:rsidRPr="00C36C8F">
        <w:t xml:space="preserve"> and restrictions</w:t>
      </w:r>
      <w:r w:rsidR="004D16C7" w:rsidRPr="00C36C8F">
        <w:t xml:space="preserve"> in place </w:t>
      </w:r>
      <w:r w:rsidRPr="00C36C8F">
        <w:t>in Australian</w:t>
      </w:r>
      <w:r w:rsidR="004D16C7" w:rsidRPr="00C36C8F">
        <w:t xml:space="preserve"> jurisdictions.</w:t>
      </w:r>
      <w:r w:rsidRPr="00C36C8F">
        <w:t xml:space="preserve"> </w:t>
      </w:r>
      <w:r w:rsidR="004D16C7" w:rsidRPr="00C36C8F">
        <w:t xml:space="preserve">These landfall bans </w:t>
      </w:r>
      <w:r w:rsidR="002D5148" w:rsidRPr="00C36C8F">
        <w:t xml:space="preserve">and restrictions </w:t>
      </w:r>
      <w:r w:rsidR="004D16C7" w:rsidRPr="00C36C8F">
        <w:t xml:space="preserve">are supported by a range of federal and </w:t>
      </w:r>
      <w:r w:rsidRPr="00C36C8F">
        <w:t>state regulations and programs.</w:t>
      </w:r>
    </w:p>
    <w:p w:rsidR="004D16C7" w:rsidRPr="00C36C8F" w:rsidRDefault="004D16C7" w:rsidP="009B3DDD">
      <w:pPr>
        <w:pStyle w:val="BulletPoints"/>
        <w:numPr>
          <w:ilvl w:val="0"/>
          <w:numId w:val="0"/>
        </w:numPr>
        <w:spacing w:after="180"/>
        <w:ind w:left="1134"/>
        <w:jc w:val="both"/>
      </w:pPr>
      <w:r w:rsidRPr="00C36C8F">
        <w:t>The Hyder study found each Australian jurisdiction was using a different set of tools to control wastes. In addition, motivations for waste management in Australia were usually different from those overseas. In Europe there were often pressures to move away from landfill for capacity reasons</w:t>
      </w:r>
      <w:r w:rsidR="00F77479" w:rsidRPr="00C36C8F">
        <w:t xml:space="preserve"> (as well as legislation)</w:t>
      </w:r>
      <w:r w:rsidRPr="00C36C8F">
        <w:t xml:space="preserve">. With </w:t>
      </w:r>
      <w:r w:rsidR="002D5148" w:rsidRPr="00C36C8F">
        <w:t>some</w:t>
      </w:r>
      <w:r w:rsidRPr="00C36C8F">
        <w:t xml:space="preserve"> exceptions, jurisdictions within Australia do not have this problem, so capacity concerns </w:t>
      </w:r>
      <w:r w:rsidR="002D5148" w:rsidRPr="00C36C8F">
        <w:t>may</w:t>
      </w:r>
      <w:r w:rsidR="00D87D59" w:rsidRPr="00C36C8F">
        <w:t xml:space="preserve"> not</w:t>
      </w:r>
      <w:r w:rsidRPr="00C36C8F">
        <w:t xml:space="preserve"> apply.</w:t>
      </w:r>
    </w:p>
    <w:p w:rsidR="004D16C7" w:rsidRPr="00C36C8F" w:rsidRDefault="004D16C7" w:rsidP="009B3DDD">
      <w:pPr>
        <w:pStyle w:val="BulletPoints"/>
        <w:numPr>
          <w:ilvl w:val="0"/>
          <w:numId w:val="0"/>
        </w:numPr>
        <w:spacing w:after="180"/>
        <w:ind w:left="1134"/>
        <w:jc w:val="both"/>
      </w:pPr>
      <w:r w:rsidRPr="00C36C8F">
        <w:t xml:space="preserve">Landfill bans </w:t>
      </w:r>
      <w:r w:rsidR="002D5148" w:rsidRPr="00C36C8F">
        <w:t xml:space="preserve">or restrictions </w:t>
      </w:r>
      <w:r w:rsidRPr="00C36C8F">
        <w:t>in Australia are mostly based on the properties of waste, and are identified by either this factor (waste property) or waste type. Examples included:</w:t>
      </w:r>
    </w:p>
    <w:p w:rsidR="004D16C7" w:rsidRPr="00C36C8F" w:rsidRDefault="0040431B" w:rsidP="009B3DDD">
      <w:pPr>
        <w:pStyle w:val="BulletPoints"/>
        <w:tabs>
          <w:tab w:val="clear" w:pos="567"/>
          <w:tab w:val="left" w:pos="1134"/>
          <w:tab w:val="num" w:pos="1701"/>
          <w:tab w:val="left" w:pos="2268"/>
        </w:tabs>
        <w:spacing w:after="180"/>
        <w:ind w:left="1701"/>
        <w:jc w:val="both"/>
      </w:pPr>
      <w:r>
        <w:t>c</w:t>
      </w:r>
      <w:r w:rsidR="004D16C7" w:rsidRPr="00C36C8F">
        <w:t>ontaminated soil which was banned in Victoria on the basis of its chemical properties and was also characteris</w:t>
      </w:r>
      <w:r w:rsidR="00F77479" w:rsidRPr="00C36C8F">
        <w:t>ed by these chemical properties</w:t>
      </w:r>
    </w:p>
    <w:p w:rsidR="004D16C7" w:rsidRPr="00C36C8F" w:rsidRDefault="0040431B" w:rsidP="009B3DDD">
      <w:pPr>
        <w:pStyle w:val="BulletPoints"/>
        <w:tabs>
          <w:tab w:val="clear" w:pos="567"/>
          <w:tab w:val="left" w:pos="1134"/>
          <w:tab w:val="num" w:pos="1701"/>
          <w:tab w:val="left" w:pos="2268"/>
        </w:tabs>
        <w:spacing w:after="180"/>
        <w:ind w:left="1701"/>
        <w:jc w:val="both"/>
      </w:pPr>
      <w:r>
        <w:t>m</w:t>
      </w:r>
      <w:r w:rsidR="004D16C7" w:rsidRPr="00C36C8F">
        <w:t>edical waste in South Australia which was banned on the basis of its potentially infectious propertie</w:t>
      </w:r>
      <w:r w:rsidR="00F77479" w:rsidRPr="00C36C8F">
        <w:t>s but the ban was by waste type.</w:t>
      </w:r>
    </w:p>
    <w:p w:rsidR="004D16C7" w:rsidRPr="00C36C8F" w:rsidRDefault="004D16C7" w:rsidP="009B3DDD">
      <w:pPr>
        <w:pStyle w:val="BulletPoints"/>
        <w:numPr>
          <w:ilvl w:val="0"/>
          <w:numId w:val="0"/>
        </w:numPr>
        <w:spacing w:after="180"/>
        <w:ind w:left="1134"/>
        <w:jc w:val="both"/>
      </w:pPr>
      <w:r w:rsidRPr="00C36C8F">
        <w:t xml:space="preserve">The Hyder study determined the barriers which needed to be addressed in planning for and implementing landfill bans </w:t>
      </w:r>
      <w:r w:rsidR="002D5148" w:rsidRPr="00C36C8F">
        <w:t xml:space="preserve">or restrictions </w:t>
      </w:r>
      <w:r w:rsidRPr="00C36C8F">
        <w:t>should include:</w:t>
      </w:r>
    </w:p>
    <w:p w:rsidR="004D16C7" w:rsidRPr="00C36C8F" w:rsidRDefault="0040431B" w:rsidP="009B3DDD">
      <w:pPr>
        <w:pStyle w:val="BulletPoints"/>
        <w:tabs>
          <w:tab w:val="clear" w:pos="567"/>
          <w:tab w:val="left" w:pos="1134"/>
          <w:tab w:val="num" w:pos="1701"/>
          <w:tab w:val="left" w:pos="2268"/>
        </w:tabs>
        <w:spacing w:after="180"/>
        <w:ind w:left="1701"/>
        <w:jc w:val="both"/>
      </w:pPr>
      <w:r>
        <w:t>a</w:t>
      </w:r>
      <w:r w:rsidR="004D16C7" w:rsidRPr="00C36C8F">
        <w:t>nalysis of environmental and financial outcomes</w:t>
      </w:r>
      <w:r w:rsidR="00F77479" w:rsidRPr="00C36C8F">
        <w:t xml:space="preserve"> and technologies</w:t>
      </w:r>
    </w:p>
    <w:p w:rsidR="004D16C7" w:rsidRPr="00C36C8F" w:rsidRDefault="0040431B" w:rsidP="009B3DDD">
      <w:pPr>
        <w:pStyle w:val="BulletPoints"/>
        <w:tabs>
          <w:tab w:val="clear" w:pos="567"/>
          <w:tab w:val="left" w:pos="1134"/>
          <w:tab w:val="num" w:pos="1701"/>
          <w:tab w:val="left" w:pos="2268"/>
        </w:tabs>
        <w:spacing w:after="180"/>
        <w:ind w:left="1701"/>
        <w:jc w:val="both"/>
      </w:pPr>
      <w:r>
        <w:t>l</w:t>
      </w:r>
      <w:r w:rsidR="004D16C7" w:rsidRPr="00C36C8F">
        <w:t>ocal involvement and implementation</w:t>
      </w:r>
    </w:p>
    <w:p w:rsidR="004D16C7" w:rsidRPr="00C36C8F" w:rsidRDefault="0040431B" w:rsidP="009B3DDD">
      <w:pPr>
        <w:pStyle w:val="BulletPoints"/>
        <w:tabs>
          <w:tab w:val="clear" w:pos="567"/>
          <w:tab w:val="left" w:pos="1134"/>
          <w:tab w:val="num" w:pos="1701"/>
          <w:tab w:val="left" w:pos="2268"/>
        </w:tabs>
        <w:spacing w:after="180"/>
        <w:ind w:left="1701"/>
        <w:jc w:val="both"/>
      </w:pPr>
      <w:r>
        <w:t>c</w:t>
      </w:r>
      <w:r w:rsidR="004D16C7" w:rsidRPr="00C36C8F">
        <w:t>lear responsibilities and cooperation between government levels</w:t>
      </w:r>
    </w:p>
    <w:p w:rsidR="004D16C7" w:rsidRPr="00C36C8F" w:rsidRDefault="0040431B" w:rsidP="009B3DDD">
      <w:pPr>
        <w:pStyle w:val="BulletPoints"/>
        <w:tabs>
          <w:tab w:val="clear" w:pos="567"/>
          <w:tab w:val="left" w:pos="1134"/>
          <w:tab w:val="num" w:pos="1701"/>
          <w:tab w:val="left" w:pos="2268"/>
        </w:tabs>
        <w:spacing w:after="180"/>
        <w:ind w:left="1701"/>
        <w:jc w:val="both"/>
      </w:pPr>
      <w:r>
        <w:t>j</w:t>
      </w:r>
      <w:r w:rsidR="00D87D59" w:rsidRPr="00C36C8F">
        <w:t>uridical</w:t>
      </w:r>
      <w:r w:rsidR="004D16C7" w:rsidRPr="00C36C8F">
        <w:t xml:space="preserve"> and financial instruments</w:t>
      </w:r>
    </w:p>
    <w:p w:rsidR="004D16C7" w:rsidRPr="00C36C8F" w:rsidRDefault="0040431B" w:rsidP="009B3DDD">
      <w:pPr>
        <w:pStyle w:val="BulletPoints"/>
        <w:tabs>
          <w:tab w:val="clear" w:pos="567"/>
          <w:tab w:val="left" w:pos="1134"/>
          <w:tab w:val="num" w:pos="1701"/>
          <w:tab w:val="left" w:pos="2268"/>
        </w:tabs>
        <w:spacing w:after="180"/>
        <w:ind w:left="1701"/>
        <w:jc w:val="both"/>
      </w:pPr>
      <w:r>
        <w:t>t</w:t>
      </w:r>
      <w:r w:rsidR="004D16C7" w:rsidRPr="00C36C8F">
        <w:t>ransparency and clear communication to the public</w:t>
      </w:r>
    </w:p>
    <w:p w:rsidR="004D16C7" w:rsidRPr="00C36C8F" w:rsidRDefault="0040431B" w:rsidP="009B3DDD">
      <w:pPr>
        <w:pStyle w:val="BulletPoints"/>
        <w:tabs>
          <w:tab w:val="clear" w:pos="567"/>
          <w:tab w:val="left" w:pos="1134"/>
          <w:tab w:val="num" w:pos="1701"/>
          <w:tab w:val="left" w:pos="2268"/>
        </w:tabs>
        <w:spacing w:after="180"/>
        <w:ind w:left="1701"/>
        <w:jc w:val="both"/>
      </w:pPr>
      <w:r>
        <w:t>c</w:t>
      </w:r>
      <w:r w:rsidR="004D16C7" w:rsidRPr="00C36C8F">
        <w:t>larity in establishing timelines for compliance.</w:t>
      </w:r>
    </w:p>
    <w:p w:rsidR="004D16C7" w:rsidRPr="00C36C8F" w:rsidRDefault="004D16C7" w:rsidP="009B3DDD">
      <w:pPr>
        <w:pStyle w:val="BulletPoints"/>
        <w:numPr>
          <w:ilvl w:val="0"/>
          <w:numId w:val="0"/>
        </w:numPr>
        <w:spacing w:after="180"/>
        <w:ind w:left="1134"/>
        <w:jc w:val="both"/>
      </w:pPr>
      <w:r w:rsidRPr="00C36C8F">
        <w:t xml:space="preserve">The review indicated the successful implementation of landfill bans benefited from a clear articulation of the goals of the ban. One barrier for future implementation of landfill bans in Australia may be that each jurisdiction has its own </w:t>
      </w:r>
      <w:r w:rsidR="00D95F3C" w:rsidRPr="00C36C8F">
        <w:t xml:space="preserve">specific conditions and </w:t>
      </w:r>
      <w:r w:rsidRPr="00C36C8F">
        <w:t>motivations for introducing bans.</w:t>
      </w:r>
    </w:p>
    <w:p w:rsidR="004D16C7" w:rsidRPr="00C36C8F" w:rsidRDefault="004D16C7" w:rsidP="009B3DDD">
      <w:pPr>
        <w:pStyle w:val="Heading3"/>
        <w:numPr>
          <w:ilvl w:val="2"/>
          <w:numId w:val="12"/>
        </w:numPr>
      </w:pPr>
      <w:r w:rsidRPr="00C36C8F">
        <w:t>Pre-sorting at landfills</w:t>
      </w:r>
    </w:p>
    <w:p w:rsidR="004D16C7" w:rsidRPr="00C36C8F" w:rsidRDefault="004D16C7" w:rsidP="009B3DDD">
      <w:pPr>
        <w:pStyle w:val="BulletPoints"/>
        <w:numPr>
          <w:ilvl w:val="0"/>
          <w:numId w:val="0"/>
        </w:numPr>
        <w:spacing w:after="180"/>
        <w:ind w:left="1134"/>
        <w:jc w:val="both"/>
      </w:pPr>
      <w:r w:rsidRPr="00C36C8F">
        <w:t>The Hyder review found that another important element of the successful implementation of a landfill ban was to build an understanding of where waste would be diverted. Understanding of the alternative avenue of treatment usually improved support for landfill bans and the development of regulations and associated programs.</w:t>
      </w:r>
    </w:p>
    <w:p w:rsidR="004D16C7" w:rsidRPr="00C36C8F" w:rsidRDefault="004D16C7" w:rsidP="009B3DDD">
      <w:pPr>
        <w:pStyle w:val="BulletPoints"/>
        <w:numPr>
          <w:ilvl w:val="0"/>
          <w:numId w:val="0"/>
        </w:numPr>
        <w:spacing w:after="180"/>
        <w:ind w:left="1134"/>
        <w:jc w:val="both"/>
      </w:pPr>
      <w:r w:rsidRPr="00C36C8F">
        <w:t>Pre-sort facilities at landfill sites are one such alternative treatment. A pre-sort condition on waste destined for landfill is in place in a number</w:t>
      </w:r>
      <w:r w:rsidR="00D95F3C" w:rsidRPr="00C36C8F">
        <w:t xml:space="preserve"> of countries in Europe. A cost-</w:t>
      </w:r>
      <w:r w:rsidRPr="00C36C8F">
        <w:t xml:space="preserve">benefit analysis by the United Kingdom Waste and Resources Action Programme (WRAP) indicated the application of a pre-sort condition delivered positive benefits. </w:t>
      </w:r>
    </w:p>
    <w:p w:rsidR="004D16C7" w:rsidRPr="00C36C8F" w:rsidRDefault="004D16C7" w:rsidP="009B3DDD">
      <w:pPr>
        <w:pStyle w:val="BulletPoints"/>
        <w:numPr>
          <w:ilvl w:val="0"/>
          <w:numId w:val="0"/>
        </w:numPr>
        <w:spacing w:after="180"/>
        <w:ind w:left="1134"/>
        <w:jc w:val="both"/>
      </w:pPr>
      <w:r w:rsidRPr="00C36C8F">
        <w:t>Australia has the technological capabilities to manage the application of pre-sort conditions on landfilling. This has been demonstrated most effectively in South Australia where a ban is in place on the disposal of waste to landfill of material that has not first been subjected to a resource recovery process (pre-sort) in Metropolitan Adelaide.</w:t>
      </w:r>
    </w:p>
    <w:p w:rsidR="004D16C7" w:rsidRPr="00C36C8F" w:rsidRDefault="004D16C7" w:rsidP="009B3DDD">
      <w:pPr>
        <w:pStyle w:val="BulletPoints"/>
        <w:numPr>
          <w:ilvl w:val="0"/>
          <w:numId w:val="0"/>
        </w:numPr>
        <w:spacing w:after="180"/>
        <w:ind w:left="1134"/>
        <w:jc w:val="both"/>
      </w:pPr>
      <w:r w:rsidRPr="00C36C8F">
        <w:t xml:space="preserve">In addition, South </w:t>
      </w:r>
      <w:r w:rsidR="00684BB7" w:rsidRPr="00C36C8F">
        <w:t xml:space="preserve">Australia </w:t>
      </w:r>
      <w:r w:rsidRPr="00C36C8F">
        <w:t>has introduced a schedule of landfill ban</w:t>
      </w:r>
      <w:r w:rsidR="001F5066" w:rsidRPr="00C36C8F">
        <w:t>s</w:t>
      </w:r>
      <w:r w:rsidR="00D95F3C" w:rsidRPr="00C36C8F">
        <w:t>, (as previously detailed in S</w:t>
      </w:r>
      <w:r w:rsidRPr="00C36C8F">
        <w:t xml:space="preserve">ection </w:t>
      </w:r>
      <w:fldSimple w:instr=" REF _Ref284327737 \r \h  \* MERGEFORMAT ">
        <w:r w:rsidR="00AE7E3B">
          <w:t>6</w:t>
        </w:r>
      </w:fldSimple>
      <w:r w:rsidRPr="00C36C8F">
        <w:t>). These bans include the targeting of disposal to landfill of recyclable materials. South Australia’s initiative extends the scope of landfill bans beyond those in other Australian jurisdictions to one that is more reflective of the European approach.</w:t>
      </w:r>
    </w:p>
    <w:p w:rsidR="004D16C7" w:rsidRPr="00C36C8F" w:rsidRDefault="004D16C7" w:rsidP="009B3DDD">
      <w:pPr>
        <w:pStyle w:val="BulletPoints"/>
        <w:numPr>
          <w:ilvl w:val="0"/>
          <w:numId w:val="0"/>
        </w:numPr>
        <w:spacing w:after="180"/>
        <w:ind w:left="1134"/>
        <w:jc w:val="both"/>
      </w:pPr>
      <w:r w:rsidRPr="00C36C8F">
        <w:t>Both the Australian and overseas experience highlights that complimentary policy instruments to support landfill bans include:</w:t>
      </w:r>
    </w:p>
    <w:p w:rsidR="004D16C7" w:rsidRPr="00C36C8F" w:rsidRDefault="004D16C7" w:rsidP="009B3DDD">
      <w:pPr>
        <w:pStyle w:val="BulletPoints"/>
        <w:tabs>
          <w:tab w:val="clear" w:pos="567"/>
          <w:tab w:val="left" w:pos="1134"/>
          <w:tab w:val="num" w:pos="1701"/>
          <w:tab w:val="left" w:pos="2268"/>
        </w:tabs>
        <w:spacing w:after="180"/>
        <w:ind w:left="1701"/>
        <w:jc w:val="both"/>
      </w:pPr>
      <w:r w:rsidRPr="00C36C8F">
        <w:t>landfill levies</w:t>
      </w:r>
    </w:p>
    <w:p w:rsidR="004D16C7" w:rsidRPr="00C36C8F" w:rsidRDefault="004D16C7" w:rsidP="009B3DDD">
      <w:pPr>
        <w:pStyle w:val="BulletPoints"/>
        <w:tabs>
          <w:tab w:val="clear" w:pos="567"/>
          <w:tab w:val="left" w:pos="1134"/>
          <w:tab w:val="num" w:pos="1701"/>
          <w:tab w:val="left" w:pos="2268"/>
        </w:tabs>
        <w:spacing w:after="180"/>
        <w:ind w:left="1701"/>
        <w:jc w:val="both"/>
      </w:pPr>
      <w:r w:rsidRPr="00C36C8F">
        <w:t>national resource recovery targets and objectives for products and materials</w:t>
      </w:r>
    </w:p>
    <w:p w:rsidR="004D16C7" w:rsidRPr="00C36C8F" w:rsidRDefault="004D16C7" w:rsidP="009B3DDD">
      <w:pPr>
        <w:pStyle w:val="BulletPoints"/>
        <w:tabs>
          <w:tab w:val="clear" w:pos="567"/>
          <w:tab w:val="left" w:pos="1134"/>
          <w:tab w:val="num" w:pos="1701"/>
          <w:tab w:val="left" w:pos="2268"/>
        </w:tabs>
        <w:spacing w:after="180"/>
        <w:ind w:left="1701"/>
        <w:jc w:val="both"/>
      </w:pPr>
      <w:r w:rsidRPr="00C36C8F">
        <w:t>extended producer responsibility programs</w:t>
      </w:r>
    </w:p>
    <w:p w:rsidR="004D16C7" w:rsidRPr="00C36C8F" w:rsidRDefault="004D16C7" w:rsidP="009B3DDD">
      <w:pPr>
        <w:pStyle w:val="BulletPoints"/>
        <w:tabs>
          <w:tab w:val="clear" w:pos="567"/>
          <w:tab w:val="left" w:pos="1134"/>
          <w:tab w:val="num" w:pos="1701"/>
          <w:tab w:val="left" w:pos="2268"/>
        </w:tabs>
        <w:spacing w:after="180"/>
        <w:ind w:left="1701"/>
        <w:jc w:val="both"/>
      </w:pPr>
      <w:r w:rsidRPr="00C36C8F">
        <w:t>purchasing polices</w:t>
      </w:r>
    </w:p>
    <w:p w:rsidR="004D16C7" w:rsidRPr="00C36C8F" w:rsidRDefault="004D16C7" w:rsidP="009B3DDD">
      <w:pPr>
        <w:pStyle w:val="BulletPoints"/>
        <w:tabs>
          <w:tab w:val="clear" w:pos="567"/>
          <w:tab w:val="left" w:pos="1134"/>
          <w:tab w:val="num" w:pos="1701"/>
          <w:tab w:val="left" w:pos="2268"/>
        </w:tabs>
        <w:spacing w:after="180"/>
        <w:ind w:left="1701"/>
        <w:jc w:val="both"/>
      </w:pPr>
      <w:r w:rsidRPr="00C36C8F">
        <w:t>resource recovery infrastructure development</w:t>
      </w:r>
      <w:r w:rsidR="001F5066" w:rsidRPr="00C36C8F">
        <w:t>.</w:t>
      </w:r>
    </w:p>
    <w:p w:rsidR="004D16C7" w:rsidRPr="00C36C8F" w:rsidRDefault="004D16C7" w:rsidP="00D578CA">
      <w:pPr>
        <w:pStyle w:val="BulletPoints"/>
        <w:numPr>
          <w:ilvl w:val="0"/>
          <w:numId w:val="0"/>
        </w:numPr>
        <w:spacing w:after="0"/>
        <w:ind w:left="1134"/>
        <w:jc w:val="both"/>
      </w:pPr>
      <w:r w:rsidRPr="00C36C8F">
        <w:t>With thorough waste management planning and suitable complimentary instruments, landfill bans could offer Australia robust hazard control and reduction – as they already do in a number of jurisdictions – while also delivering improved resource recovery and diversion outcomes in a cost efficient manner.</w:t>
      </w:r>
    </w:p>
    <w:p w:rsidR="00CF4BDC" w:rsidRPr="00C36C8F" w:rsidRDefault="00CF4BDC" w:rsidP="00D578CA">
      <w:pPr>
        <w:pStyle w:val="Heading2"/>
        <w:spacing w:before="240" w:after="120"/>
      </w:pPr>
      <w:bookmarkStart w:id="283" w:name="_Toc284510910"/>
      <w:bookmarkStart w:id="284" w:name="_Ref284583319"/>
      <w:bookmarkStart w:id="285" w:name="_Toc325020127"/>
      <w:bookmarkStart w:id="286" w:name="_Toc305049775"/>
      <w:r w:rsidRPr="00C36C8F">
        <w:t>Disposal pricing</w:t>
      </w:r>
      <w:bookmarkEnd w:id="283"/>
      <w:bookmarkEnd w:id="284"/>
      <w:bookmarkEnd w:id="285"/>
      <w:bookmarkEnd w:id="286"/>
    </w:p>
    <w:p w:rsidR="0083149F" w:rsidRPr="00C36C8F" w:rsidRDefault="00D868FA" w:rsidP="009B3DDD">
      <w:pPr>
        <w:pStyle w:val="ParaIndent"/>
        <w:jc w:val="both"/>
      </w:pPr>
      <w:r w:rsidRPr="00C36C8F">
        <w:t>For most materials the</w:t>
      </w:r>
      <w:r w:rsidR="00CF4BDC" w:rsidRPr="00C36C8F">
        <w:t xml:space="preserve"> financial unit cost </w:t>
      </w:r>
      <w:r w:rsidR="00BF3925" w:rsidRPr="00C36C8F">
        <w:t>of</w:t>
      </w:r>
      <w:r w:rsidR="0083149F" w:rsidRPr="00C36C8F">
        <w:t xml:space="preserve"> </w:t>
      </w:r>
      <w:r w:rsidR="00CF4BDC" w:rsidRPr="00C36C8F">
        <w:t xml:space="preserve">disposal to landfill is cheaper than the financial unit cost </w:t>
      </w:r>
      <w:r w:rsidR="00BF3925" w:rsidRPr="00C36C8F">
        <w:t>of</w:t>
      </w:r>
      <w:r w:rsidR="00CF4BDC" w:rsidRPr="00C36C8F">
        <w:t xml:space="preserve"> resource recovery.</w:t>
      </w:r>
      <w:r w:rsidR="0083149F" w:rsidRPr="00C36C8F">
        <w:t xml:space="preserve"> In part, this is </w:t>
      </w:r>
      <w:r w:rsidR="00BF3925" w:rsidRPr="00C36C8F">
        <w:t xml:space="preserve">because of the low price of virgin materials which recycled materials </w:t>
      </w:r>
      <w:r w:rsidR="00EF20D0">
        <w:t>compete</w:t>
      </w:r>
      <w:r w:rsidR="00BF3925" w:rsidRPr="00C36C8F">
        <w:t xml:space="preserve"> with</w:t>
      </w:r>
      <w:r w:rsidR="00D95F3C" w:rsidRPr="00C36C8F">
        <w:t xml:space="preserve"> (see S</w:t>
      </w:r>
      <w:r w:rsidR="005D6869" w:rsidRPr="00C36C8F">
        <w:t xml:space="preserve">ection </w:t>
      </w:r>
      <w:fldSimple w:instr=" REF _Ref284577446 \r \h  \* MERGEFORMAT ">
        <w:r w:rsidR="00AE7E3B">
          <w:t>7.3</w:t>
        </w:r>
      </w:fldSimple>
      <w:r w:rsidR="005D6869" w:rsidRPr="00C36C8F">
        <w:t>)</w:t>
      </w:r>
      <w:r w:rsidR="00BF3925" w:rsidRPr="00C36C8F">
        <w:t xml:space="preserve">. </w:t>
      </w:r>
    </w:p>
    <w:p w:rsidR="00CF4BDC" w:rsidRPr="00C36C8F" w:rsidRDefault="003D7D7D" w:rsidP="009B3DDD">
      <w:pPr>
        <w:pStyle w:val="ParaIndent"/>
        <w:jc w:val="both"/>
      </w:pPr>
      <w:r w:rsidRPr="00C36C8F">
        <w:t>L</w:t>
      </w:r>
      <w:r w:rsidR="0083149F" w:rsidRPr="00C36C8F">
        <w:t xml:space="preserve">andfill is also cheaper because </w:t>
      </w:r>
      <w:r w:rsidR="00CF4BDC" w:rsidRPr="00C36C8F">
        <w:t>landfill charges do n</w:t>
      </w:r>
      <w:r w:rsidR="00BF44C6" w:rsidRPr="00C36C8F">
        <w:t xml:space="preserve">ot </w:t>
      </w:r>
      <w:r w:rsidR="00BF3925" w:rsidRPr="00C36C8F">
        <w:t>reflect</w:t>
      </w:r>
      <w:r w:rsidR="00BF44C6" w:rsidRPr="00C36C8F">
        <w:t xml:space="preserve"> the full </w:t>
      </w:r>
      <w:r w:rsidR="00D95F3C" w:rsidRPr="00C36C8F">
        <w:t xml:space="preserve">direct, indirect and correlated </w:t>
      </w:r>
      <w:r w:rsidR="00BF44C6" w:rsidRPr="00C36C8F">
        <w:t>environmental and social cost</w:t>
      </w:r>
      <w:r w:rsidR="00D95F3C" w:rsidRPr="00C36C8F">
        <w:t>s</w:t>
      </w:r>
      <w:r w:rsidRPr="00C36C8F">
        <w:t xml:space="preserve"> of landfill</w:t>
      </w:r>
      <w:r w:rsidR="00CF4BDC" w:rsidRPr="00C36C8F">
        <w:t>, including</w:t>
      </w:r>
      <w:r w:rsidR="00D95F3C" w:rsidRPr="00C36C8F">
        <w:t>; greenhouse gas impacts, the depletion of non-renewable resources,</w:t>
      </w:r>
      <w:r w:rsidR="00CF4BDC" w:rsidRPr="00C36C8F">
        <w:t xml:space="preserve"> </w:t>
      </w:r>
      <w:r w:rsidR="00BF3925" w:rsidRPr="00C36C8F">
        <w:t xml:space="preserve">the </w:t>
      </w:r>
      <w:r w:rsidR="00CF4BDC" w:rsidRPr="00C36C8F">
        <w:t>loss of environmental amenity, insurance against future environmental contingencies, and remediation of sites.</w:t>
      </w:r>
    </w:p>
    <w:p w:rsidR="00CF4BDC" w:rsidRPr="00C36C8F" w:rsidRDefault="00BF44C6" w:rsidP="00D578CA">
      <w:pPr>
        <w:pStyle w:val="ParaIndent"/>
        <w:spacing w:after="0"/>
        <w:jc w:val="both"/>
      </w:pPr>
      <w:r w:rsidRPr="00C36C8F">
        <w:t xml:space="preserve">In the absence of </w:t>
      </w:r>
      <w:r w:rsidR="004839E2" w:rsidRPr="00C36C8F">
        <w:t>restrictions on disposal</w:t>
      </w:r>
      <w:r w:rsidRPr="00C36C8F">
        <w:t>, l</w:t>
      </w:r>
      <w:r w:rsidR="00CF4BDC" w:rsidRPr="00C36C8F">
        <w:t xml:space="preserve">ow landfill charges generally result in low recovery. This is particularly </w:t>
      </w:r>
      <w:r w:rsidR="00D95F3C" w:rsidRPr="00C36C8F">
        <w:t>the case for C&amp;D waste and self-</w:t>
      </w:r>
      <w:r w:rsidR="00CF4BDC" w:rsidRPr="00C36C8F">
        <w:t>hauled domestic</w:t>
      </w:r>
      <w:r w:rsidR="00333BAB" w:rsidRPr="00C36C8F">
        <w:t xml:space="preserve"> (municipal)</w:t>
      </w:r>
      <w:r w:rsidR="00CF4BDC" w:rsidRPr="00C36C8F">
        <w:t xml:space="preserve"> waste where the pricing signal at the gate is most directly felt.</w:t>
      </w:r>
      <w:r w:rsidR="003D7D7D" w:rsidRPr="00C36C8F">
        <w:t xml:space="preserve"> Where the price of disposal to landfill is forcibly increased, there are usually improvements in recovery.</w:t>
      </w:r>
      <w:r w:rsidR="001F5066" w:rsidRPr="00C36C8F">
        <w:t xml:space="preserve"> </w:t>
      </w:r>
      <w:r w:rsidR="002D3A18" w:rsidRPr="00C36C8F">
        <w:t>However, increases in landfill pricing can encourage the practise of illegal dumping or landfilling.</w:t>
      </w:r>
    </w:p>
    <w:p w:rsidR="00C56587" w:rsidRPr="00C36C8F" w:rsidRDefault="00C56587" w:rsidP="00D578CA">
      <w:pPr>
        <w:pStyle w:val="Heading3"/>
        <w:numPr>
          <w:ilvl w:val="2"/>
          <w:numId w:val="12"/>
        </w:numPr>
        <w:spacing w:before="240"/>
      </w:pPr>
      <w:r w:rsidRPr="00C36C8F">
        <w:t>Landfill levies</w:t>
      </w:r>
    </w:p>
    <w:p w:rsidR="00CF4BDC" w:rsidRPr="00C36C8F" w:rsidRDefault="00B9555F" w:rsidP="009B3DDD">
      <w:pPr>
        <w:pStyle w:val="ParaIndent"/>
        <w:jc w:val="both"/>
      </w:pPr>
      <w:fldSimple w:instr=" REF _Ref284512663 \h  \* MERGEFORMAT ">
        <w:r w:rsidR="008C199E" w:rsidRPr="008C199E">
          <w:t>Figure 7-29</w:t>
        </w:r>
      </w:fldSimple>
      <w:r w:rsidR="004A3086" w:rsidRPr="00C36C8F">
        <w:t xml:space="preserve"> </w:t>
      </w:r>
      <w:r w:rsidR="007F7C53" w:rsidRPr="00C36C8F">
        <w:t>indicates that</w:t>
      </w:r>
      <w:r w:rsidR="00423DFC" w:rsidRPr="00C36C8F">
        <w:t>,</w:t>
      </w:r>
      <w:r w:rsidR="00CF4BDC" w:rsidRPr="00C36C8F">
        <w:t xml:space="preserve"> over the timeframes represented, the two best performing jurisdictions </w:t>
      </w:r>
      <w:r w:rsidR="00423DFC" w:rsidRPr="00C36C8F">
        <w:t xml:space="preserve">– ACT and SA – were </w:t>
      </w:r>
      <w:r w:rsidR="00CF4BDC" w:rsidRPr="00C36C8F">
        <w:t xml:space="preserve">those with fully hypothecated levies where monies go directly back into waste management and resource recovery programs. </w:t>
      </w:r>
      <w:r w:rsidR="00423DFC" w:rsidRPr="00C36C8F">
        <w:t>The next best jurisdiction</w:t>
      </w:r>
      <w:r w:rsidR="00CF4BDC" w:rsidRPr="00C36C8F">
        <w:t xml:space="preserve"> </w:t>
      </w:r>
      <w:r w:rsidR="00423DFC" w:rsidRPr="00C36C8F">
        <w:t xml:space="preserve">– </w:t>
      </w:r>
      <w:r w:rsidR="00CF4BDC" w:rsidRPr="00C36C8F">
        <w:t>Victoria</w:t>
      </w:r>
      <w:r w:rsidR="00423DFC" w:rsidRPr="00C36C8F">
        <w:t xml:space="preserve"> – </w:t>
      </w:r>
      <w:r w:rsidR="00CF4BDC" w:rsidRPr="00C36C8F">
        <w:t>has a partially hypothecated levy system (monies also go into other environmental programs beyond waste management)</w:t>
      </w:r>
      <w:r w:rsidR="00423DFC" w:rsidRPr="00C36C8F">
        <w:t xml:space="preserve">. </w:t>
      </w:r>
      <w:r w:rsidR="007F7C53" w:rsidRPr="00C36C8F">
        <w:t xml:space="preserve">Next is </w:t>
      </w:r>
      <w:r w:rsidR="00CF4BDC" w:rsidRPr="00C36C8F">
        <w:t>NSW</w:t>
      </w:r>
      <w:r w:rsidR="00423DFC" w:rsidRPr="00C36C8F">
        <w:t>,</w:t>
      </w:r>
      <w:r w:rsidR="00CF4BDC" w:rsidRPr="00C36C8F">
        <w:t xml:space="preserve"> which </w:t>
      </w:r>
      <w:r w:rsidR="00423DFC" w:rsidRPr="00C36C8F">
        <w:t>directs</w:t>
      </w:r>
      <w:r w:rsidR="00CF4BDC" w:rsidRPr="00C36C8F">
        <w:t xml:space="preserve"> lev</w:t>
      </w:r>
      <w:r w:rsidR="0093586E" w:rsidRPr="00C36C8F">
        <w:t xml:space="preserve">y monies into central revenue. </w:t>
      </w:r>
      <w:r w:rsidR="00CF4BDC" w:rsidRPr="00C36C8F">
        <w:t>In the years charted, Queensland was without a levy, and Western Australia had only recently introduced a levy</w:t>
      </w:r>
      <w:r w:rsidR="00423DFC" w:rsidRPr="00C36C8F">
        <w:t xml:space="preserve"> </w:t>
      </w:r>
      <w:r w:rsidR="00FF00F2" w:rsidRPr="00C36C8F">
        <w:t>that</w:t>
      </w:r>
      <w:r w:rsidR="00CF4BDC" w:rsidRPr="00C36C8F">
        <w:t xml:space="preserve"> was more strongly focused o</w:t>
      </w:r>
      <w:r w:rsidR="0093586E" w:rsidRPr="00C36C8F">
        <w:t xml:space="preserve">n MSW rather than C&amp;D and C&amp;I. </w:t>
      </w:r>
      <w:r w:rsidR="00CF4BDC" w:rsidRPr="00C36C8F">
        <w:t xml:space="preserve">As outlined in </w:t>
      </w:r>
      <w:r w:rsidR="00D95F3C" w:rsidRPr="00C36C8F">
        <w:t>S</w:t>
      </w:r>
      <w:r w:rsidR="00423DFC" w:rsidRPr="00C36C8F">
        <w:t xml:space="preserve">ection </w:t>
      </w:r>
      <w:fldSimple w:instr=" REF _Ref284327737 \r \h  \* MERGEFORMAT ">
        <w:r w:rsidR="00AE7E3B">
          <w:t>6</w:t>
        </w:r>
      </w:fldSimple>
      <w:r w:rsidR="00CF4BDC" w:rsidRPr="00C36C8F">
        <w:t xml:space="preserve">, Queensland will introduce a levy on defined wastes in 2011, </w:t>
      </w:r>
      <w:r w:rsidR="00423DFC" w:rsidRPr="00C36C8F">
        <w:t>but</w:t>
      </w:r>
      <w:r w:rsidR="00CF4BDC" w:rsidRPr="00C36C8F">
        <w:t xml:space="preserve"> this will not include MSW.</w:t>
      </w:r>
      <w:r w:rsidR="003500C7" w:rsidRPr="00C36C8F">
        <w:t xml:space="preserve"> To enable</w:t>
      </w:r>
      <w:r w:rsidR="00D95F3C" w:rsidRPr="00C36C8F">
        <w:t xml:space="preserve"> year-on-year comparison</w:t>
      </w:r>
      <w:r w:rsidR="003500C7" w:rsidRPr="00C36C8F">
        <w:t xml:space="preserve"> the 2008–09 data in this chart has not been modified to be consistent with the method described in Section </w:t>
      </w:r>
      <w:fldSimple w:instr=" REF _Ref295210521 \r \h  \* MERGEFORMAT ">
        <w:r w:rsidR="00AE7E3B">
          <w:t>3</w:t>
        </w:r>
      </w:fldSimple>
      <w:r w:rsidR="003500C7" w:rsidRPr="00C36C8F">
        <w:t xml:space="preserve"> of this report.</w:t>
      </w:r>
    </w:p>
    <w:tbl>
      <w:tblPr>
        <w:tblStyle w:val="TableGrid"/>
        <w:tblW w:w="861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13"/>
      </w:tblGrid>
      <w:tr w:rsidR="00CF4BDC" w:rsidRPr="00C36C8F" w:rsidTr="002B559B">
        <w:trPr>
          <w:trHeight w:val="4213"/>
        </w:trPr>
        <w:tc>
          <w:tcPr>
            <w:tcW w:w="8613" w:type="dxa"/>
          </w:tcPr>
          <w:p w:rsidR="00CF4BDC" w:rsidRPr="00C36C8F" w:rsidRDefault="00620899" w:rsidP="00CF4BDC">
            <w:pPr>
              <w:pStyle w:val="ParaIndent"/>
              <w:ind w:left="0"/>
            </w:pPr>
            <w:r w:rsidRPr="00C36C8F">
              <w:rPr>
                <w:noProof/>
                <w:lang w:eastAsia="en-AU"/>
              </w:rPr>
              <w:drawing>
                <wp:inline distT="0" distB="0" distL="0" distR="0">
                  <wp:extent cx="5390984" cy="2918129"/>
                  <wp:effectExtent l="0" t="0" r="63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CF4BDC" w:rsidRPr="00C36C8F" w:rsidTr="002B559B">
        <w:trPr>
          <w:trHeight w:val="579"/>
        </w:trPr>
        <w:tc>
          <w:tcPr>
            <w:tcW w:w="8613" w:type="dxa"/>
          </w:tcPr>
          <w:p w:rsidR="00CF4BDC" w:rsidRPr="00C36C8F" w:rsidRDefault="004A3086" w:rsidP="00EF20D0">
            <w:pPr>
              <w:pStyle w:val="ParaIndent"/>
              <w:ind w:hanging="1134"/>
            </w:pPr>
            <w:bookmarkStart w:id="287" w:name="_Ref284512663"/>
            <w:r w:rsidRPr="00C36C8F">
              <w:rPr>
                <w:b/>
                <w:color w:val="495F70"/>
              </w:rPr>
              <w:t xml:space="preserve">Figure </w:t>
            </w:r>
            <w:r w:rsidR="00B9555F" w:rsidRPr="00C36C8F">
              <w:rPr>
                <w:b/>
                <w:color w:val="495F70"/>
              </w:rPr>
              <w:fldChar w:fldCharType="begin"/>
            </w:r>
            <w:r w:rsidRPr="00C36C8F">
              <w:rPr>
                <w:b/>
                <w:color w:val="495F70"/>
              </w:rPr>
              <w:instrText xml:space="preserve"> STYLEREF "_Heading1" \n </w:instrText>
            </w:r>
            <w:r w:rsidR="00B9555F" w:rsidRPr="00C36C8F">
              <w:rPr>
                <w:b/>
                <w:color w:val="495F70"/>
              </w:rPr>
              <w:fldChar w:fldCharType="separate"/>
            </w:r>
            <w:r w:rsidR="00AE7E3B">
              <w:rPr>
                <w:b/>
                <w:noProof/>
                <w:color w:val="495F70"/>
              </w:rPr>
              <w:t>7</w:t>
            </w:r>
            <w:r w:rsidR="00B9555F" w:rsidRPr="00C36C8F">
              <w:rPr>
                <w:b/>
                <w:color w:val="495F70"/>
              </w:rPr>
              <w:fldChar w:fldCharType="end"/>
            </w:r>
            <w:r w:rsidRPr="00C36C8F">
              <w:rPr>
                <w:b/>
                <w:color w:val="495F70"/>
              </w:rPr>
              <w:t>-</w:t>
            </w:r>
            <w:r w:rsidR="00B9555F" w:rsidRPr="00C36C8F">
              <w:rPr>
                <w:b/>
                <w:color w:val="495F70"/>
              </w:rPr>
              <w:fldChar w:fldCharType="begin"/>
            </w:r>
            <w:r w:rsidRPr="00C36C8F">
              <w:rPr>
                <w:b/>
                <w:color w:val="495F70"/>
              </w:rPr>
              <w:instrText xml:space="preserve"> SEQ Figure \* Arabic </w:instrText>
            </w:r>
            <w:r w:rsidR="00B9555F" w:rsidRPr="00C36C8F">
              <w:rPr>
                <w:b/>
                <w:color w:val="495F70"/>
              </w:rPr>
              <w:fldChar w:fldCharType="separate"/>
            </w:r>
            <w:r w:rsidR="00AE7E3B">
              <w:rPr>
                <w:b/>
                <w:noProof/>
                <w:color w:val="495F70"/>
              </w:rPr>
              <w:t>29</w:t>
            </w:r>
            <w:r w:rsidR="00B9555F" w:rsidRPr="00C36C8F">
              <w:rPr>
                <w:b/>
                <w:color w:val="495F70"/>
              </w:rPr>
              <w:fldChar w:fldCharType="end"/>
            </w:r>
            <w:bookmarkEnd w:id="287"/>
            <w:r w:rsidR="00D82E6C" w:rsidRPr="00C36C8F">
              <w:rPr>
                <w:b/>
                <w:color w:val="495F70"/>
              </w:rPr>
              <w:t>:</w:t>
            </w:r>
            <w:r w:rsidR="00C3560C">
              <w:rPr>
                <w:b/>
                <w:color w:val="495F70"/>
              </w:rPr>
              <w:t xml:space="preserve"> </w:t>
            </w:r>
            <w:r w:rsidR="00CF4BDC" w:rsidRPr="00C36C8F">
              <w:rPr>
                <w:b/>
                <w:color w:val="495F70"/>
              </w:rPr>
              <w:t>Comparison of percentage of reported recycling activity to waste generation by state 2006</w:t>
            </w:r>
            <w:r w:rsidR="00EF20D0">
              <w:rPr>
                <w:b/>
                <w:color w:val="495F70"/>
              </w:rPr>
              <w:t>–</w:t>
            </w:r>
            <w:r w:rsidR="00CF4BDC" w:rsidRPr="00C36C8F">
              <w:rPr>
                <w:b/>
                <w:color w:val="495F70"/>
              </w:rPr>
              <w:t>07, 2007</w:t>
            </w:r>
            <w:r w:rsidR="00EF20D0">
              <w:rPr>
                <w:rFonts w:cs="Arial"/>
                <w:b/>
                <w:color w:val="495F70"/>
              </w:rPr>
              <w:t>–</w:t>
            </w:r>
            <w:r w:rsidR="00CF4BDC" w:rsidRPr="00C36C8F">
              <w:rPr>
                <w:b/>
                <w:color w:val="495F70"/>
              </w:rPr>
              <w:t>08 and 2008</w:t>
            </w:r>
            <w:r w:rsidR="00EF20D0">
              <w:rPr>
                <w:rFonts w:cs="Arial"/>
                <w:b/>
                <w:color w:val="495F70"/>
              </w:rPr>
              <w:t>–</w:t>
            </w:r>
            <w:r w:rsidR="00CF4BDC" w:rsidRPr="00C36C8F">
              <w:rPr>
                <w:b/>
                <w:color w:val="495F70"/>
              </w:rPr>
              <w:t>09</w:t>
            </w:r>
          </w:p>
        </w:tc>
      </w:tr>
    </w:tbl>
    <w:p w:rsidR="00CF4BDC" w:rsidRPr="00C36C8F" w:rsidRDefault="00B9555F" w:rsidP="009B3DDD">
      <w:pPr>
        <w:pStyle w:val="BulletPoints"/>
        <w:keepNext/>
        <w:keepLines/>
        <w:numPr>
          <w:ilvl w:val="0"/>
          <w:numId w:val="0"/>
        </w:numPr>
        <w:spacing w:after="180"/>
        <w:ind w:left="1134"/>
        <w:jc w:val="both"/>
      </w:pPr>
      <w:fldSimple w:instr=" REF _Ref284512663 \h  \* MERGEFORMAT ">
        <w:r w:rsidR="008C199E" w:rsidRPr="008C199E">
          <w:t>Figure 7-29</w:t>
        </w:r>
      </w:fldSimple>
      <w:r w:rsidR="001B66D0" w:rsidRPr="00C36C8F">
        <w:t xml:space="preserve"> </w:t>
      </w:r>
      <w:r w:rsidR="00CF4BDC" w:rsidRPr="00C36C8F">
        <w:t>presents an estimate of responses to the price of landfill, (including through levy rises) for certain waste streams.</w:t>
      </w:r>
      <w:r w:rsidR="001B66D0" w:rsidRPr="00C36C8F">
        <w:t xml:space="preserve"> </w:t>
      </w:r>
      <w:fldSimple w:instr=" REF _Ref284512663 \h  \* MERGEFORMAT ">
        <w:r w:rsidR="008C199E" w:rsidRPr="008C199E">
          <w:t>Figure 7-29</w:t>
        </w:r>
      </w:fldSimple>
      <w:r w:rsidR="001F5066" w:rsidRPr="00C36C8F">
        <w:t xml:space="preserve"> </w:t>
      </w:r>
      <w:r w:rsidR="00CF4BDC" w:rsidRPr="00C36C8F">
        <w:t xml:space="preserve">indicates MSW diversion is unlikely to increase unless disposal prices increase by around $20/t, at which point </w:t>
      </w:r>
      <w:r w:rsidR="001B66D0" w:rsidRPr="00C36C8F">
        <w:t xml:space="preserve">the </w:t>
      </w:r>
      <w:r w:rsidR="00CF4BDC" w:rsidRPr="00C36C8F">
        <w:t xml:space="preserve">diversion of food waste to the green waste system </w:t>
      </w:r>
      <w:r w:rsidR="007F7C53" w:rsidRPr="00C36C8F">
        <w:t>becomes competitive</w:t>
      </w:r>
      <w:r w:rsidR="00CF4BDC" w:rsidRPr="00C36C8F">
        <w:t xml:space="preserve">. At around $60/t </w:t>
      </w:r>
      <w:r w:rsidR="00FF00F2" w:rsidRPr="00C36C8F">
        <w:t xml:space="preserve">increase in disposal prices, </w:t>
      </w:r>
      <w:r w:rsidR="00CF4BDC" w:rsidRPr="00C36C8F">
        <w:t xml:space="preserve">diversion of the entire residual stream </w:t>
      </w:r>
      <w:r w:rsidR="001B66D0" w:rsidRPr="00C36C8F">
        <w:t>from landfill</w:t>
      </w:r>
      <w:r w:rsidR="00CF4BDC" w:rsidRPr="00C36C8F">
        <w:t xml:space="preserve"> is likely to occur.</w:t>
      </w:r>
    </w:p>
    <w:p w:rsidR="001B66D0" w:rsidRPr="00C36C8F" w:rsidRDefault="001B66D0" w:rsidP="009B3DDD">
      <w:pPr>
        <w:pStyle w:val="BulletPoints"/>
        <w:numPr>
          <w:ilvl w:val="0"/>
          <w:numId w:val="0"/>
        </w:numPr>
        <w:spacing w:after="180"/>
        <w:ind w:left="1134"/>
        <w:jc w:val="both"/>
      </w:pPr>
      <w:r w:rsidRPr="00C36C8F">
        <w:t xml:space="preserve">C&amp;I waste has a more complex response as it is more varied and responds more rapidly and directly to market pricing </w:t>
      </w:r>
      <w:r w:rsidR="003500C7" w:rsidRPr="00C36C8F">
        <w:t>signals.</w:t>
      </w:r>
    </w:p>
    <w:p w:rsidR="001B66D0" w:rsidRPr="00C36C8F" w:rsidRDefault="001B66D0" w:rsidP="009B3DDD">
      <w:pPr>
        <w:pStyle w:val="BulletPoints"/>
        <w:numPr>
          <w:ilvl w:val="0"/>
          <w:numId w:val="0"/>
        </w:numPr>
        <w:spacing w:after="180"/>
        <w:ind w:left="1134"/>
        <w:jc w:val="both"/>
      </w:pPr>
      <w:r w:rsidRPr="00C36C8F">
        <w:t>C&amp;D waste generation responds most rapidly to a pricing signal. The non-recycled portion of C&amp;D is generally mixed materials from small construction and demolition sites, particularly in the residential sector</w:t>
      </w:r>
      <w:r w:rsidR="007F7C53" w:rsidRPr="00C36C8F">
        <w:t xml:space="preserve"> where source separation is more difficult to achieve.</w:t>
      </w:r>
    </w:p>
    <w:tbl>
      <w:tblPr>
        <w:tblStyle w:val="TableGrid"/>
        <w:tblW w:w="861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13"/>
      </w:tblGrid>
      <w:tr w:rsidR="00CF4BDC" w:rsidRPr="00C36C8F" w:rsidTr="004A2666">
        <w:trPr>
          <w:trHeight w:val="4725"/>
        </w:trPr>
        <w:tc>
          <w:tcPr>
            <w:tcW w:w="8613" w:type="dxa"/>
          </w:tcPr>
          <w:p w:rsidR="00CF4BDC" w:rsidRPr="00C36C8F" w:rsidRDefault="00CF4BDC" w:rsidP="00CF4BDC">
            <w:pPr>
              <w:pStyle w:val="ParaIndent"/>
              <w:ind w:left="142"/>
              <w:rPr>
                <w:color w:val="FF0000"/>
              </w:rPr>
            </w:pPr>
            <w:r w:rsidRPr="000B315F">
              <w:rPr>
                <w:noProof/>
                <w:color w:val="FF0000"/>
                <w:lang w:eastAsia="en-AU"/>
              </w:rPr>
              <w:drawing>
                <wp:inline distT="0" distB="0" distL="0" distR="0">
                  <wp:extent cx="5210355" cy="3252159"/>
                  <wp:effectExtent l="0" t="0" r="0" b="5715"/>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CF4BDC" w:rsidRPr="00C36C8F" w:rsidTr="004A2666">
        <w:trPr>
          <w:trHeight w:val="418"/>
        </w:trPr>
        <w:tc>
          <w:tcPr>
            <w:tcW w:w="8613" w:type="dxa"/>
          </w:tcPr>
          <w:p w:rsidR="00CF4BDC" w:rsidRPr="00C36C8F" w:rsidRDefault="004A2666" w:rsidP="00D82E6C">
            <w:pPr>
              <w:pStyle w:val="ParaIndent"/>
              <w:spacing w:after="60"/>
              <w:ind w:hanging="1134"/>
              <w:rPr>
                <w:b/>
                <w:color w:val="495F70"/>
              </w:rPr>
            </w:pPr>
            <w:r w:rsidRPr="00C36C8F">
              <w:rPr>
                <w:b/>
                <w:color w:val="495F70"/>
              </w:rPr>
              <w:t xml:space="preserve">Figure </w:t>
            </w:r>
            <w:r w:rsidR="00B9555F" w:rsidRPr="00C36C8F">
              <w:rPr>
                <w:b/>
                <w:color w:val="495F70"/>
              </w:rPr>
              <w:fldChar w:fldCharType="begin"/>
            </w:r>
            <w:r w:rsidRPr="00C36C8F">
              <w:rPr>
                <w:b/>
                <w:color w:val="495F70"/>
              </w:rPr>
              <w:instrText xml:space="preserve"> STYLEREF "_Heading1" \n </w:instrText>
            </w:r>
            <w:r w:rsidR="00B9555F" w:rsidRPr="00C36C8F">
              <w:rPr>
                <w:b/>
                <w:color w:val="495F70"/>
              </w:rPr>
              <w:fldChar w:fldCharType="separate"/>
            </w:r>
            <w:r w:rsidR="00AE7E3B">
              <w:rPr>
                <w:b/>
                <w:noProof/>
                <w:color w:val="495F70"/>
              </w:rPr>
              <w:t>7</w:t>
            </w:r>
            <w:r w:rsidR="00B9555F" w:rsidRPr="00C36C8F">
              <w:rPr>
                <w:b/>
                <w:color w:val="495F70"/>
              </w:rPr>
              <w:fldChar w:fldCharType="end"/>
            </w:r>
            <w:r w:rsidRPr="00C36C8F">
              <w:rPr>
                <w:b/>
                <w:color w:val="495F70"/>
              </w:rPr>
              <w:t>-</w:t>
            </w:r>
            <w:r w:rsidR="00B9555F" w:rsidRPr="00C36C8F">
              <w:rPr>
                <w:b/>
                <w:color w:val="495F70"/>
              </w:rPr>
              <w:fldChar w:fldCharType="begin"/>
            </w:r>
            <w:r w:rsidRPr="00C36C8F">
              <w:rPr>
                <w:b/>
                <w:color w:val="495F70"/>
              </w:rPr>
              <w:instrText xml:space="preserve"> SEQ Figure \* Arabic </w:instrText>
            </w:r>
            <w:r w:rsidR="00B9555F" w:rsidRPr="00C36C8F">
              <w:rPr>
                <w:b/>
                <w:color w:val="495F70"/>
              </w:rPr>
              <w:fldChar w:fldCharType="separate"/>
            </w:r>
            <w:r w:rsidR="00AE7E3B">
              <w:rPr>
                <w:b/>
                <w:noProof/>
                <w:color w:val="495F70"/>
              </w:rPr>
              <w:t>30</w:t>
            </w:r>
            <w:r w:rsidR="00B9555F" w:rsidRPr="00C36C8F">
              <w:rPr>
                <w:b/>
                <w:color w:val="495F70"/>
              </w:rPr>
              <w:fldChar w:fldCharType="end"/>
            </w:r>
            <w:r w:rsidR="00D82E6C" w:rsidRPr="00C36C8F">
              <w:rPr>
                <w:b/>
                <w:color w:val="495F70"/>
              </w:rPr>
              <w:t>:</w:t>
            </w:r>
            <w:r w:rsidR="00C3560C">
              <w:rPr>
                <w:b/>
                <w:color w:val="495F70"/>
              </w:rPr>
              <w:t xml:space="preserve"> </w:t>
            </w:r>
            <w:r w:rsidR="00CF4BDC" w:rsidRPr="00C36C8F">
              <w:rPr>
                <w:b/>
                <w:color w:val="495F70"/>
              </w:rPr>
              <w:t>Assumed diversion responses of waste streams to increases in the prices of landfill</w:t>
            </w:r>
          </w:p>
          <w:p w:rsidR="001B66D0" w:rsidRPr="00C36C8F" w:rsidRDefault="001B66D0" w:rsidP="001B66D0">
            <w:pPr>
              <w:pStyle w:val="ParaIndent"/>
              <w:spacing w:after="0" w:line="200" w:lineRule="atLeast"/>
              <w:ind w:left="0"/>
              <w:rPr>
                <w:color w:val="FF0000"/>
                <w:sz w:val="16"/>
                <w:szCs w:val="16"/>
              </w:rPr>
            </w:pPr>
            <w:r w:rsidRPr="00C36C8F">
              <w:rPr>
                <w:sz w:val="16"/>
                <w:szCs w:val="16"/>
              </w:rPr>
              <w:t>Note: Developed by Hyder Consulting based on work undertaken Sustainability Victoria in 2009. The chart does not take into account time delays due to fixed contractual arrangements and lack of infrastructure.</w:t>
            </w:r>
          </w:p>
        </w:tc>
      </w:tr>
    </w:tbl>
    <w:p w:rsidR="00CF4BDC" w:rsidRPr="00C36C8F" w:rsidRDefault="00CF4BDC" w:rsidP="00C56587">
      <w:pPr>
        <w:pStyle w:val="BulletPoints"/>
        <w:numPr>
          <w:ilvl w:val="0"/>
          <w:numId w:val="0"/>
        </w:numPr>
        <w:ind w:left="1134"/>
      </w:pPr>
    </w:p>
    <w:p w:rsidR="00C56587" w:rsidRPr="00C36C8F" w:rsidRDefault="00972654" w:rsidP="009B3DDD">
      <w:pPr>
        <w:pStyle w:val="Heading3"/>
        <w:numPr>
          <w:ilvl w:val="0"/>
          <w:numId w:val="0"/>
        </w:numPr>
      </w:pPr>
      <w:r w:rsidRPr="00C36C8F">
        <w:t>7.2.2</w:t>
      </w:r>
      <w:r w:rsidRPr="00C36C8F">
        <w:tab/>
      </w:r>
      <w:r w:rsidRPr="00C36C8F">
        <w:tab/>
      </w:r>
      <w:r w:rsidR="00C56587" w:rsidRPr="00C36C8F">
        <w:t>Product Stewardship</w:t>
      </w:r>
    </w:p>
    <w:p w:rsidR="00C56587" w:rsidRPr="00C36C8F" w:rsidRDefault="00C56587" w:rsidP="00D82E6C">
      <w:pPr>
        <w:pStyle w:val="ParaIndent"/>
        <w:jc w:val="both"/>
      </w:pPr>
      <w:r w:rsidRPr="00C36C8F">
        <w:t>Product stewardship schemes can also be used to bridge the gap between the cost of landfill and the cost of recycling. Either as a regulatory or voluntary measure, product stewardship scheme</w:t>
      </w:r>
      <w:r w:rsidR="00E72B86" w:rsidRPr="00C36C8F">
        <w:t>s</w:t>
      </w:r>
      <w:r w:rsidRPr="00C36C8F">
        <w:t xml:space="preserve"> </w:t>
      </w:r>
      <w:r w:rsidR="00E72B86" w:rsidRPr="00C36C8F">
        <w:t>usually</w:t>
      </w:r>
      <w:r w:rsidRPr="00C36C8F">
        <w:t xml:space="preserve"> involve the provision</w:t>
      </w:r>
      <w:r w:rsidR="001F5066" w:rsidRPr="00C36C8F">
        <w:t xml:space="preserve"> of</w:t>
      </w:r>
      <w:r w:rsidRPr="00C36C8F">
        <w:t xml:space="preserve"> the recycling of end-of-life products</w:t>
      </w:r>
      <w:r w:rsidR="00D37B79" w:rsidRPr="00C36C8F">
        <w:t xml:space="preserve"> at a reduced</w:t>
      </w:r>
      <w:r w:rsidR="004C4C96" w:rsidRPr="00C36C8F">
        <w:t xml:space="preserve"> cost</w:t>
      </w:r>
      <w:r w:rsidR="00D37B79" w:rsidRPr="00C36C8F">
        <w:t xml:space="preserve">, no cost, or even with a cost incentive </w:t>
      </w:r>
      <w:r w:rsidR="00E72B86" w:rsidRPr="00C36C8F">
        <w:t>to consumers</w:t>
      </w:r>
      <w:r w:rsidRPr="00C36C8F">
        <w:t>.</w:t>
      </w:r>
    </w:p>
    <w:p w:rsidR="00D37B79" w:rsidRPr="00C36C8F" w:rsidRDefault="00D37B79" w:rsidP="00D82E6C">
      <w:pPr>
        <w:pStyle w:val="ParaIndent"/>
        <w:jc w:val="both"/>
      </w:pPr>
      <w:r w:rsidRPr="00C36C8F">
        <w:t>For example, South Australia’s container deposit scheme relies on the incentive of consumers regaining the deposit on beve</w:t>
      </w:r>
      <w:r w:rsidR="004C4C96" w:rsidRPr="00C36C8F">
        <w:t>rage containers at designated return facilities. These facilities separate beverage containers into material types on site which provides a good quality, source separated feed stock for reprocessors.</w:t>
      </w:r>
    </w:p>
    <w:p w:rsidR="00210B1E" w:rsidRPr="00C36C8F" w:rsidRDefault="00C56587" w:rsidP="00D82E6C">
      <w:pPr>
        <w:pStyle w:val="BulletPoints"/>
        <w:keepLines/>
        <w:numPr>
          <w:ilvl w:val="0"/>
          <w:numId w:val="0"/>
        </w:numPr>
        <w:ind w:left="1134"/>
        <w:jc w:val="both"/>
      </w:pPr>
      <w:r w:rsidRPr="00C36C8F">
        <w:t xml:space="preserve">The Australian Government committed to introducing Product Stewardship Framework Legislation </w:t>
      </w:r>
      <w:r w:rsidR="00210B1E" w:rsidRPr="00C36C8F">
        <w:t xml:space="preserve">to </w:t>
      </w:r>
      <w:r w:rsidRPr="00C36C8F">
        <w:t xml:space="preserve">provide for the </w:t>
      </w:r>
      <w:r w:rsidR="00E72B86" w:rsidRPr="00C36C8F">
        <w:t>regulation or endorsement of a range of product stewardship scheme</w:t>
      </w:r>
      <w:r w:rsidR="00D37B79" w:rsidRPr="00C36C8F">
        <w:t>s</w:t>
      </w:r>
      <w:r w:rsidR="00210B1E" w:rsidRPr="00C36C8F">
        <w:t xml:space="preserve">, and the </w:t>
      </w:r>
      <w:r w:rsidR="00210B1E" w:rsidRPr="00C36C8F">
        <w:rPr>
          <w:i/>
        </w:rPr>
        <w:t>Product Stewardship Act 2011</w:t>
      </w:r>
      <w:r w:rsidR="00210B1E" w:rsidRPr="00C36C8F">
        <w:t xml:space="preserve"> officially commenced on August 8, 2011</w:t>
      </w:r>
      <w:r w:rsidR="003500C7" w:rsidRPr="00C36C8F">
        <w:t>.</w:t>
      </w:r>
    </w:p>
    <w:p w:rsidR="00C56587" w:rsidRPr="00C36C8F" w:rsidRDefault="003500C7" w:rsidP="00D82E6C">
      <w:pPr>
        <w:pStyle w:val="BulletPoints"/>
        <w:keepLines/>
        <w:numPr>
          <w:ilvl w:val="0"/>
          <w:numId w:val="0"/>
        </w:numPr>
        <w:ind w:left="1134"/>
        <w:jc w:val="both"/>
      </w:pPr>
      <w:r w:rsidRPr="00C36C8F">
        <w:t>The G</w:t>
      </w:r>
      <w:r w:rsidR="00E72B86" w:rsidRPr="00C36C8F">
        <w:t>overnment has also committed to supporting the</w:t>
      </w:r>
      <w:r w:rsidRPr="00C36C8F">
        <w:t xml:space="preserve"> establishment of a co</w:t>
      </w:r>
      <w:r w:rsidRPr="00C36C8F">
        <w:noBreakHyphen/>
      </w:r>
      <w:r w:rsidR="00E72B86" w:rsidRPr="00C36C8F">
        <w:t xml:space="preserve">regulatory scheme for televisions and computers </w:t>
      </w:r>
      <w:r w:rsidR="00D37B79" w:rsidRPr="00C36C8F">
        <w:t xml:space="preserve">as the first scheme </w:t>
      </w:r>
      <w:r w:rsidR="00E72B86" w:rsidRPr="00C36C8F">
        <w:t>under this legislation. The television and computer scheme will require producers to meet increasing colle</w:t>
      </w:r>
      <w:r w:rsidR="00D37B79" w:rsidRPr="00C36C8F">
        <w:t xml:space="preserve">ction and recycling targets. Producers will </w:t>
      </w:r>
      <w:r w:rsidR="004C4C96" w:rsidRPr="00C36C8F">
        <w:t xml:space="preserve">do </w:t>
      </w:r>
      <w:r w:rsidR="00047847" w:rsidRPr="00C36C8F">
        <w:t xml:space="preserve">so </w:t>
      </w:r>
      <w:r w:rsidR="004C4C96" w:rsidRPr="00C36C8F">
        <w:t>by paying for the cost of recycling televisions and computers and offering consumers disposal facilities free of charge</w:t>
      </w:r>
      <w:r w:rsidR="00E72B86" w:rsidRPr="00C36C8F">
        <w:t>. In doing so, producers are taking on the cost of the scheme, and will either absorb that into the operation of the business, or pass it onto consumers at the point of sale.</w:t>
      </w:r>
    </w:p>
    <w:p w:rsidR="005D6869" w:rsidRPr="00C36C8F" w:rsidRDefault="005D6869" w:rsidP="005D6869">
      <w:pPr>
        <w:pStyle w:val="Heading2"/>
      </w:pPr>
      <w:bookmarkStart w:id="288" w:name="_Toc284510912"/>
      <w:bookmarkStart w:id="289" w:name="_Ref284577446"/>
      <w:bookmarkStart w:id="290" w:name="_Ref284578887"/>
      <w:bookmarkStart w:id="291" w:name="_Toc325020128"/>
      <w:bookmarkStart w:id="292" w:name="_Toc305049776"/>
      <w:bookmarkStart w:id="293" w:name="_Toc284510911"/>
      <w:r w:rsidRPr="00C36C8F">
        <w:t xml:space="preserve">Market demand </w:t>
      </w:r>
      <w:r w:rsidR="00854612" w:rsidRPr="00C36C8F">
        <w:t>and</w:t>
      </w:r>
      <w:r w:rsidRPr="00C36C8F">
        <w:t xml:space="preserve"> resource pricing</w:t>
      </w:r>
      <w:bookmarkEnd w:id="288"/>
      <w:bookmarkEnd w:id="289"/>
      <w:bookmarkEnd w:id="290"/>
      <w:bookmarkEnd w:id="291"/>
      <w:bookmarkEnd w:id="292"/>
      <w:r w:rsidRPr="00C36C8F">
        <w:t xml:space="preserve"> </w:t>
      </w:r>
    </w:p>
    <w:p w:rsidR="00C5692B" w:rsidRPr="00C36C8F" w:rsidRDefault="00C5692B" w:rsidP="00D82E6C">
      <w:pPr>
        <w:pStyle w:val="BulletPoints"/>
        <w:numPr>
          <w:ilvl w:val="0"/>
          <w:numId w:val="0"/>
        </w:numPr>
        <w:ind w:left="1134"/>
        <w:jc w:val="both"/>
      </w:pPr>
      <w:r w:rsidRPr="00C36C8F">
        <w:t xml:space="preserve">Market demand and commodity prices </w:t>
      </w:r>
      <w:r w:rsidR="00684BB7" w:rsidRPr="00C36C8F">
        <w:t xml:space="preserve">also </w:t>
      </w:r>
      <w:r w:rsidRPr="00C36C8F">
        <w:t>have a significant effect on the rate of</w:t>
      </w:r>
      <w:r w:rsidR="005D6869" w:rsidRPr="00C36C8F">
        <w:t xml:space="preserve"> resource </w:t>
      </w:r>
      <w:r w:rsidR="003E78E4" w:rsidRPr="00C36C8F">
        <w:t xml:space="preserve">consumption and </w:t>
      </w:r>
      <w:r w:rsidR="005D6869" w:rsidRPr="00C36C8F">
        <w:t xml:space="preserve">recovery </w:t>
      </w:r>
      <w:r w:rsidRPr="00C36C8F">
        <w:t xml:space="preserve">of products and materials </w:t>
      </w:r>
      <w:r w:rsidR="005D6869" w:rsidRPr="00C36C8F">
        <w:t xml:space="preserve">in Australia. </w:t>
      </w:r>
    </w:p>
    <w:p w:rsidR="005D6869" w:rsidRPr="00C36C8F" w:rsidRDefault="005D6869" w:rsidP="00D82E6C">
      <w:pPr>
        <w:pStyle w:val="BulletPoints"/>
        <w:numPr>
          <w:ilvl w:val="0"/>
          <w:numId w:val="0"/>
        </w:numPr>
        <w:ind w:left="1134"/>
        <w:jc w:val="both"/>
      </w:pPr>
      <w:r w:rsidRPr="00C36C8F">
        <w:t>Resource recovery levels gener</w:t>
      </w:r>
      <w:r w:rsidR="00854612" w:rsidRPr="00C36C8F">
        <w:t>ally tend to be higher and more stable</w:t>
      </w:r>
      <w:r w:rsidRPr="00C36C8F">
        <w:t xml:space="preserve"> for materials</w:t>
      </w:r>
      <w:r w:rsidR="00854612" w:rsidRPr="00C36C8F">
        <w:t>,</w:t>
      </w:r>
      <w:r w:rsidRPr="00C36C8F">
        <w:t xml:space="preserve"> such as ferrous and non-ferrous metals, cardboard and newspaper</w:t>
      </w:r>
      <w:r w:rsidR="00854612" w:rsidRPr="00C36C8F">
        <w:t>,</w:t>
      </w:r>
      <w:r w:rsidRPr="00C36C8F">
        <w:t xml:space="preserve"> </w:t>
      </w:r>
      <w:r w:rsidR="00854612" w:rsidRPr="00C36C8F">
        <w:t>where</w:t>
      </w:r>
      <w:r w:rsidRPr="00C36C8F">
        <w:t>:</w:t>
      </w:r>
    </w:p>
    <w:p w:rsidR="005D6869" w:rsidRPr="00C36C8F" w:rsidRDefault="0040431B" w:rsidP="00D82E6C">
      <w:pPr>
        <w:pStyle w:val="BulletPoints"/>
        <w:tabs>
          <w:tab w:val="clear" w:pos="567"/>
          <w:tab w:val="left" w:pos="1134"/>
          <w:tab w:val="num" w:pos="1701"/>
          <w:tab w:val="left" w:pos="2268"/>
        </w:tabs>
        <w:spacing w:line="240" w:lineRule="auto"/>
        <w:ind w:left="1701"/>
        <w:jc w:val="both"/>
      </w:pPr>
      <w:r>
        <w:t>t</w:t>
      </w:r>
      <w:r w:rsidR="005D6869" w:rsidRPr="00C36C8F">
        <w:t>he price of the recyclate material compares favourably to the price of the competing non-recyclate (or virgin) material</w:t>
      </w:r>
    </w:p>
    <w:p w:rsidR="005D6869" w:rsidRPr="00C36C8F" w:rsidRDefault="0040431B" w:rsidP="00D82E6C">
      <w:pPr>
        <w:pStyle w:val="BulletPoints"/>
        <w:tabs>
          <w:tab w:val="clear" w:pos="567"/>
          <w:tab w:val="left" w:pos="1134"/>
          <w:tab w:val="num" w:pos="1701"/>
          <w:tab w:val="left" w:pos="2268"/>
        </w:tabs>
        <w:spacing w:line="240" w:lineRule="auto"/>
        <w:ind w:left="1701"/>
        <w:jc w:val="both"/>
      </w:pPr>
      <w:r>
        <w:t>t</w:t>
      </w:r>
      <w:r w:rsidR="00854612" w:rsidRPr="00C36C8F">
        <w:t>here</w:t>
      </w:r>
      <w:r w:rsidR="005D6869" w:rsidRPr="00C36C8F">
        <w:t xml:space="preserve"> is a clear profit to be made from the sale of the recyclate material following the cost of the material’s collection and reprocessing</w:t>
      </w:r>
    </w:p>
    <w:p w:rsidR="005D6869" w:rsidRPr="00C36C8F" w:rsidRDefault="0040431B" w:rsidP="00D82E6C">
      <w:pPr>
        <w:pStyle w:val="BulletPoints"/>
        <w:tabs>
          <w:tab w:val="clear" w:pos="567"/>
          <w:tab w:val="left" w:pos="1134"/>
          <w:tab w:val="num" w:pos="1701"/>
          <w:tab w:val="left" w:pos="2268"/>
        </w:tabs>
        <w:spacing w:line="240" w:lineRule="auto"/>
        <w:ind w:left="1701"/>
        <w:jc w:val="both"/>
      </w:pPr>
      <w:r>
        <w:t>t</w:t>
      </w:r>
      <w:r w:rsidR="00854612" w:rsidRPr="00C36C8F">
        <w:t>here</w:t>
      </w:r>
      <w:r w:rsidR="005D6869" w:rsidRPr="00C36C8F">
        <w:t xml:space="preserve"> are generally low levels of contamination in the process of recyclate recovery</w:t>
      </w:r>
    </w:p>
    <w:p w:rsidR="005D6869" w:rsidRPr="00C36C8F" w:rsidRDefault="0040431B" w:rsidP="00D82E6C">
      <w:pPr>
        <w:pStyle w:val="BulletPoints"/>
        <w:tabs>
          <w:tab w:val="clear" w:pos="567"/>
          <w:tab w:val="left" w:pos="1134"/>
          <w:tab w:val="num" w:pos="1701"/>
          <w:tab w:val="left" w:pos="2268"/>
        </w:tabs>
        <w:spacing w:after="180" w:line="240" w:lineRule="auto"/>
        <w:ind w:left="1701"/>
        <w:jc w:val="both"/>
      </w:pPr>
      <w:r>
        <w:t>t</w:t>
      </w:r>
      <w:r w:rsidR="005D6869" w:rsidRPr="00C36C8F">
        <w:t xml:space="preserve">here is a strong market demand for the recyclate material. </w:t>
      </w:r>
    </w:p>
    <w:p w:rsidR="005D6869" w:rsidRPr="00C36C8F" w:rsidRDefault="005D6869" w:rsidP="00D82E6C">
      <w:pPr>
        <w:pStyle w:val="BulletPoints"/>
        <w:numPr>
          <w:ilvl w:val="0"/>
          <w:numId w:val="0"/>
        </w:numPr>
        <w:ind w:left="1134"/>
        <w:jc w:val="both"/>
      </w:pPr>
      <w:r w:rsidRPr="00C36C8F">
        <w:t>Conversely, resource recovery levels tend to be lower and less sustainable for materials</w:t>
      </w:r>
      <w:r w:rsidR="00854612" w:rsidRPr="00C36C8F">
        <w:t>,</w:t>
      </w:r>
      <w:r w:rsidR="003500C7" w:rsidRPr="00C36C8F">
        <w:t xml:space="preserve"> such as plastic</w:t>
      </w:r>
      <w:r w:rsidR="000C6690" w:rsidRPr="00C36C8F">
        <w:t xml:space="preserve"> film and timber</w:t>
      </w:r>
      <w:r w:rsidR="00854612" w:rsidRPr="00C36C8F">
        <w:t>,</w:t>
      </w:r>
      <w:r w:rsidRPr="00C36C8F">
        <w:t xml:space="preserve"> </w:t>
      </w:r>
      <w:r w:rsidR="00854612" w:rsidRPr="00C36C8F">
        <w:t>where</w:t>
      </w:r>
      <w:r w:rsidRPr="00C36C8F">
        <w:t>:</w:t>
      </w:r>
    </w:p>
    <w:p w:rsidR="005D6869" w:rsidRPr="00C36C8F" w:rsidRDefault="0040431B" w:rsidP="00D82E6C">
      <w:pPr>
        <w:pStyle w:val="BulletPoints"/>
        <w:tabs>
          <w:tab w:val="clear" w:pos="567"/>
          <w:tab w:val="left" w:pos="1134"/>
          <w:tab w:val="num" w:pos="1701"/>
          <w:tab w:val="left" w:pos="2268"/>
        </w:tabs>
        <w:spacing w:line="240" w:lineRule="auto"/>
        <w:ind w:left="1701"/>
        <w:jc w:val="both"/>
      </w:pPr>
      <w:r>
        <w:t>t</w:t>
      </w:r>
      <w:r w:rsidR="005D6869" w:rsidRPr="00C36C8F">
        <w:t>he price of the recyclate material does not compare favourably to the price of the competing non-recyclate (or virgin) material</w:t>
      </w:r>
    </w:p>
    <w:p w:rsidR="005D6869" w:rsidRPr="00C36C8F" w:rsidRDefault="0040431B" w:rsidP="00D82E6C">
      <w:pPr>
        <w:pStyle w:val="BulletPoints"/>
        <w:tabs>
          <w:tab w:val="clear" w:pos="567"/>
          <w:tab w:val="left" w:pos="1134"/>
          <w:tab w:val="num" w:pos="1701"/>
          <w:tab w:val="left" w:pos="2268"/>
        </w:tabs>
        <w:spacing w:line="240" w:lineRule="auto"/>
        <w:ind w:left="1701"/>
        <w:jc w:val="both"/>
      </w:pPr>
      <w:r>
        <w:t>t</w:t>
      </w:r>
      <w:r w:rsidR="005D6869" w:rsidRPr="00C36C8F">
        <w:t xml:space="preserve">here is limited </w:t>
      </w:r>
      <w:r w:rsidR="00C11CFC" w:rsidRPr="00C36C8F">
        <w:t xml:space="preserve">or varied </w:t>
      </w:r>
      <w:r w:rsidR="005D6869" w:rsidRPr="00C36C8F">
        <w:t>market demand for the recyclate material</w:t>
      </w:r>
    </w:p>
    <w:p w:rsidR="005D6869" w:rsidRPr="00C36C8F" w:rsidRDefault="0040431B" w:rsidP="00D82E6C">
      <w:pPr>
        <w:pStyle w:val="BulletPoints"/>
        <w:tabs>
          <w:tab w:val="clear" w:pos="567"/>
          <w:tab w:val="left" w:pos="1134"/>
          <w:tab w:val="num" w:pos="1701"/>
          <w:tab w:val="left" w:pos="2268"/>
        </w:tabs>
        <w:spacing w:line="240" w:lineRule="auto"/>
        <w:ind w:left="1701"/>
        <w:jc w:val="both"/>
      </w:pPr>
      <w:r>
        <w:t>t</w:t>
      </w:r>
      <w:r w:rsidR="00854612" w:rsidRPr="00C36C8F">
        <w:t>he</w:t>
      </w:r>
      <w:r w:rsidR="005D6869" w:rsidRPr="00C36C8F">
        <w:t xml:space="preserve"> price paid for the recyclate material </w:t>
      </w:r>
      <w:r w:rsidR="00854612" w:rsidRPr="00C36C8F">
        <w:t>is less likely to</w:t>
      </w:r>
      <w:r w:rsidR="005D6869" w:rsidRPr="00C36C8F">
        <w:t xml:space="preserve"> meet the cost of the material’s collection and reprocessing</w:t>
      </w:r>
    </w:p>
    <w:p w:rsidR="005D6869" w:rsidRPr="00C36C8F" w:rsidRDefault="0040431B" w:rsidP="00D82E6C">
      <w:pPr>
        <w:pStyle w:val="BulletPoints"/>
        <w:tabs>
          <w:tab w:val="clear" w:pos="567"/>
          <w:tab w:val="left" w:pos="1134"/>
          <w:tab w:val="num" w:pos="1701"/>
          <w:tab w:val="left" w:pos="2268"/>
        </w:tabs>
        <w:spacing w:line="240" w:lineRule="auto"/>
        <w:ind w:left="1701"/>
        <w:jc w:val="both"/>
      </w:pPr>
      <w:r>
        <w:t>s</w:t>
      </w:r>
      <w:r w:rsidR="00854612" w:rsidRPr="00C36C8F">
        <w:t>ubsidies</w:t>
      </w:r>
      <w:r w:rsidR="005D6869" w:rsidRPr="00C36C8F">
        <w:t xml:space="preserve"> may be necessary to fund the gap between the price of the recyclate material’s sale and the cost of the materia</w:t>
      </w:r>
      <w:r w:rsidR="00210B1E" w:rsidRPr="00C36C8F">
        <w:t>l’s collection and reprocessing</w:t>
      </w:r>
    </w:p>
    <w:p w:rsidR="005D6869" w:rsidRPr="00C36C8F" w:rsidRDefault="0040431B" w:rsidP="00D82E6C">
      <w:pPr>
        <w:pStyle w:val="BulletPoints"/>
        <w:tabs>
          <w:tab w:val="clear" w:pos="567"/>
          <w:tab w:val="left" w:pos="1134"/>
          <w:tab w:val="num" w:pos="1701"/>
          <w:tab w:val="left" w:pos="2268"/>
        </w:tabs>
        <w:spacing w:after="180" w:line="240" w:lineRule="auto"/>
        <w:ind w:left="1701"/>
        <w:jc w:val="both"/>
      </w:pPr>
      <w:r>
        <w:t>t</w:t>
      </w:r>
      <w:r w:rsidR="00854612" w:rsidRPr="00C36C8F">
        <w:t>here</w:t>
      </w:r>
      <w:r w:rsidR="005D6869" w:rsidRPr="00C36C8F">
        <w:t xml:space="preserve"> are generally high levels of contamination in the process of recyclate recovery.</w:t>
      </w:r>
    </w:p>
    <w:p w:rsidR="005D6869" w:rsidRPr="00C36C8F" w:rsidRDefault="005D6869" w:rsidP="00D82E6C">
      <w:pPr>
        <w:pStyle w:val="BulletPoints"/>
        <w:numPr>
          <w:ilvl w:val="0"/>
          <w:numId w:val="0"/>
        </w:numPr>
        <w:ind w:left="1134"/>
        <w:jc w:val="both"/>
      </w:pPr>
      <w:r w:rsidRPr="00C36C8F">
        <w:t xml:space="preserve">Beyond these considerations there are </w:t>
      </w:r>
      <w:r w:rsidR="00854612" w:rsidRPr="00C36C8F">
        <w:t>further</w:t>
      </w:r>
      <w:r w:rsidRPr="00C36C8F">
        <w:t xml:space="preserve"> reasons that the price of recyclate material may not compare to the competing virgin material. These include:</w:t>
      </w:r>
    </w:p>
    <w:p w:rsidR="005D6869" w:rsidRPr="00C36C8F" w:rsidRDefault="0040431B" w:rsidP="00D82E6C">
      <w:pPr>
        <w:pStyle w:val="BulletPoints"/>
        <w:tabs>
          <w:tab w:val="clear" w:pos="567"/>
          <w:tab w:val="left" w:pos="1134"/>
          <w:tab w:val="num" w:pos="1701"/>
          <w:tab w:val="left" w:pos="2268"/>
        </w:tabs>
        <w:spacing w:line="240" w:lineRule="auto"/>
        <w:ind w:left="1701"/>
        <w:jc w:val="both"/>
      </w:pPr>
      <w:r>
        <w:t>t</w:t>
      </w:r>
      <w:r w:rsidR="005D6869" w:rsidRPr="00C36C8F">
        <w:t xml:space="preserve">echnical efficiency </w:t>
      </w:r>
      <w:r w:rsidR="00C5692B" w:rsidRPr="00C36C8F">
        <w:t>–</w:t>
      </w:r>
      <w:r w:rsidR="005D6869" w:rsidRPr="00C36C8F">
        <w:t xml:space="preserve"> Virgin resource extraction and refining activities have economies of scale beyond those possible in the collection and reprocessing of recovered materials</w:t>
      </w:r>
      <w:r w:rsidR="00A0612A">
        <w:t>.</w:t>
      </w:r>
    </w:p>
    <w:p w:rsidR="005D6869" w:rsidRPr="00C36C8F" w:rsidRDefault="0040431B" w:rsidP="00D82E6C">
      <w:pPr>
        <w:pStyle w:val="BulletPoints"/>
        <w:tabs>
          <w:tab w:val="clear" w:pos="567"/>
          <w:tab w:val="left" w:pos="1134"/>
          <w:tab w:val="num" w:pos="1701"/>
          <w:tab w:val="left" w:pos="2268"/>
        </w:tabs>
        <w:spacing w:line="240" w:lineRule="auto"/>
        <w:ind w:left="1701"/>
        <w:jc w:val="both"/>
      </w:pPr>
      <w:r>
        <w:t>q</w:t>
      </w:r>
      <w:r w:rsidR="005D6869" w:rsidRPr="00C36C8F">
        <w:t xml:space="preserve">uality </w:t>
      </w:r>
      <w:r w:rsidR="00C5692B" w:rsidRPr="00C36C8F">
        <w:t xml:space="preserve">– </w:t>
      </w:r>
      <w:r w:rsidR="005D6869" w:rsidRPr="00C36C8F">
        <w:t>Virgin material may be superior or perceived to be superior to that of the recyclate material, or be considered to better conform to manufacturers’ specifications and requirements</w:t>
      </w:r>
      <w:r w:rsidR="00A0612A">
        <w:t>.</w:t>
      </w:r>
    </w:p>
    <w:p w:rsidR="005D6869" w:rsidRPr="00C36C8F" w:rsidRDefault="0040431B" w:rsidP="00D82E6C">
      <w:pPr>
        <w:pStyle w:val="BulletPoints"/>
        <w:tabs>
          <w:tab w:val="clear" w:pos="567"/>
          <w:tab w:val="left" w:pos="1134"/>
          <w:tab w:val="num" w:pos="1701"/>
          <w:tab w:val="left" w:pos="2268"/>
        </w:tabs>
        <w:spacing w:after="180" w:line="240" w:lineRule="auto"/>
        <w:ind w:left="1701"/>
        <w:jc w:val="both"/>
      </w:pPr>
      <w:r>
        <w:t>s</w:t>
      </w:r>
      <w:r w:rsidR="005D6869" w:rsidRPr="00C36C8F">
        <w:t xml:space="preserve">ubsidies </w:t>
      </w:r>
      <w:r w:rsidR="00C5692B" w:rsidRPr="00C36C8F">
        <w:t xml:space="preserve">– </w:t>
      </w:r>
      <w:r w:rsidR="005D6869" w:rsidRPr="00C36C8F">
        <w:t xml:space="preserve">The production and supply of virgin material may benefit from some form of direct or indirect public subsidisation. </w:t>
      </w:r>
      <w:r w:rsidR="00C11CFC" w:rsidRPr="00C36C8F">
        <w:t>A</w:t>
      </w:r>
      <w:r w:rsidR="005D6869" w:rsidRPr="00C36C8F">
        <w:t xml:space="preserve"> 1998 OECD report</w:t>
      </w:r>
      <w:r w:rsidR="00C11CFC" w:rsidRPr="00C36C8F">
        <w:rPr>
          <w:rStyle w:val="FootnoteReference"/>
        </w:rPr>
        <w:footnoteReference w:id="28"/>
      </w:r>
      <w:r w:rsidR="005D6869" w:rsidRPr="00C36C8F">
        <w:t xml:space="preserve"> concluded that many subsidies damage the environment by encouraging over-production and the wasteful use of inputs.</w:t>
      </w:r>
    </w:p>
    <w:p w:rsidR="00CF4BDC" w:rsidRPr="00C36C8F" w:rsidRDefault="009D6F04" w:rsidP="004A3086">
      <w:pPr>
        <w:pStyle w:val="Heading2"/>
      </w:pPr>
      <w:bookmarkStart w:id="294" w:name="_Toc284510913"/>
      <w:bookmarkStart w:id="295" w:name="_Toc325020129"/>
      <w:bookmarkStart w:id="296" w:name="_Toc305049777"/>
      <w:bookmarkEnd w:id="293"/>
      <w:r w:rsidRPr="00C36C8F">
        <w:t>S</w:t>
      </w:r>
      <w:r w:rsidR="00CF4BDC" w:rsidRPr="00C36C8F">
        <w:t>ervices, technology and infrastructure</w:t>
      </w:r>
      <w:bookmarkEnd w:id="294"/>
      <w:bookmarkEnd w:id="295"/>
      <w:bookmarkEnd w:id="296"/>
    </w:p>
    <w:p w:rsidR="00CF4BDC" w:rsidRPr="00C36C8F" w:rsidRDefault="009B1E3B" w:rsidP="00D82E6C">
      <w:pPr>
        <w:pStyle w:val="ParaIndent"/>
        <w:jc w:val="both"/>
      </w:pPr>
      <w:r w:rsidRPr="00C36C8F">
        <w:t>As noted in S</w:t>
      </w:r>
      <w:r w:rsidR="00603961" w:rsidRPr="00C36C8F">
        <w:t xml:space="preserve">ection </w:t>
      </w:r>
      <w:fldSimple w:instr=" REF _Ref284578887 \r \h  \* MERGEFORMAT ">
        <w:r w:rsidR="00AE7E3B">
          <w:t>7.3</w:t>
        </w:r>
      </w:fldSimple>
      <w:r w:rsidR="00603961" w:rsidRPr="00C36C8F">
        <w:t xml:space="preserve">, </w:t>
      </w:r>
      <w:r w:rsidR="00CF4BDC" w:rsidRPr="00C36C8F">
        <w:t xml:space="preserve">virgin resource extraction and refining </w:t>
      </w:r>
      <w:r w:rsidR="00603961" w:rsidRPr="00C36C8F">
        <w:t>often</w:t>
      </w:r>
      <w:r w:rsidR="00CF4BDC" w:rsidRPr="00C36C8F">
        <w:t xml:space="preserve"> have economies of scale beyond those possible in the collection and reprocessing of </w:t>
      </w:r>
      <w:r w:rsidR="00483CEC" w:rsidRPr="00C36C8F">
        <w:t>waste products and materials</w:t>
      </w:r>
      <w:r w:rsidR="00CF4BDC" w:rsidRPr="00C36C8F">
        <w:t xml:space="preserve">. </w:t>
      </w:r>
      <w:r w:rsidR="00483CEC" w:rsidRPr="00C36C8F">
        <w:t>The</w:t>
      </w:r>
      <w:r w:rsidR="00CF4BDC" w:rsidRPr="00C36C8F">
        <w:t xml:space="preserve"> technological and engineering complexity </w:t>
      </w:r>
      <w:r w:rsidR="00483CEC" w:rsidRPr="00C36C8F">
        <w:t>required for resource recovery</w:t>
      </w:r>
      <w:r w:rsidR="00CF4BDC" w:rsidRPr="00C36C8F">
        <w:t xml:space="preserve"> </w:t>
      </w:r>
      <w:r w:rsidR="00483CEC" w:rsidRPr="00C36C8F">
        <w:t xml:space="preserve">often </w:t>
      </w:r>
      <w:r w:rsidR="00CF4BDC" w:rsidRPr="00C36C8F">
        <w:t xml:space="preserve">adds </w:t>
      </w:r>
      <w:r w:rsidR="00483CEC" w:rsidRPr="00C36C8F">
        <w:t xml:space="preserve">significantly to the </w:t>
      </w:r>
      <w:r w:rsidR="00CF4BDC" w:rsidRPr="00C36C8F">
        <w:t xml:space="preserve">cost of </w:t>
      </w:r>
      <w:r w:rsidR="009E4157" w:rsidRPr="00C36C8F">
        <w:t>resource recovery</w:t>
      </w:r>
      <w:r w:rsidR="00CF4BDC" w:rsidRPr="00C36C8F">
        <w:t xml:space="preserve">, especially where source separation </w:t>
      </w:r>
      <w:r w:rsidR="009E4157" w:rsidRPr="00C36C8F">
        <w:t>is</w:t>
      </w:r>
      <w:r w:rsidR="00CF4BDC" w:rsidRPr="00C36C8F">
        <w:t xml:space="preserve"> not in place and contamination becomes an issue. Equally, because the overall market for the recyclate material tends to be emerging and smaller, there may be less than optimal investment and innovation in technological and engineering processes to address these challenges.</w:t>
      </w:r>
    </w:p>
    <w:p w:rsidR="00182ED7" w:rsidRPr="00C36C8F" w:rsidRDefault="00182ED7" w:rsidP="00D82E6C">
      <w:pPr>
        <w:pStyle w:val="ParaIndent"/>
        <w:jc w:val="both"/>
      </w:pPr>
      <w:r w:rsidRPr="00C36C8F">
        <w:t xml:space="preserve">As also noted in </w:t>
      </w:r>
      <w:r w:rsidR="00502F4E" w:rsidRPr="00C36C8F">
        <w:t>S</w:t>
      </w:r>
      <w:r w:rsidRPr="00C36C8F">
        <w:t xml:space="preserve">ection </w:t>
      </w:r>
      <w:fldSimple w:instr=" REF _Ref284583319 \r \h  \* MERGEFORMAT ">
        <w:r w:rsidR="00AE7E3B">
          <w:t>7.2</w:t>
        </w:r>
      </w:fldSimple>
      <w:r w:rsidRPr="00C36C8F">
        <w:t>, landfill levies and direct hypothecation of these funds h</w:t>
      </w:r>
      <w:r w:rsidR="001F5066" w:rsidRPr="00C36C8F">
        <w:t>ave</w:t>
      </w:r>
      <w:r w:rsidRPr="00C36C8F">
        <w:t xml:space="preserve"> direct waste diversion and recovery outcomes, as well as funding government and industry investment in resource recovery infrastructure and community awareness program</w:t>
      </w:r>
      <w:r w:rsidR="002D5148" w:rsidRPr="00C36C8F">
        <w:t>s</w:t>
      </w:r>
      <w:r w:rsidRPr="00C36C8F">
        <w:t>. The effect of levies can be enhanced by policy measures that set consistent and long term waste minimisation targets. This provides certainty and incentives for private sector investment in a range of resources and programs to meet the associated market demand for services, as well as the ability to explore and develop new markets.</w:t>
      </w:r>
    </w:p>
    <w:p w:rsidR="00182ED7" w:rsidRPr="00C36C8F" w:rsidRDefault="00182ED7" w:rsidP="00D82E6C">
      <w:pPr>
        <w:pStyle w:val="ParaIndent"/>
        <w:jc w:val="both"/>
      </w:pPr>
      <w:r w:rsidRPr="00C36C8F">
        <w:t>With the exception of the businesses who are now, or will soon be, participants in product stewardship schemes, there is limited incentive for businesses to improve their resource recovery performance. Where they do exist, they often apply to other environmental impacts, such as pollution control and energy and water management.</w:t>
      </w:r>
    </w:p>
    <w:tbl>
      <w:tblPr>
        <w:tblStyle w:val="TableGrid"/>
        <w:tblW w:w="0" w:type="auto"/>
        <w:tblInd w:w="1134" w:type="dxa"/>
        <w:shd w:val="clear" w:color="auto" w:fill="FFFFCC"/>
        <w:tblLook w:val="04A0"/>
      </w:tblPr>
      <w:tblGrid>
        <w:gridCol w:w="8721"/>
      </w:tblGrid>
      <w:tr w:rsidR="0088532B" w:rsidRPr="00C36C8F" w:rsidTr="0088532B">
        <w:tc>
          <w:tcPr>
            <w:tcW w:w="9855" w:type="dxa"/>
            <w:shd w:val="clear" w:color="auto" w:fill="FFFFCC"/>
          </w:tcPr>
          <w:p w:rsidR="0088532B" w:rsidRPr="00C36C8F" w:rsidRDefault="0088532B" w:rsidP="00D82E6C">
            <w:pPr>
              <w:pStyle w:val="ParaIndent"/>
              <w:ind w:left="0"/>
              <w:jc w:val="both"/>
              <w:rPr>
                <w:b/>
              </w:rPr>
            </w:pPr>
            <w:r w:rsidRPr="00C36C8F">
              <w:rPr>
                <w:b/>
              </w:rPr>
              <w:t>Case Study: Flexible Plastics</w:t>
            </w:r>
          </w:p>
          <w:p w:rsidR="0088532B" w:rsidRPr="00C36C8F" w:rsidRDefault="0088532B" w:rsidP="0088532B">
            <w:pPr>
              <w:pStyle w:val="ParaIndent"/>
              <w:ind w:left="0"/>
              <w:jc w:val="both"/>
              <w:rPr>
                <w:sz w:val="18"/>
                <w:szCs w:val="18"/>
              </w:rPr>
            </w:pPr>
            <w:r w:rsidRPr="00C36C8F">
              <w:rPr>
                <w:sz w:val="18"/>
                <w:szCs w:val="18"/>
              </w:rPr>
              <w:t>Investment in services, technology and infrastructure can be achieved where there is a clear framework for waste management.</w:t>
            </w:r>
          </w:p>
          <w:p w:rsidR="0088532B" w:rsidRPr="00C36C8F" w:rsidRDefault="0088532B" w:rsidP="0088532B">
            <w:pPr>
              <w:pStyle w:val="ParaIndent"/>
              <w:ind w:left="0"/>
              <w:jc w:val="both"/>
              <w:rPr>
                <w:sz w:val="18"/>
                <w:szCs w:val="18"/>
              </w:rPr>
            </w:pPr>
            <w:r w:rsidRPr="00C36C8F">
              <w:rPr>
                <w:sz w:val="18"/>
                <w:szCs w:val="18"/>
              </w:rPr>
              <w:t>The Australian Packaging Covenant (formerly the National Packaging Covenant) has encouraged the C&amp;I sector to invest in the recovery of more challenging materials such as flexible plastics.</w:t>
            </w:r>
          </w:p>
          <w:p w:rsidR="0088532B" w:rsidRPr="00C36C8F" w:rsidRDefault="0088532B" w:rsidP="0088532B">
            <w:pPr>
              <w:pStyle w:val="ParaIndent"/>
              <w:ind w:left="0"/>
              <w:jc w:val="both"/>
              <w:rPr>
                <w:sz w:val="18"/>
                <w:szCs w:val="18"/>
              </w:rPr>
            </w:pPr>
            <w:r w:rsidRPr="00C36C8F">
              <w:rPr>
                <w:sz w:val="18"/>
                <w:szCs w:val="18"/>
              </w:rPr>
              <w:t>On the basis of Sustainability Victoria audit data for waste to landfill, disposal information has highlighted some landfill sites were receiving almost 8% by weight of flexible plastics in the form of films from the C&amp;I sector (which includes freight packaging/pallet wrap) and packaging from the MSW stream, (including food packaging, mostly in the form of polyethylene and polypropylene).</w:t>
            </w:r>
          </w:p>
          <w:p w:rsidR="0088532B" w:rsidRPr="00C36C8F" w:rsidRDefault="0088532B" w:rsidP="0088532B">
            <w:pPr>
              <w:pStyle w:val="ParaIndent"/>
              <w:ind w:left="0"/>
              <w:jc w:val="both"/>
              <w:rPr>
                <w:sz w:val="18"/>
                <w:szCs w:val="18"/>
              </w:rPr>
            </w:pPr>
            <w:r w:rsidRPr="00C36C8F">
              <w:rPr>
                <w:sz w:val="18"/>
                <w:szCs w:val="18"/>
              </w:rPr>
              <w:t>Major Australian supermarket chains have implemented programs to support the recovery and reprocessing of source separated flexible plastics. The challenge in extending the recovery of flexible plastics into the domestic sector, include issues previously highlighted, such as:</w:t>
            </w:r>
          </w:p>
          <w:p w:rsidR="0088532B" w:rsidRPr="00C36C8F" w:rsidRDefault="0088532B" w:rsidP="004B50A2">
            <w:pPr>
              <w:pStyle w:val="ParaIndent"/>
              <w:numPr>
                <w:ilvl w:val="0"/>
                <w:numId w:val="34"/>
              </w:numPr>
              <w:jc w:val="both"/>
              <w:rPr>
                <w:sz w:val="18"/>
                <w:szCs w:val="18"/>
              </w:rPr>
            </w:pPr>
            <w:r w:rsidRPr="00C36C8F">
              <w:rPr>
                <w:sz w:val="18"/>
                <w:szCs w:val="18"/>
              </w:rPr>
              <w:t>the pricing variability of the recyclate material</w:t>
            </w:r>
          </w:p>
          <w:p w:rsidR="0088532B" w:rsidRPr="00C36C8F" w:rsidRDefault="0088532B" w:rsidP="004B50A2">
            <w:pPr>
              <w:pStyle w:val="ParaIndent"/>
              <w:numPr>
                <w:ilvl w:val="0"/>
                <w:numId w:val="34"/>
              </w:numPr>
              <w:jc w:val="both"/>
              <w:rPr>
                <w:sz w:val="18"/>
                <w:szCs w:val="18"/>
              </w:rPr>
            </w:pPr>
            <w:r w:rsidRPr="00C36C8F">
              <w:rPr>
                <w:sz w:val="18"/>
                <w:szCs w:val="18"/>
              </w:rPr>
              <w:t>the quality of recyclable material which will be subject to contamination.</w:t>
            </w:r>
          </w:p>
          <w:p w:rsidR="0088532B" w:rsidRPr="00C36C8F" w:rsidRDefault="0088532B" w:rsidP="0088532B">
            <w:pPr>
              <w:pStyle w:val="ParaIndent"/>
              <w:ind w:left="0"/>
              <w:jc w:val="both"/>
              <w:rPr>
                <w:sz w:val="18"/>
                <w:szCs w:val="18"/>
              </w:rPr>
            </w:pPr>
            <w:r w:rsidRPr="00C36C8F">
              <w:rPr>
                <w:sz w:val="18"/>
                <w:szCs w:val="18"/>
              </w:rPr>
              <w:t>Flexible plastics are often considered contaminants in kerbside recycling, which for some systems may include both the comingled recycling stream and organics recycling stream. They also present a litter issue when not disposed of appropriately, and also at landfill sites.</w:t>
            </w:r>
          </w:p>
          <w:p w:rsidR="0088532B" w:rsidRPr="00C36C8F" w:rsidRDefault="0088532B" w:rsidP="0088532B">
            <w:pPr>
              <w:pStyle w:val="ParaIndent"/>
              <w:ind w:left="0"/>
              <w:jc w:val="both"/>
              <w:rPr>
                <w:sz w:val="18"/>
                <w:szCs w:val="18"/>
              </w:rPr>
            </w:pPr>
            <w:r w:rsidRPr="00C36C8F">
              <w:rPr>
                <w:sz w:val="18"/>
                <w:szCs w:val="18"/>
              </w:rPr>
              <w:t>Opportunities exist to overcome barriers to recovering challenging materials, such as flexible plastics, where the policy instruments previously discussed contribute to investment in collection systems and resource recovery infrastructure that seeks to minimise waste disposal and maximise material recovery.</w:t>
            </w:r>
          </w:p>
          <w:p w:rsidR="0088532B" w:rsidRPr="00C36C8F" w:rsidRDefault="0088532B" w:rsidP="0088532B">
            <w:pPr>
              <w:pStyle w:val="ParaIndent"/>
              <w:ind w:left="0"/>
              <w:jc w:val="both"/>
            </w:pPr>
            <w:r w:rsidRPr="00C36C8F">
              <w:rPr>
                <w:sz w:val="18"/>
                <w:szCs w:val="18"/>
              </w:rPr>
              <w:t>This can stimulate investment and innovation in technology and engineering processes, which may address challenges for kerbside collection systems or make options such as pre-sorting of residual waste at landfill more viable. The viability for pre-sorting would include the recovery of other higher value materials from the residual waste stream, which may subsidise the recovery of materials like flexible plastics, while improving litter management and reducing these costs for sites.</w:t>
            </w:r>
          </w:p>
        </w:tc>
      </w:tr>
    </w:tbl>
    <w:p w:rsidR="00CF4BDC" w:rsidRPr="00C36C8F" w:rsidRDefault="000022EC" w:rsidP="004A3086">
      <w:pPr>
        <w:pStyle w:val="Heading2"/>
      </w:pPr>
      <w:bookmarkStart w:id="297" w:name="_Ref295314060"/>
      <w:bookmarkStart w:id="298" w:name="_Toc325020130"/>
      <w:bookmarkStart w:id="299" w:name="_Toc305049778"/>
      <w:r w:rsidRPr="00C36C8F">
        <w:t>W</w:t>
      </w:r>
      <w:r w:rsidR="000370D8" w:rsidRPr="00C36C8F">
        <w:t xml:space="preserve">aste </w:t>
      </w:r>
      <w:r w:rsidR="004748FB" w:rsidRPr="00C36C8F">
        <w:t>minimisation</w:t>
      </w:r>
      <w:bookmarkEnd w:id="297"/>
      <w:bookmarkEnd w:id="298"/>
      <w:bookmarkEnd w:id="299"/>
    </w:p>
    <w:p w:rsidR="000370D8" w:rsidRPr="00C36C8F" w:rsidRDefault="003E78E4" w:rsidP="0088532B">
      <w:pPr>
        <w:pStyle w:val="ParaIndent"/>
        <w:jc w:val="both"/>
        <w:rPr>
          <w:rFonts w:cs="Arial"/>
        </w:rPr>
      </w:pPr>
      <w:r w:rsidRPr="00C36C8F">
        <w:rPr>
          <w:rFonts w:cs="Arial"/>
        </w:rPr>
        <w:t>While</w:t>
      </w:r>
      <w:r w:rsidR="000370D8" w:rsidRPr="00C36C8F">
        <w:rPr>
          <w:rFonts w:cs="Arial"/>
        </w:rPr>
        <w:t xml:space="preserve"> </w:t>
      </w:r>
      <w:r w:rsidRPr="00C36C8F">
        <w:rPr>
          <w:rFonts w:cs="Arial"/>
        </w:rPr>
        <w:t>resource recovery</w:t>
      </w:r>
      <w:r w:rsidR="000370D8" w:rsidRPr="00C36C8F">
        <w:rPr>
          <w:rFonts w:cs="Arial"/>
        </w:rPr>
        <w:t xml:space="preserve"> has increased over the past decade in all </w:t>
      </w:r>
      <w:r w:rsidRPr="00C36C8F">
        <w:rPr>
          <w:rFonts w:cs="Arial"/>
        </w:rPr>
        <w:t xml:space="preserve">Australian </w:t>
      </w:r>
      <w:r w:rsidR="000370D8" w:rsidRPr="00C36C8F">
        <w:rPr>
          <w:rFonts w:cs="Arial"/>
        </w:rPr>
        <w:t>jurisdictions, overall waste generation has also increased. Increased waste generation and, to a lesser extent, increased recycling are</w:t>
      </w:r>
      <w:r w:rsidR="000022EC" w:rsidRPr="00C36C8F">
        <w:rPr>
          <w:rFonts w:cs="Arial"/>
        </w:rPr>
        <w:t xml:space="preserve"> linked</w:t>
      </w:r>
      <w:r w:rsidR="000370D8" w:rsidRPr="00C36C8F">
        <w:rPr>
          <w:rFonts w:cs="Arial"/>
        </w:rPr>
        <w:t xml:space="preserve"> to increased consumption of products </w:t>
      </w:r>
      <w:r w:rsidR="000022EC" w:rsidRPr="00C36C8F">
        <w:rPr>
          <w:rFonts w:cs="Arial"/>
        </w:rPr>
        <w:t>and materials.</w:t>
      </w:r>
    </w:p>
    <w:p w:rsidR="000022EC" w:rsidRPr="00C36C8F" w:rsidRDefault="0088532B" w:rsidP="0088532B">
      <w:pPr>
        <w:pStyle w:val="ParaIndent"/>
        <w:keepNext/>
        <w:spacing w:after="120"/>
        <w:jc w:val="both"/>
        <w:rPr>
          <w:rFonts w:cs="Arial"/>
        </w:rPr>
      </w:pPr>
      <w:r w:rsidRPr="00C36C8F">
        <w:rPr>
          <w:rFonts w:cs="Arial"/>
        </w:rPr>
        <w:t>There is a</w:t>
      </w:r>
      <w:r w:rsidR="000022EC" w:rsidRPr="00C36C8F">
        <w:rPr>
          <w:rFonts w:cs="Arial"/>
        </w:rPr>
        <w:t xml:space="preserve"> range of associated trend</w:t>
      </w:r>
      <w:r w:rsidRPr="00C36C8F">
        <w:rPr>
          <w:rFonts w:cs="Arial"/>
        </w:rPr>
        <w:t>s</w:t>
      </w:r>
      <w:r w:rsidR="000022EC" w:rsidRPr="00C36C8F">
        <w:rPr>
          <w:rFonts w:cs="Arial"/>
        </w:rPr>
        <w:t xml:space="preserve"> and behaviours which have contributed to the increase in consumption and subsequent waste generation, including:</w:t>
      </w:r>
    </w:p>
    <w:p w:rsidR="000022EC" w:rsidRPr="00C36C8F" w:rsidRDefault="0040431B" w:rsidP="0088532B">
      <w:pPr>
        <w:pStyle w:val="BulletPoints"/>
        <w:keepNext/>
        <w:tabs>
          <w:tab w:val="clear" w:pos="567"/>
          <w:tab w:val="left" w:pos="1134"/>
          <w:tab w:val="num" w:pos="1701"/>
          <w:tab w:val="left" w:pos="2268"/>
        </w:tabs>
        <w:spacing w:line="240" w:lineRule="auto"/>
        <w:ind w:left="1701"/>
        <w:jc w:val="both"/>
        <w:rPr>
          <w:rFonts w:cs="Arial"/>
        </w:rPr>
      </w:pPr>
      <w:r>
        <w:rPr>
          <w:rFonts w:cs="Arial"/>
        </w:rPr>
        <w:t>d</w:t>
      </w:r>
      <w:r w:rsidR="000022EC" w:rsidRPr="00C36C8F">
        <w:rPr>
          <w:rFonts w:cs="Arial"/>
        </w:rPr>
        <w:t>ecreases in prod</w:t>
      </w:r>
      <w:r w:rsidR="0088532B" w:rsidRPr="00C36C8F">
        <w:rPr>
          <w:rFonts w:cs="Arial"/>
        </w:rPr>
        <w:t>uct prices</w:t>
      </w:r>
    </w:p>
    <w:p w:rsidR="000022EC" w:rsidRPr="00C36C8F" w:rsidRDefault="0040431B" w:rsidP="0088532B">
      <w:pPr>
        <w:pStyle w:val="BulletPoints"/>
        <w:keepNext/>
        <w:tabs>
          <w:tab w:val="clear" w:pos="567"/>
          <w:tab w:val="left" w:pos="1134"/>
          <w:tab w:val="num" w:pos="1701"/>
          <w:tab w:val="left" w:pos="2268"/>
        </w:tabs>
        <w:spacing w:line="240" w:lineRule="auto"/>
        <w:ind w:left="1701"/>
        <w:jc w:val="both"/>
        <w:rPr>
          <w:rFonts w:cs="Arial"/>
        </w:rPr>
      </w:pPr>
      <w:r>
        <w:rPr>
          <w:rFonts w:cs="Arial"/>
        </w:rPr>
        <w:t>a</w:t>
      </w:r>
      <w:r w:rsidR="000022EC" w:rsidRPr="00C36C8F">
        <w:rPr>
          <w:rFonts w:cs="Arial"/>
        </w:rPr>
        <w:t xml:space="preserve">dvances in technology resulting in increased product range </w:t>
      </w:r>
      <w:r w:rsidR="0088532B" w:rsidRPr="00C36C8F">
        <w:rPr>
          <w:rFonts w:cs="Arial"/>
        </w:rPr>
        <w:t>and shorter retention of goods</w:t>
      </w:r>
    </w:p>
    <w:p w:rsidR="000022EC" w:rsidRPr="00C36C8F" w:rsidRDefault="0040431B" w:rsidP="0088532B">
      <w:pPr>
        <w:pStyle w:val="BulletPoints"/>
        <w:keepNext/>
        <w:tabs>
          <w:tab w:val="clear" w:pos="567"/>
          <w:tab w:val="left" w:pos="1134"/>
          <w:tab w:val="num" w:pos="1701"/>
          <w:tab w:val="left" w:pos="2268"/>
        </w:tabs>
        <w:spacing w:line="240" w:lineRule="auto"/>
        <w:ind w:left="1701"/>
        <w:jc w:val="both"/>
        <w:rPr>
          <w:rFonts w:cs="Arial"/>
        </w:rPr>
      </w:pPr>
      <w:r>
        <w:rPr>
          <w:rFonts w:cs="Arial"/>
        </w:rPr>
        <w:t>d</w:t>
      </w:r>
      <w:r w:rsidR="000022EC" w:rsidRPr="00C36C8F">
        <w:rPr>
          <w:rFonts w:cs="Arial"/>
        </w:rPr>
        <w:t>esign for obsolesce</w:t>
      </w:r>
      <w:r w:rsidR="003473CB" w:rsidRPr="00C36C8F">
        <w:rPr>
          <w:rFonts w:cs="Arial"/>
        </w:rPr>
        <w:t>nce</w:t>
      </w:r>
      <w:r w:rsidR="000022EC" w:rsidRPr="00C36C8F">
        <w:rPr>
          <w:rFonts w:cs="Arial"/>
        </w:rPr>
        <w:t xml:space="preserve"> re</w:t>
      </w:r>
      <w:r w:rsidR="0088532B" w:rsidRPr="00C36C8F">
        <w:rPr>
          <w:rFonts w:cs="Arial"/>
        </w:rPr>
        <w:t>ducing the lifespan of products</w:t>
      </w:r>
    </w:p>
    <w:p w:rsidR="000022EC" w:rsidRPr="00C36C8F" w:rsidRDefault="0040431B" w:rsidP="0088532B">
      <w:pPr>
        <w:pStyle w:val="BulletPoints"/>
        <w:tabs>
          <w:tab w:val="clear" w:pos="567"/>
          <w:tab w:val="left" w:pos="1134"/>
          <w:tab w:val="num" w:pos="1701"/>
          <w:tab w:val="left" w:pos="2268"/>
        </w:tabs>
        <w:spacing w:after="180" w:line="240" w:lineRule="auto"/>
        <w:ind w:left="1701"/>
        <w:jc w:val="both"/>
        <w:rPr>
          <w:rFonts w:cs="Arial"/>
        </w:rPr>
      </w:pPr>
      <w:r>
        <w:rPr>
          <w:rFonts w:cs="Arial"/>
        </w:rPr>
        <w:t>i</w:t>
      </w:r>
      <w:r w:rsidR="000022EC" w:rsidRPr="00C36C8F">
        <w:rPr>
          <w:rFonts w:cs="Arial"/>
        </w:rPr>
        <w:t xml:space="preserve">ncreased </w:t>
      </w:r>
      <w:r w:rsidR="003E78E4" w:rsidRPr="00C36C8F">
        <w:rPr>
          <w:rFonts w:cs="Arial"/>
        </w:rPr>
        <w:t xml:space="preserve">interest and </w:t>
      </w:r>
      <w:r w:rsidR="000022EC" w:rsidRPr="00C36C8F">
        <w:rPr>
          <w:rFonts w:cs="Arial"/>
        </w:rPr>
        <w:t>desire for more products and materials.</w:t>
      </w:r>
    </w:p>
    <w:p w:rsidR="00CF4BDC" w:rsidRPr="00C36C8F" w:rsidRDefault="00962093" w:rsidP="0088532B">
      <w:pPr>
        <w:pStyle w:val="ParaIndent"/>
        <w:jc w:val="both"/>
        <w:rPr>
          <w:rFonts w:cs="Arial"/>
        </w:rPr>
      </w:pPr>
      <w:r w:rsidRPr="00C36C8F">
        <w:rPr>
          <w:rFonts w:cs="Arial"/>
        </w:rPr>
        <w:t>T</w:t>
      </w:r>
      <w:r w:rsidR="00CF4BDC" w:rsidRPr="00C36C8F">
        <w:rPr>
          <w:rFonts w:cs="Arial"/>
        </w:rPr>
        <w:t>he Australia</w:t>
      </w:r>
      <w:r w:rsidR="00A37A21" w:rsidRPr="00C36C8F">
        <w:rPr>
          <w:rFonts w:cs="Arial"/>
        </w:rPr>
        <w:t xml:space="preserve"> Institute’s 2005 study into wasteful consumption</w:t>
      </w:r>
      <w:r w:rsidR="00A37A21" w:rsidRPr="00C36C8F">
        <w:rPr>
          <w:rStyle w:val="FootnoteReference"/>
          <w:rFonts w:cs="Arial"/>
        </w:rPr>
        <w:footnoteReference w:id="29"/>
      </w:r>
      <w:r w:rsidR="00A37A21" w:rsidRPr="00C36C8F">
        <w:rPr>
          <w:rFonts w:cs="Arial"/>
        </w:rPr>
        <w:t xml:space="preserve"> estimated</w:t>
      </w:r>
      <w:r w:rsidR="00CF4BDC" w:rsidRPr="00C36C8F">
        <w:rPr>
          <w:rFonts w:cs="Arial"/>
        </w:rPr>
        <w:t xml:space="preserve"> </w:t>
      </w:r>
      <w:r w:rsidR="00A37A21" w:rsidRPr="00C36C8F">
        <w:rPr>
          <w:rFonts w:cs="Arial"/>
        </w:rPr>
        <w:t>that $10.5 billion dollars is</w:t>
      </w:r>
      <w:r w:rsidR="00CF4BDC" w:rsidRPr="00C36C8F">
        <w:rPr>
          <w:rFonts w:cs="Arial"/>
        </w:rPr>
        <w:t xml:space="preserve"> spent</w:t>
      </w:r>
      <w:r w:rsidR="00A37A21" w:rsidRPr="00C36C8F">
        <w:rPr>
          <w:rFonts w:cs="Arial"/>
        </w:rPr>
        <w:t xml:space="preserve"> each year</w:t>
      </w:r>
      <w:r w:rsidR="00CF4BDC" w:rsidRPr="00C36C8F">
        <w:rPr>
          <w:rFonts w:cs="Arial"/>
        </w:rPr>
        <w:t xml:space="preserve"> on goods and services that were either never used or hardly ever used. The study found food accounted for most of </w:t>
      </w:r>
      <w:r w:rsidR="00264DE3" w:rsidRPr="00C36C8F">
        <w:rPr>
          <w:rFonts w:cs="Arial"/>
        </w:rPr>
        <w:t>this</w:t>
      </w:r>
      <w:r w:rsidR="00CF4BDC" w:rsidRPr="00C36C8F">
        <w:rPr>
          <w:rFonts w:cs="Arial"/>
        </w:rPr>
        <w:t xml:space="preserve"> wasteful consumption. Overall</w:t>
      </w:r>
      <w:r w:rsidR="003473CB" w:rsidRPr="00C36C8F">
        <w:rPr>
          <w:rFonts w:cs="Arial"/>
        </w:rPr>
        <w:t>,</w:t>
      </w:r>
      <w:r w:rsidR="00CF4BDC" w:rsidRPr="00C36C8F">
        <w:rPr>
          <w:rFonts w:cs="Arial"/>
        </w:rPr>
        <w:t xml:space="preserve"> Australians threw away $5.3 billion </w:t>
      </w:r>
      <w:r w:rsidR="003473CB" w:rsidRPr="00C36C8F">
        <w:rPr>
          <w:rFonts w:cs="Arial"/>
        </w:rPr>
        <w:t>worth of</w:t>
      </w:r>
      <w:r w:rsidR="00CF4BDC" w:rsidRPr="00C36C8F">
        <w:rPr>
          <w:rFonts w:cs="Arial"/>
        </w:rPr>
        <w:t xml:space="preserve"> food </w:t>
      </w:r>
      <w:r w:rsidR="00264DE3" w:rsidRPr="00C36C8F">
        <w:rPr>
          <w:rFonts w:cs="Arial"/>
        </w:rPr>
        <w:t xml:space="preserve">each year </w:t>
      </w:r>
      <w:r w:rsidR="00CF4BDC" w:rsidRPr="00C36C8F">
        <w:rPr>
          <w:rFonts w:cs="Arial"/>
        </w:rPr>
        <w:t>(this included fresh food, uneaten food and drink, and take-</w:t>
      </w:r>
      <w:r w:rsidR="003473CB" w:rsidRPr="00C36C8F">
        <w:rPr>
          <w:rFonts w:cs="Arial"/>
        </w:rPr>
        <w:t>a</w:t>
      </w:r>
      <w:r w:rsidR="00CF4BDC" w:rsidRPr="00C36C8F">
        <w:rPr>
          <w:rFonts w:cs="Arial"/>
        </w:rPr>
        <w:t>way foods).</w:t>
      </w:r>
    </w:p>
    <w:p w:rsidR="00CF4BDC" w:rsidRPr="00C36C8F" w:rsidRDefault="00CF4BDC" w:rsidP="0088532B">
      <w:pPr>
        <w:pStyle w:val="ParaIndent"/>
        <w:spacing w:after="120"/>
        <w:jc w:val="both"/>
        <w:rPr>
          <w:rFonts w:cs="Arial"/>
        </w:rPr>
      </w:pPr>
      <w:r w:rsidRPr="00C36C8F">
        <w:rPr>
          <w:rFonts w:cs="Arial"/>
        </w:rPr>
        <w:t>The report indicated that levels of wasteful consumption reported were likely to be an underestimate due to a range of exclusions, but also because:</w:t>
      </w:r>
    </w:p>
    <w:p w:rsidR="00CF4BDC" w:rsidRPr="00C36C8F" w:rsidRDefault="00962093" w:rsidP="0088532B">
      <w:pPr>
        <w:pStyle w:val="BodyText"/>
        <w:spacing w:after="180"/>
        <w:ind w:left="1701"/>
        <w:jc w:val="both"/>
        <w:rPr>
          <w:rFonts w:cs="Arial"/>
          <w:sz w:val="18"/>
          <w:szCs w:val="18"/>
        </w:rPr>
      </w:pPr>
      <w:r w:rsidRPr="00C36C8F">
        <w:rPr>
          <w:rFonts w:cs="Arial"/>
          <w:sz w:val="18"/>
          <w:szCs w:val="18"/>
        </w:rPr>
        <w:t>...</w:t>
      </w:r>
      <w:r w:rsidR="00CF4BDC" w:rsidRPr="00C36C8F">
        <w:rPr>
          <w:rFonts w:cs="Arial"/>
          <w:sz w:val="18"/>
          <w:szCs w:val="18"/>
        </w:rPr>
        <w:t>there is evidence that respondents appear to have understated the extent of their wasteful consumption</w:t>
      </w:r>
      <w:r w:rsidRPr="00C36C8F">
        <w:rPr>
          <w:rFonts w:cs="Arial"/>
          <w:sz w:val="18"/>
          <w:szCs w:val="18"/>
        </w:rPr>
        <w:t>.</w:t>
      </w:r>
    </w:p>
    <w:p w:rsidR="00CF4BDC" w:rsidRPr="00C36C8F" w:rsidRDefault="00CF4BDC" w:rsidP="0088532B">
      <w:pPr>
        <w:pStyle w:val="ParaIndent"/>
        <w:jc w:val="both"/>
        <w:rPr>
          <w:rFonts w:cs="Arial"/>
        </w:rPr>
      </w:pPr>
      <w:r w:rsidRPr="00C36C8F">
        <w:rPr>
          <w:rFonts w:cs="Arial"/>
        </w:rPr>
        <w:t>An ABS study released in 2006 (</w:t>
      </w:r>
      <w:r w:rsidRPr="00C36C8F">
        <w:rPr>
          <w:rFonts w:cs="Arial"/>
          <w:i/>
        </w:rPr>
        <w:t>Environmental issues: People’s views and practi</w:t>
      </w:r>
      <w:r w:rsidR="002D3A18" w:rsidRPr="00C36C8F">
        <w:rPr>
          <w:rFonts w:cs="Arial"/>
          <w:i/>
        </w:rPr>
        <w:t>c</w:t>
      </w:r>
      <w:r w:rsidRPr="00C36C8F">
        <w:rPr>
          <w:rFonts w:cs="Arial"/>
          <w:i/>
        </w:rPr>
        <w:t>es</w:t>
      </w:r>
      <w:r w:rsidRPr="00C36C8F">
        <w:rPr>
          <w:rFonts w:cs="Arial"/>
        </w:rPr>
        <w:t>) indicated the behaviours that are most commonly performed to help the environment are relat</w:t>
      </w:r>
      <w:r w:rsidR="003473CB" w:rsidRPr="00C36C8F">
        <w:rPr>
          <w:rFonts w:cs="Arial"/>
        </w:rPr>
        <w:t>ed to waste</w:t>
      </w:r>
      <w:r w:rsidRPr="00C36C8F">
        <w:rPr>
          <w:rFonts w:cs="Arial"/>
        </w:rPr>
        <w:t xml:space="preserve">. The majority of Australian households recycle (98%) and reuse </w:t>
      </w:r>
      <w:r w:rsidR="00557CD3" w:rsidRPr="00C36C8F">
        <w:rPr>
          <w:rFonts w:cs="Arial"/>
        </w:rPr>
        <w:t xml:space="preserve">products or materials that would otherwise become </w:t>
      </w:r>
      <w:r w:rsidRPr="00C36C8F">
        <w:rPr>
          <w:rFonts w:cs="Arial"/>
        </w:rPr>
        <w:t>waste (87%). Over the last decade, kerbside recycling has regularly been cited as the behaviour most commonly performed to help the environment.</w:t>
      </w:r>
    </w:p>
    <w:p w:rsidR="00CF4BDC" w:rsidRPr="00C36C8F" w:rsidRDefault="00CF4BDC" w:rsidP="0088532B">
      <w:pPr>
        <w:pStyle w:val="ParaIndent"/>
        <w:jc w:val="both"/>
        <w:rPr>
          <w:rFonts w:cs="Arial"/>
        </w:rPr>
      </w:pPr>
      <w:r w:rsidRPr="00C36C8F">
        <w:rPr>
          <w:rFonts w:cs="Arial"/>
        </w:rPr>
        <w:t xml:space="preserve">The ABS study found the </w:t>
      </w:r>
      <w:r w:rsidR="002D3A18" w:rsidRPr="00C36C8F">
        <w:rPr>
          <w:rFonts w:cs="Arial"/>
        </w:rPr>
        <w:t>practice</w:t>
      </w:r>
      <w:r w:rsidRPr="00C36C8F">
        <w:rPr>
          <w:rFonts w:cs="Arial"/>
        </w:rPr>
        <w:t xml:space="preserve"> of reusing waste material</w:t>
      </w:r>
      <w:r w:rsidR="00557CD3" w:rsidRPr="00C36C8F">
        <w:rPr>
          <w:rFonts w:cs="Arial"/>
        </w:rPr>
        <w:t>s</w:t>
      </w:r>
      <w:r w:rsidRPr="00C36C8F">
        <w:rPr>
          <w:rFonts w:cs="Arial"/>
        </w:rPr>
        <w:t xml:space="preserve"> increas</w:t>
      </w:r>
      <w:r w:rsidR="007F02C2" w:rsidRPr="00C36C8F">
        <w:rPr>
          <w:rFonts w:cs="Arial"/>
        </w:rPr>
        <w:t>ed</w:t>
      </w:r>
      <w:r w:rsidRPr="00C36C8F">
        <w:rPr>
          <w:rFonts w:cs="Arial"/>
        </w:rPr>
        <w:t xml:space="preserve"> from 37% in 1996 to 87% in 2006, with the most frequently re</w:t>
      </w:r>
      <w:r w:rsidR="000A1612" w:rsidRPr="00C36C8F">
        <w:rPr>
          <w:rFonts w:cs="Arial"/>
        </w:rPr>
        <w:t>-</w:t>
      </w:r>
      <w:r w:rsidRPr="00C36C8F">
        <w:rPr>
          <w:rFonts w:cs="Arial"/>
        </w:rPr>
        <w:t>used materials being plastic bags (89%), old clothing or rags (41%)</w:t>
      </w:r>
      <w:r w:rsidR="0088532B" w:rsidRPr="00C36C8F">
        <w:rPr>
          <w:rFonts w:cs="Arial"/>
        </w:rPr>
        <w:t>,</w:t>
      </w:r>
      <w:r w:rsidRPr="00C36C8F">
        <w:rPr>
          <w:rFonts w:cs="Arial"/>
        </w:rPr>
        <w:t xml:space="preserve"> motor oil (28%) an</w:t>
      </w:r>
      <w:r w:rsidR="0093586E" w:rsidRPr="00C36C8F">
        <w:rPr>
          <w:rFonts w:cs="Arial"/>
        </w:rPr>
        <w:t>d kitchen or food waste (27%).</w:t>
      </w:r>
    </w:p>
    <w:p w:rsidR="00CF4BDC" w:rsidRPr="00C36C8F" w:rsidRDefault="00CF4BDC" w:rsidP="0088532B">
      <w:pPr>
        <w:pStyle w:val="ParaIndent"/>
        <w:jc w:val="both"/>
        <w:rPr>
          <w:rFonts w:cs="Arial"/>
        </w:rPr>
      </w:pPr>
      <w:r w:rsidRPr="00C36C8F">
        <w:rPr>
          <w:rFonts w:cs="Arial"/>
        </w:rPr>
        <w:t xml:space="preserve">The ABS study also highlighted that between 1996 and 2006 there was an increase in community involvement in recycling organic waste. In 2006, 66% of Australian households recycled garden waste, an increase from 51% in 1996. </w:t>
      </w:r>
      <w:r w:rsidR="0088532B" w:rsidRPr="00C36C8F">
        <w:rPr>
          <w:rFonts w:cs="Arial"/>
        </w:rPr>
        <w:t>I</w:t>
      </w:r>
      <w:r w:rsidRPr="00C36C8F">
        <w:rPr>
          <w:rFonts w:cs="Arial"/>
        </w:rPr>
        <w:t>t is likely that this increas</w:t>
      </w:r>
      <w:r w:rsidR="0088532B" w:rsidRPr="00C36C8F">
        <w:rPr>
          <w:rFonts w:cs="Arial"/>
        </w:rPr>
        <w:t>e</w:t>
      </w:r>
      <w:r w:rsidRPr="00C36C8F">
        <w:rPr>
          <w:rFonts w:cs="Arial"/>
        </w:rPr>
        <w:t xml:space="preserve"> in recycling</w:t>
      </w:r>
      <w:r w:rsidR="0088532B" w:rsidRPr="00C36C8F">
        <w:rPr>
          <w:rFonts w:cs="Arial"/>
        </w:rPr>
        <w:t xml:space="preserve"> of</w:t>
      </w:r>
      <w:r w:rsidRPr="00C36C8F">
        <w:rPr>
          <w:rFonts w:cs="Arial"/>
        </w:rPr>
        <w:t xml:space="preserve"> organic </w:t>
      </w:r>
      <w:r w:rsidR="00516DA9" w:rsidRPr="00C36C8F">
        <w:rPr>
          <w:rFonts w:cs="Arial"/>
        </w:rPr>
        <w:t xml:space="preserve">waste </w:t>
      </w:r>
      <w:r w:rsidR="0088532B" w:rsidRPr="00C36C8F">
        <w:rPr>
          <w:rFonts w:cs="Arial"/>
        </w:rPr>
        <w:t>is due to</w:t>
      </w:r>
      <w:r w:rsidRPr="00C36C8F">
        <w:rPr>
          <w:rFonts w:cs="Arial"/>
        </w:rPr>
        <w:t xml:space="preserve"> </w:t>
      </w:r>
      <w:r w:rsidR="0088532B" w:rsidRPr="00C36C8F">
        <w:rPr>
          <w:rFonts w:cs="Arial"/>
        </w:rPr>
        <w:t>increased</w:t>
      </w:r>
      <w:r w:rsidRPr="00C36C8F">
        <w:rPr>
          <w:rFonts w:cs="Arial"/>
        </w:rPr>
        <w:t xml:space="preserve"> </w:t>
      </w:r>
      <w:r w:rsidR="0088532B" w:rsidRPr="00C36C8F">
        <w:rPr>
          <w:rFonts w:cs="Arial"/>
        </w:rPr>
        <w:t xml:space="preserve">organic </w:t>
      </w:r>
      <w:r w:rsidRPr="00C36C8F">
        <w:rPr>
          <w:rFonts w:cs="Arial"/>
        </w:rPr>
        <w:t xml:space="preserve">kerbside </w:t>
      </w:r>
      <w:r w:rsidR="0088532B" w:rsidRPr="00C36C8F">
        <w:rPr>
          <w:rFonts w:cs="Arial"/>
        </w:rPr>
        <w:t xml:space="preserve">collection </w:t>
      </w:r>
      <w:r w:rsidRPr="00C36C8F">
        <w:rPr>
          <w:rFonts w:cs="Arial"/>
        </w:rPr>
        <w:t>services</w:t>
      </w:r>
      <w:r w:rsidR="00516DA9" w:rsidRPr="00C36C8F">
        <w:rPr>
          <w:rFonts w:cs="Arial"/>
        </w:rPr>
        <w:t xml:space="preserve">. The </w:t>
      </w:r>
      <w:r w:rsidRPr="00C36C8F">
        <w:rPr>
          <w:rFonts w:cs="Arial"/>
        </w:rPr>
        <w:t>survey found 46% of households in 2006 practised composting, wh</w:t>
      </w:r>
      <w:r w:rsidR="0093586E" w:rsidRPr="00C36C8F">
        <w:rPr>
          <w:rFonts w:cs="Arial"/>
        </w:rPr>
        <w:t>ich was down from 54% in 1996.</w:t>
      </w:r>
    </w:p>
    <w:p w:rsidR="00CF4BDC" w:rsidRPr="00C36C8F" w:rsidRDefault="00F13D81" w:rsidP="0088532B">
      <w:pPr>
        <w:pStyle w:val="ParaIndent"/>
        <w:spacing w:after="120"/>
        <w:jc w:val="both"/>
        <w:rPr>
          <w:rFonts w:cs="Arial"/>
        </w:rPr>
      </w:pPr>
      <w:r w:rsidRPr="00C36C8F">
        <w:rPr>
          <w:rFonts w:cs="Arial"/>
        </w:rPr>
        <w:t>These findings</w:t>
      </w:r>
      <w:r w:rsidR="00CF4BDC" w:rsidRPr="00C36C8F">
        <w:rPr>
          <w:rFonts w:cs="Arial"/>
        </w:rPr>
        <w:t xml:space="preserve"> </w:t>
      </w:r>
      <w:r w:rsidRPr="00C36C8F">
        <w:rPr>
          <w:rFonts w:cs="Arial"/>
        </w:rPr>
        <w:t>suggest</w:t>
      </w:r>
      <w:r w:rsidR="00CF4BDC" w:rsidRPr="00C36C8F">
        <w:rPr>
          <w:rFonts w:cs="Arial"/>
        </w:rPr>
        <w:t xml:space="preserve"> the community’s concern about waste translates into a limited range of resource recovery behaviours and practices, such as supporting kerbside re</w:t>
      </w:r>
      <w:r w:rsidRPr="00C36C8F">
        <w:rPr>
          <w:rFonts w:cs="Arial"/>
        </w:rPr>
        <w:t>cycling and shopping bag re</w:t>
      </w:r>
      <w:r w:rsidR="000A1612" w:rsidRPr="00C36C8F">
        <w:rPr>
          <w:rFonts w:cs="Arial"/>
        </w:rPr>
        <w:t>-</w:t>
      </w:r>
      <w:r w:rsidRPr="00C36C8F">
        <w:rPr>
          <w:rFonts w:cs="Arial"/>
        </w:rPr>
        <w:t>use. B</w:t>
      </w:r>
      <w:r w:rsidR="00CF4BDC" w:rsidRPr="00C36C8F">
        <w:rPr>
          <w:rFonts w:cs="Arial"/>
        </w:rPr>
        <w:t>ehaviours embraced by the</w:t>
      </w:r>
      <w:r w:rsidR="0088532B" w:rsidRPr="00C36C8F">
        <w:rPr>
          <w:rFonts w:cs="Arial"/>
        </w:rPr>
        <w:t xml:space="preserve"> community generally tend to be those which are </w:t>
      </w:r>
      <w:r w:rsidR="00557CD3" w:rsidRPr="00C36C8F">
        <w:rPr>
          <w:rFonts w:cs="Arial"/>
        </w:rPr>
        <w:t>a</w:t>
      </w:r>
      <w:r w:rsidR="00CF4BDC" w:rsidRPr="00C36C8F">
        <w:rPr>
          <w:rFonts w:cs="Arial"/>
        </w:rPr>
        <w:t>ffordable</w:t>
      </w:r>
      <w:r w:rsidR="0088532B" w:rsidRPr="00C36C8F">
        <w:rPr>
          <w:rFonts w:cs="Arial"/>
        </w:rPr>
        <w:t xml:space="preserve">, </w:t>
      </w:r>
      <w:r w:rsidR="00557CD3" w:rsidRPr="00C36C8F">
        <w:rPr>
          <w:rFonts w:cs="Arial"/>
        </w:rPr>
        <w:t>e</w:t>
      </w:r>
      <w:r w:rsidR="00CF4BDC" w:rsidRPr="00C36C8F">
        <w:rPr>
          <w:rFonts w:cs="Arial"/>
        </w:rPr>
        <w:t>asily accessible</w:t>
      </w:r>
      <w:r w:rsidR="0088532B" w:rsidRPr="00C36C8F">
        <w:rPr>
          <w:rFonts w:cs="Arial"/>
        </w:rPr>
        <w:t xml:space="preserve"> and </w:t>
      </w:r>
      <w:r w:rsidR="00557CD3" w:rsidRPr="00C36C8F">
        <w:rPr>
          <w:rFonts w:cs="Arial"/>
        </w:rPr>
        <w:t xml:space="preserve">visibly linked </w:t>
      </w:r>
      <w:r w:rsidR="00CF4BDC" w:rsidRPr="00C36C8F">
        <w:rPr>
          <w:rFonts w:cs="Arial"/>
        </w:rPr>
        <w:t xml:space="preserve">to </w:t>
      </w:r>
      <w:r w:rsidR="00557CD3" w:rsidRPr="00C36C8F">
        <w:rPr>
          <w:rFonts w:cs="Arial"/>
        </w:rPr>
        <w:t xml:space="preserve">an </w:t>
      </w:r>
      <w:r w:rsidR="00CF4BDC" w:rsidRPr="00C36C8F">
        <w:rPr>
          <w:rFonts w:cs="Arial"/>
        </w:rPr>
        <w:t>environmental benefit</w:t>
      </w:r>
      <w:r w:rsidR="00557CD3" w:rsidRPr="00C36C8F">
        <w:rPr>
          <w:rFonts w:cs="Arial"/>
        </w:rPr>
        <w:t>.</w:t>
      </w:r>
    </w:p>
    <w:p w:rsidR="00864E39" w:rsidRPr="00C36C8F" w:rsidRDefault="000022EC" w:rsidP="0088532B">
      <w:pPr>
        <w:pStyle w:val="ParaIndent"/>
        <w:jc w:val="both"/>
      </w:pPr>
      <w:r w:rsidRPr="00C36C8F">
        <w:t xml:space="preserve">Conversely, reducing consumption is perhaps the most challenging </w:t>
      </w:r>
      <w:r w:rsidR="003E78E4" w:rsidRPr="00C36C8F">
        <w:t>barrier</w:t>
      </w:r>
      <w:r w:rsidRPr="00C36C8F">
        <w:t xml:space="preserve"> </w:t>
      </w:r>
      <w:r w:rsidR="003E78E4" w:rsidRPr="00C36C8F">
        <w:t>to</w:t>
      </w:r>
      <w:r w:rsidRPr="00C36C8F">
        <w:t xml:space="preserve"> reducing waste generation. </w:t>
      </w:r>
      <w:r w:rsidR="003E78E4" w:rsidRPr="00C36C8F">
        <w:t>Consumption of products and materials is an important component of popular measures of economic prosperity. Further</w:t>
      </w:r>
      <w:r w:rsidR="00557CD3" w:rsidRPr="00C36C8F">
        <w:t>more</w:t>
      </w:r>
      <w:r w:rsidR="003E78E4" w:rsidRPr="00C36C8F">
        <w:t>, the environmental benefits of reducing product and material consumption are not widely understood,</w:t>
      </w:r>
      <w:r w:rsidR="00557CD3" w:rsidRPr="00C36C8F">
        <w:t xml:space="preserve"> and are often not linked to</w:t>
      </w:r>
      <w:r w:rsidR="003E78E4" w:rsidRPr="00C36C8F">
        <w:t xml:space="preserve"> waste and recycling policy.</w:t>
      </w:r>
    </w:p>
    <w:p w:rsidR="00D77059" w:rsidRPr="00C36C8F" w:rsidRDefault="008F69B0" w:rsidP="008F69B0">
      <w:pPr>
        <w:pStyle w:val="Heading1"/>
        <w:numPr>
          <w:ilvl w:val="0"/>
          <w:numId w:val="0"/>
        </w:numPr>
        <w:ind w:left="1134"/>
        <w:rPr>
          <w:caps w:val="0"/>
        </w:rPr>
      </w:pPr>
      <w:bookmarkStart w:id="300" w:name="_Toc325020131"/>
      <w:bookmarkStart w:id="301" w:name="_Toc305049779"/>
      <w:r w:rsidRPr="00C36C8F">
        <w:rPr>
          <w:caps w:val="0"/>
        </w:rPr>
        <w:t>REFERENCES</w:t>
      </w:r>
      <w:bookmarkEnd w:id="300"/>
      <w:bookmarkEnd w:id="301"/>
    </w:p>
    <w:p w:rsidR="00CB1597" w:rsidRPr="00C36C8F" w:rsidRDefault="00CB1597" w:rsidP="004478B1">
      <w:pPr>
        <w:pStyle w:val="ParaIndent"/>
        <w:jc w:val="both"/>
        <w:rPr>
          <w:rFonts w:cs="Arial"/>
        </w:rPr>
      </w:pPr>
      <w:r w:rsidRPr="00C36C8F">
        <w:rPr>
          <w:rFonts w:cs="Arial"/>
          <w:lang w:eastAsia="en-AU"/>
        </w:rPr>
        <w:t xml:space="preserve">ACT Waste, </w:t>
      </w:r>
      <w:r w:rsidRPr="00C36C8F">
        <w:rPr>
          <w:rFonts w:cs="Arial"/>
          <w:i/>
          <w:lang w:eastAsia="en-AU"/>
        </w:rPr>
        <w:t>No Waste by 2010 – A waste management strategy for Canberra</w:t>
      </w:r>
      <w:r w:rsidRPr="00C36C8F">
        <w:rPr>
          <w:rFonts w:cs="Arial"/>
          <w:lang w:eastAsia="en-AU"/>
        </w:rPr>
        <w:t>, 1996.</w:t>
      </w:r>
    </w:p>
    <w:p w:rsidR="00AC5144" w:rsidRPr="00C36C8F" w:rsidRDefault="00AC5144" w:rsidP="004478B1">
      <w:pPr>
        <w:pStyle w:val="ParaIndent"/>
        <w:jc w:val="both"/>
        <w:rPr>
          <w:rFonts w:cs="Arial"/>
          <w:lang w:eastAsia="en-AU"/>
        </w:rPr>
      </w:pPr>
      <w:r w:rsidRPr="00C36C8F">
        <w:rPr>
          <w:rFonts w:cs="Arial"/>
          <w:lang w:eastAsia="en-AU"/>
        </w:rPr>
        <w:t xml:space="preserve">APC Environmental Management (2007) </w:t>
      </w:r>
      <w:r w:rsidRPr="00C36C8F">
        <w:rPr>
          <w:rFonts w:cs="Arial"/>
          <w:i/>
          <w:lang w:eastAsia="en-AU"/>
        </w:rPr>
        <w:t>Domestic waste audit</w:t>
      </w:r>
      <w:r w:rsidRPr="00C36C8F">
        <w:rPr>
          <w:rFonts w:cs="Arial"/>
          <w:lang w:eastAsia="en-AU"/>
        </w:rPr>
        <w:t>, prepared for Thiess Services and ACT NoWaste.</w:t>
      </w:r>
    </w:p>
    <w:p w:rsidR="00CB1597" w:rsidRPr="00C36C8F" w:rsidRDefault="00CB1597" w:rsidP="004478B1">
      <w:pPr>
        <w:pStyle w:val="ParaIndent"/>
        <w:jc w:val="both"/>
      </w:pPr>
      <w:r w:rsidRPr="00C36C8F">
        <w:t xml:space="preserve">Allen Consulting Group, </w:t>
      </w:r>
      <w:r w:rsidRPr="00C36C8F">
        <w:rPr>
          <w:i/>
        </w:rPr>
        <w:t>National Waste Policy – Regulatory Impact Statement</w:t>
      </w:r>
      <w:r w:rsidRPr="00C36C8F">
        <w:t>, prepared for the Department of the Environment, Water, Heritage and the Arts, October 2009.</w:t>
      </w:r>
    </w:p>
    <w:p w:rsidR="006A3A76" w:rsidRPr="00C36C8F" w:rsidRDefault="006A3A76" w:rsidP="004478B1">
      <w:pPr>
        <w:pStyle w:val="ParaIndent"/>
        <w:jc w:val="both"/>
      </w:pPr>
      <w:r w:rsidRPr="00C36C8F">
        <w:t xml:space="preserve">Australian Bureau of Statistics, </w:t>
      </w:r>
      <w:r w:rsidRPr="00C36C8F">
        <w:rPr>
          <w:i/>
        </w:rPr>
        <w:t>Australian Demographic Statistics, Jun 2009</w:t>
      </w:r>
      <w:r w:rsidRPr="00C36C8F">
        <w:t>, ABS cat. No. 3101.0, ABS, Canberra, issued November 2008.</w:t>
      </w:r>
    </w:p>
    <w:p w:rsidR="006A3A76" w:rsidRPr="00C36C8F" w:rsidRDefault="006A3A76" w:rsidP="004478B1">
      <w:pPr>
        <w:pStyle w:val="ParaIndent"/>
        <w:jc w:val="both"/>
      </w:pPr>
      <w:r w:rsidRPr="00C36C8F">
        <w:t xml:space="preserve">Australian Bureau of Statistics, </w:t>
      </w:r>
      <w:r w:rsidR="004A11A9" w:rsidRPr="00C36C8F">
        <w:rPr>
          <w:i/>
        </w:rPr>
        <w:t>ABS Release 3101.</w:t>
      </w:r>
      <w:r w:rsidRPr="00C36C8F">
        <w:rPr>
          <w:i/>
        </w:rPr>
        <w:t xml:space="preserve">04 </w:t>
      </w:r>
      <w:r w:rsidR="007575A0" w:rsidRPr="00C36C8F">
        <w:rPr>
          <w:i/>
        </w:rPr>
        <w:t>–</w:t>
      </w:r>
      <w:r w:rsidRPr="00C36C8F">
        <w:rPr>
          <w:i/>
        </w:rPr>
        <w:t xml:space="preserve"> Estimated Resident Population, States and Territories (Number)</w:t>
      </w:r>
      <w:r w:rsidRPr="00C36C8F">
        <w:t>, June 2009</w:t>
      </w:r>
      <w:r w:rsidR="009B7C4F" w:rsidRPr="00C36C8F">
        <w:t>a</w:t>
      </w:r>
      <w:r w:rsidRPr="00C36C8F">
        <w:t>, Canberra, Australia.</w:t>
      </w:r>
    </w:p>
    <w:p w:rsidR="009B7C4F" w:rsidRPr="00C36C8F" w:rsidRDefault="009B7C4F" w:rsidP="004478B1">
      <w:pPr>
        <w:pStyle w:val="ParaIndent"/>
        <w:jc w:val="both"/>
      </w:pPr>
      <w:r w:rsidRPr="00C36C8F">
        <w:t xml:space="preserve">Australian Bureau of Statistics, </w:t>
      </w:r>
      <w:r w:rsidRPr="00C36C8F">
        <w:rPr>
          <w:i/>
        </w:rPr>
        <w:t>3218.0 - Regional Population Growth Australia</w:t>
      </w:r>
      <w:r w:rsidRPr="00C36C8F">
        <w:t>, Canberra 2008-09, 2009b.</w:t>
      </w:r>
    </w:p>
    <w:p w:rsidR="007575A0" w:rsidRPr="00C36C8F" w:rsidRDefault="007575A0" w:rsidP="004478B1">
      <w:pPr>
        <w:pStyle w:val="ParaIndent"/>
        <w:jc w:val="both"/>
      </w:pPr>
      <w:r w:rsidRPr="00C36C8F">
        <w:t xml:space="preserve">Australian Bureau of Statistics, </w:t>
      </w:r>
      <w:r w:rsidRPr="00C36C8F">
        <w:rPr>
          <w:i/>
        </w:rPr>
        <w:t>ABS Release 5220.0 – Australian National Accounts: State Accounts</w:t>
      </w:r>
      <w:r w:rsidRPr="00C36C8F">
        <w:t>, June 2009</w:t>
      </w:r>
      <w:r w:rsidR="009B7C4F" w:rsidRPr="00C36C8F">
        <w:t>c</w:t>
      </w:r>
      <w:r w:rsidRPr="00C36C8F">
        <w:t>, Canberra, Australia.</w:t>
      </w:r>
    </w:p>
    <w:p w:rsidR="00CB1597" w:rsidRPr="00C36C8F" w:rsidRDefault="00CB1597" w:rsidP="004478B1">
      <w:pPr>
        <w:pStyle w:val="ParaIndent"/>
        <w:jc w:val="both"/>
      </w:pPr>
      <w:r w:rsidRPr="00C36C8F">
        <w:t xml:space="preserve">Australian/New Zealand Standard, </w:t>
      </w:r>
      <w:r w:rsidRPr="00C36C8F">
        <w:rPr>
          <w:i/>
        </w:rPr>
        <w:t>AS/NZS 3831:1998</w:t>
      </w:r>
      <w:r w:rsidRPr="00C36C8F">
        <w:t>,</w:t>
      </w:r>
      <w:r w:rsidRPr="00C36C8F">
        <w:rPr>
          <w:i/>
        </w:rPr>
        <w:t xml:space="preserve"> Waste management - Glossary of terms</w:t>
      </w:r>
      <w:r w:rsidRPr="00C36C8F">
        <w:t>.</w:t>
      </w:r>
    </w:p>
    <w:p w:rsidR="00DE3EB6" w:rsidRPr="00C36C8F" w:rsidRDefault="00DE3EB6" w:rsidP="004478B1">
      <w:pPr>
        <w:pStyle w:val="ParaIndent"/>
        <w:jc w:val="both"/>
      </w:pPr>
      <w:r w:rsidRPr="00C36C8F">
        <w:t>Blue Circle Southern</w:t>
      </w:r>
      <w:r w:rsidR="00B750D5" w:rsidRPr="00C36C8F">
        <w:t xml:space="preserve"> Cement (Boral)</w:t>
      </w:r>
      <w:r w:rsidRPr="00C36C8F">
        <w:t xml:space="preserve">, </w:t>
      </w:r>
      <w:r w:rsidR="00B750D5" w:rsidRPr="00C36C8F">
        <w:rPr>
          <w:i/>
        </w:rPr>
        <w:t>Updated waste-based fuel data</w:t>
      </w:r>
      <w:r w:rsidR="00B750D5" w:rsidRPr="00C36C8F">
        <w:t xml:space="preserve">, </w:t>
      </w:r>
      <w:r w:rsidRPr="00C36C8F">
        <w:t xml:space="preserve">personal </w:t>
      </w:r>
      <w:r w:rsidR="00B750D5" w:rsidRPr="00C36C8F">
        <w:t>communication, 15 September 2010.</w:t>
      </w:r>
    </w:p>
    <w:p w:rsidR="00CB1597" w:rsidRPr="00C36C8F" w:rsidRDefault="00CB1597" w:rsidP="004478B1">
      <w:pPr>
        <w:pStyle w:val="ParaIndent"/>
        <w:jc w:val="both"/>
      </w:pPr>
      <w:r w:rsidRPr="00C36C8F">
        <w:t xml:space="preserve">Cardno BSD, </w:t>
      </w:r>
      <w:r w:rsidRPr="00C36C8F">
        <w:rPr>
          <w:i/>
        </w:rPr>
        <w:t>Review of total recycling activity in Western Australia 2006/07</w:t>
      </w:r>
      <w:r w:rsidRPr="00C36C8F">
        <w:t>,</w:t>
      </w:r>
      <w:r w:rsidRPr="00C36C8F">
        <w:rPr>
          <w:i/>
        </w:rPr>
        <w:t xml:space="preserve"> </w:t>
      </w:r>
      <w:r w:rsidRPr="00C36C8F">
        <w:t>prepared for the Department of Environment and Conservation (WA), 2008.</w:t>
      </w:r>
    </w:p>
    <w:p w:rsidR="00B35E8D" w:rsidRPr="00C36C8F" w:rsidRDefault="00B35E8D" w:rsidP="004478B1">
      <w:pPr>
        <w:pStyle w:val="ParaIndent"/>
        <w:jc w:val="both"/>
      </w:pPr>
      <w:r w:rsidRPr="00C36C8F">
        <w:t xml:space="preserve">Cement Industry Federation, </w:t>
      </w:r>
      <w:r w:rsidRPr="00C36C8F">
        <w:rPr>
          <w:i/>
        </w:rPr>
        <w:t>Sustainability Report 2009</w:t>
      </w:r>
      <w:r w:rsidRPr="00C36C8F">
        <w:t>, Australia Cement Industry report, 2009.</w:t>
      </w:r>
    </w:p>
    <w:p w:rsidR="00AC5144" w:rsidRPr="00C36C8F" w:rsidRDefault="00AC5144" w:rsidP="004478B1">
      <w:pPr>
        <w:pStyle w:val="ParaIndent"/>
        <w:jc w:val="both"/>
        <w:rPr>
          <w:rFonts w:cs="Arial"/>
          <w:lang w:eastAsia="en-AU"/>
        </w:rPr>
      </w:pPr>
      <w:r w:rsidRPr="00C36C8F">
        <w:rPr>
          <w:rFonts w:cs="Arial"/>
          <w:lang w:eastAsia="en-AU"/>
        </w:rPr>
        <w:t xml:space="preserve">Clean Energy Council, </w:t>
      </w:r>
      <w:r w:rsidRPr="00C36C8F">
        <w:rPr>
          <w:rFonts w:cs="Arial"/>
          <w:i/>
          <w:lang w:eastAsia="en-AU"/>
        </w:rPr>
        <w:t>Power Plant Report,</w:t>
      </w:r>
      <w:r w:rsidRPr="00C36C8F">
        <w:rPr>
          <w:rFonts w:cs="Arial"/>
          <w:lang w:eastAsia="en-AU"/>
        </w:rPr>
        <w:t xml:space="preserve"> www.cleanenergyaustraliareport.com.au, accessed 31 August 2010</w:t>
      </w:r>
      <w:r w:rsidR="00E64112" w:rsidRPr="00C36C8F">
        <w:rPr>
          <w:rFonts w:cs="Arial"/>
          <w:lang w:eastAsia="en-AU"/>
        </w:rPr>
        <w:t>.</w:t>
      </w:r>
    </w:p>
    <w:p w:rsidR="008157B9" w:rsidRPr="00C36C8F" w:rsidRDefault="008157B9" w:rsidP="004478B1">
      <w:pPr>
        <w:pStyle w:val="ParaIndent"/>
        <w:jc w:val="both"/>
      </w:pPr>
      <w:r w:rsidRPr="00C36C8F">
        <w:t xml:space="preserve">Department of Climate Change and Energy Efficiency, </w:t>
      </w:r>
      <w:r w:rsidRPr="00C36C8F">
        <w:rPr>
          <w:i/>
        </w:rPr>
        <w:t>Australian National Greenhouse Accounts - National Inventory Report 2009</w:t>
      </w:r>
      <w:r w:rsidRPr="00C36C8F">
        <w:t>, Volume 3, Barton ACT, April 2011.</w:t>
      </w:r>
    </w:p>
    <w:p w:rsidR="00361664" w:rsidRPr="00C36C8F" w:rsidRDefault="00361664" w:rsidP="004478B1">
      <w:pPr>
        <w:pStyle w:val="ParaIndent"/>
        <w:jc w:val="both"/>
      </w:pPr>
      <w:r w:rsidRPr="00C36C8F">
        <w:t xml:space="preserve">Department of Climate Change and Energy Efficiency, </w:t>
      </w:r>
      <w:r w:rsidRPr="00C36C8F">
        <w:rPr>
          <w:i/>
        </w:rPr>
        <w:t>National Greenhouse Accounts Factors</w:t>
      </w:r>
      <w:r w:rsidRPr="00C36C8F">
        <w:t>, July 2011.</w:t>
      </w:r>
    </w:p>
    <w:p w:rsidR="00AC5144" w:rsidRPr="00C36C8F" w:rsidRDefault="00AC5144" w:rsidP="004478B1">
      <w:pPr>
        <w:pStyle w:val="ParaIndent"/>
        <w:jc w:val="both"/>
        <w:rPr>
          <w:rFonts w:cs="Arial"/>
          <w:lang w:eastAsia="en-AU"/>
        </w:rPr>
      </w:pPr>
      <w:r w:rsidRPr="00C36C8F">
        <w:rPr>
          <w:rFonts w:cs="Arial"/>
          <w:lang w:eastAsia="en-AU"/>
        </w:rPr>
        <w:t xml:space="preserve">Department of Environment and Climate Change (NSW), </w:t>
      </w:r>
      <w:r w:rsidRPr="00C36C8F">
        <w:rPr>
          <w:rFonts w:cs="Arial"/>
          <w:i/>
          <w:lang w:eastAsia="en-AU"/>
        </w:rPr>
        <w:t>Report into the construction and demolition waste stream audit 2000-2005</w:t>
      </w:r>
      <w:r w:rsidRPr="00C36C8F">
        <w:rPr>
          <w:rFonts w:cs="Arial"/>
          <w:lang w:eastAsia="en-AU"/>
        </w:rPr>
        <w:t>, 2007.</w:t>
      </w:r>
    </w:p>
    <w:p w:rsidR="00AC5144" w:rsidRPr="00C36C8F" w:rsidRDefault="00E64112" w:rsidP="004478B1">
      <w:pPr>
        <w:pStyle w:val="ParaIndent"/>
        <w:jc w:val="both"/>
        <w:rPr>
          <w:rFonts w:cs="Arial"/>
          <w:lang w:eastAsia="en-AU"/>
        </w:rPr>
      </w:pPr>
      <w:r w:rsidRPr="00C36C8F">
        <w:rPr>
          <w:rFonts w:cs="Arial"/>
          <w:lang w:eastAsia="en-AU"/>
        </w:rPr>
        <w:t xml:space="preserve">Department of Environment and </w:t>
      </w:r>
      <w:r w:rsidR="00AC5144" w:rsidRPr="00C36C8F">
        <w:rPr>
          <w:rFonts w:cs="Arial"/>
          <w:lang w:eastAsia="en-AU"/>
        </w:rPr>
        <w:t xml:space="preserve">Climate Change (NSW), </w:t>
      </w:r>
      <w:r w:rsidR="00AC5144" w:rsidRPr="00C36C8F">
        <w:rPr>
          <w:rFonts w:cs="Arial"/>
          <w:i/>
          <w:lang w:eastAsia="en-AU"/>
        </w:rPr>
        <w:t>Disposal based survey of the commercial and industrial waste stream in Sydney</w:t>
      </w:r>
      <w:r w:rsidR="00AC5144" w:rsidRPr="00C36C8F">
        <w:rPr>
          <w:rFonts w:cs="Arial"/>
          <w:lang w:eastAsia="en-AU"/>
        </w:rPr>
        <w:t>, 2008.</w:t>
      </w:r>
    </w:p>
    <w:p w:rsidR="00CB1597" w:rsidRPr="00C36C8F" w:rsidRDefault="00CB1597" w:rsidP="004478B1">
      <w:pPr>
        <w:pStyle w:val="ParaIndent"/>
        <w:jc w:val="both"/>
      </w:pPr>
      <w:r w:rsidRPr="00C36C8F">
        <w:t xml:space="preserve">Department of Environment and Climate Change (NSW), </w:t>
      </w:r>
      <w:r w:rsidRPr="00C36C8F">
        <w:rPr>
          <w:i/>
        </w:rPr>
        <w:t>NSW Resource Recovery Industries Survey 2005-06</w:t>
      </w:r>
      <w:r w:rsidRPr="00C36C8F">
        <w:t>, April 2008.</w:t>
      </w:r>
    </w:p>
    <w:p w:rsidR="00CB1597" w:rsidRPr="00C36C8F" w:rsidRDefault="00CB1597" w:rsidP="004478B1">
      <w:pPr>
        <w:pStyle w:val="ParaIndent"/>
        <w:jc w:val="both"/>
      </w:pPr>
      <w:r w:rsidRPr="00C36C8F">
        <w:t xml:space="preserve">Department of Environment and Climate Change (NSW), </w:t>
      </w:r>
      <w:r w:rsidRPr="00C36C8F">
        <w:rPr>
          <w:i/>
        </w:rPr>
        <w:t>Waste Avoidance and Resource Recovery Progress Report 2008</w:t>
      </w:r>
      <w:r w:rsidRPr="00C36C8F">
        <w:t>, March 2009.</w:t>
      </w:r>
    </w:p>
    <w:p w:rsidR="00416F0B" w:rsidRPr="00C36C8F" w:rsidRDefault="00DA5A74" w:rsidP="004478B1">
      <w:pPr>
        <w:pStyle w:val="ParaIndent"/>
        <w:jc w:val="both"/>
      </w:pPr>
      <w:r w:rsidRPr="00C36C8F">
        <w:t xml:space="preserve">Department of Environment and Climate Change NSW, Waste </w:t>
      </w:r>
      <w:r w:rsidRPr="00C36C8F">
        <w:rPr>
          <w:i/>
        </w:rPr>
        <w:t>Avoidance and Resource, Recovery Strategy Progress Report</w:t>
      </w:r>
      <w:r w:rsidR="00673F78" w:rsidRPr="00C36C8F">
        <w:rPr>
          <w:i/>
        </w:rPr>
        <w:t>,</w:t>
      </w:r>
      <w:r w:rsidRPr="00C36C8F">
        <w:rPr>
          <w:i/>
        </w:rPr>
        <w:t xml:space="preserve"> </w:t>
      </w:r>
      <w:r w:rsidRPr="00C36C8F">
        <w:t>2010</w:t>
      </w:r>
      <w:r w:rsidR="00E64112" w:rsidRPr="00C36C8F">
        <w:t>.</w:t>
      </w:r>
    </w:p>
    <w:p w:rsidR="00E64112" w:rsidRPr="00C36C8F" w:rsidRDefault="00E64112" w:rsidP="004478B1">
      <w:pPr>
        <w:pStyle w:val="ParaIndent"/>
        <w:jc w:val="both"/>
        <w:rPr>
          <w:rFonts w:cs="Arial"/>
          <w:lang w:eastAsia="en-AU"/>
        </w:rPr>
      </w:pPr>
      <w:r w:rsidRPr="00C36C8F">
        <w:rPr>
          <w:rFonts w:cs="Arial"/>
          <w:lang w:eastAsia="en-AU"/>
        </w:rPr>
        <w:t xml:space="preserve">Department of Environment and Conservation (NSW), </w:t>
      </w:r>
      <w:r w:rsidRPr="00C36C8F">
        <w:rPr>
          <w:rFonts w:cs="Arial"/>
          <w:i/>
          <w:lang w:eastAsia="en-AU"/>
        </w:rPr>
        <w:t>Disposal-based commercial and industrial waste characterisation survey</w:t>
      </w:r>
      <w:r w:rsidRPr="00C36C8F">
        <w:rPr>
          <w:rFonts w:cs="Arial"/>
          <w:lang w:eastAsia="en-AU"/>
        </w:rPr>
        <w:t>, 2003.</w:t>
      </w:r>
    </w:p>
    <w:p w:rsidR="00D368C1" w:rsidRPr="00C36C8F" w:rsidRDefault="00D368C1" w:rsidP="004478B1">
      <w:pPr>
        <w:pStyle w:val="ParaIndent"/>
        <w:jc w:val="both"/>
        <w:rPr>
          <w:rFonts w:cs="Arial"/>
          <w:lang w:eastAsia="en-AU"/>
        </w:rPr>
      </w:pPr>
      <w:r w:rsidRPr="00C36C8F">
        <w:rPr>
          <w:rFonts w:cs="Arial"/>
          <w:lang w:eastAsia="en-AU"/>
        </w:rPr>
        <w:t xml:space="preserve">Department of Environment and Conservation (NSW), </w:t>
      </w:r>
      <w:r w:rsidRPr="00C36C8F">
        <w:rPr>
          <w:rFonts w:cs="Arial"/>
          <w:i/>
          <w:lang w:eastAsia="en-AU"/>
        </w:rPr>
        <w:t>Getting more from our recycling systems: assessment of domestic waste and recycling systems</w:t>
      </w:r>
      <w:r w:rsidRPr="00C36C8F">
        <w:rPr>
          <w:rFonts w:cs="Arial"/>
          <w:lang w:eastAsia="en-AU"/>
        </w:rPr>
        <w:t>, prepared by Nolan-ITU, 2004.</w:t>
      </w:r>
    </w:p>
    <w:p w:rsidR="00E64112" w:rsidRPr="00C36C8F" w:rsidRDefault="00E64112" w:rsidP="004478B1">
      <w:pPr>
        <w:pStyle w:val="ParaIndent"/>
        <w:jc w:val="both"/>
        <w:rPr>
          <w:rFonts w:cs="Arial"/>
          <w:lang w:eastAsia="en-AU"/>
        </w:rPr>
      </w:pPr>
      <w:r w:rsidRPr="00C36C8F">
        <w:rPr>
          <w:rFonts w:cs="Arial"/>
          <w:lang w:eastAsia="en-AU"/>
        </w:rPr>
        <w:t xml:space="preserve">Department of Environment and Conservation (NSW), </w:t>
      </w:r>
      <w:r w:rsidRPr="00C36C8F">
        <w:rPr>
          <w:rFonts w:cs="Arial"/>
          <w:i/>
          <w:lang w:eastAsia="en-AU"/>
        </w:rPr>
        <w:t>Garbage bag compositional analysis</w:t>
      </w:r>
      <w:r w:rsidRPr="00C36C8F">
        <w:rPr>
          <w:rFonts w:cs="Arial"/>
          <w:lang w:eastAsia="en-AU"/>
        </w:rPr>
        <w:t>, 2005.</w:t>
      </w:r>
    </w:p>
    <w:p w:rsidR="00CB1597" w:rsidRPr="00C36C8F" w:rsidRDefault="00CB1597" w:rsidP="004478B1">
      <w:pPr>
        <w:pStyle w:val="ParaIndent"/>
        <w:jc w:val="both"/>
      </w:pPr>
      <w:r w:rsidRPr="00C36C8F">
        <w:t xml:space="preserve">Department of Environment and Conservation (WA), </w:t>
      </w:r>
      <w:r w:rsidRPr="00C36C8F">
        <w:rPr>
          <w:i/>
        </w:rPr>
        <w:t xml:space="preserve">Draft Waste Strategy for Western Australia, </w:t>
      </w:r>
      <w:r w:rsidRPr="00C36C8F">
        <w:t>2009.</w:t>
      </w:r>
    </w:p>
    <w:p w:rsidR="00CB1597" w:rsidRPr="00C36C8F" w:rsidRDefault="00CB1597" w:rsidP="004478B1">
      <w:pPr>
        <w:pStyle w:val="ParaIndent"/>
        <w:jc w:val="both"/>
      </w:pPr>
      <w:r w:rsidRPr="00C36C8F">
        <w:t xml:space="preserve">Department of Environment and Conservation (WA), </w:t>
      </w:r>
      <w:r w:rsidRPr="00C36C8F">
        <w:rPr>
          <w:i/>
        </w:rPr>
        <w:t>Towards Zero Waste Plan Development Scheme – Phase 1 Report 2006-07</w:t>
      </w:r>
      <w:r w:rsidRPr="00C36C8F">
        <w:t>.</w:t>
      </w:r>
    </w:p>
    <w:p w:rsidR="00CB1597" w:rsidRPr="00C36C8F" w:rsidRDefault="00CB1597" w:rsidP="004478B1">
      <w:pPr>
        <w:pStyle w:val="ParaIndent"/>
        <w:jc w:val="both"/>
      </w:pPr>
      <w:r w:rsidRPr="00C36C8F">
        <w:t xml:space="preserve">Department of Environment and Resource Management (Qld), </w:t>
      </w:r>
      <w:r w:rsidRPr="00C36C8F">
        <w:rPr>
          <w:i/>
        </w:rPr>
        <w:t>The State of Waste and Recycling in Queensland – Technical Report</w:t>
      </w:r>
      <w:r w:rsidR="00E64112" w:rsidRPr="00C36C8F">
        <w:t>, December 2009.</w:t>
      </w:r>
    </w:p>
    <w:p w:rsidR="00202177" w:rsidRPr="00C36C8F" w:rsidRDefault="00202177" w:rsidP="004478B1">
      <w:pPr>
        <w:pStyle w:val="ParaIndent"/>
        <w:jc w:val="both"/>
      </w:pPr>
      <w:r w:rsidRPr="00C36C8F">
        <w:t xml:space="preserve">Department of Environment and Resource Management (Qld), </w:t>
      </w:r>
      <w:r w:rsidRPr="00C36C8F">
        <w:rPr>
          <w:i/>
        </w:rPr>
        <w:t xml:space="preserve">Waste to landfill </w:t>
      </w:r>
      <w:r w:rsidR="00BC62D7" w:rsidRPr="00C36C8F">
        <w:rPr>
          <w:i/>
        </w:rPr>
        <w:t xml:space="preserve">and recycling </w:t>
      </w:r>
      <w:r w:rsidRPr="00C36C8F">
        <w:rPr>
          <w:i/>
        </w:rPr>
        <w:t>by material type</w:t>
      </w:r>
      <w:r w:rsidRPr="00C36C8F">
        <w:t>, personal communication, 30 March 2011.</w:t>
      </w:r>
    </w:p>
    <w:p w:rsidR="00E64112" w:rsidRPr="00C36C8F" w:rsidRDefault="00E64112" w:rsidP="004478B1">
      <w:pPr>
        <w:pStyle w:val="ParaIndent"/>
        <w:jc w:val="both"/>
      </w:pPr>
      <w:r w:rsidRPr="00C36C8F">
        <w:t xml:space="preserve">Department of Sustainability and Environment (Vic), </w:t>
      </w:r>
      <w:r w:rsidRPr="00C36C8F">
        <w:rPr>
          <w:i/>
        </w:rPr>
        <w:t>Metropolitan Waste and Resource Recovery Strategic Plan</w:t>
      </w:r>
      <w:r w:rsidRPr="00C36C8F">
        <w:t>, March 2009.</w:t>
      </w:r>
    </w:p>
    <w:p w:rsidR="00CB1597" w:rsidRPr="00C36C8F" w:rsidRDefault="00CB1597" w:rsidP="004478B1">
      <w:pPr>
        <w:pStyle w:val="ParaIndent"/>
        <w:jc w:val="both"/>
      </w:pPr>
      <w:r w:rsidRPr="00C36C8F">
        <w:t xml:space="preserve">Department of the Environment, Water, Heritage and the Arts, </w:t>
      </w:r>
      <w:r w:rsidRPr="00C36C8F">
        <w:rPr>
          <w:i/>
        </w:rPr>
        <w:t>National Waste Policy: Less Waste, More Resources</w:t>
      </w:r>
      <w:r w:rsidRPr="00C36C8F">
        <w:t>, November 2009.</w:t>
      </w:r>
    </w:p>
    <w:p w:rsidR="00CB1597" w:rsidRPr="00C36C8F" w:rsidRDefault="00CB1597" w:rsidP="004478B1">
      <w:pPr>
        <w:pStyle w:val="ParaIndent"/>
        <w:jc w:val="both"/>
        <w:rPr>
          <w:i/>
        </w:rPr>
      </w:pPr>
      <w:r w:rsidRPr="00C36C8F">
        <w:t xml:space="preserve">Department of the Environment, Water, Heritage and the Arts, </w:t>
      </w:r>
      <w:r w:rsidRPr="00C36C8F">
        <w:rPr>
          <w:i/>
        </w:rPr>
        <w:t>National Waste Report 2010</w:t>
      </w:r>
      <w:r w:rsidRPr="00C36C8F">
        <w:t>, March 2010</w:t>
      </w:r>
      <w:r w:rsidRPr="00C36C8F">
        <w:rPr>
          <w:i/>
        </w:rPr>
        <w:t>.</w:t>
      </w:r>
    </w:p>
    <w:p w:rsidR="00CB1597" w:rsidRPr="00C36C8F" w:rsidRDefault="00CB1597" w:rsidP="004478B1">
      <w:pPr>
        <w:ind w:left="1134"/>
        <w:jc w:val="both"/>
      </w:pPr>
      <w:r w:rsidRPr="00C36C8F">
        <w:t xml:space="preserve">Environment Protection Authority (Tasmania), </w:t>
      </w:r>
      <w:r w:rsidRPr="00C36C8F">
        <w:rPr>
          <w:i/>
        </w:rPr>
        <w:t xml:space="preserve">Annual Report 2008-09, </w:t>
      </w:r>
      <w:r w:rsidRPr="00C36C8F">
        <w:t>October 2009.</w:t>
      </w:r>
    </w:p>
    <w:p w:rsidR="00CB1597" w:rsidRPr="00C36C8F" w:rsidRDefault="00CB1597" w:rsidP="004478B1">
      <w:pPr>
        <w:ind w:left="1134"/>
        <w:jc w:val="both"/>
      </w:pPr>
      <w:r w:rsidRPr="00C36C8F">
        <w:t xml:space="preserve">Environment Protection Agency (United States), </w:t>
      </w:r>
      <w:r w:rsidRPr="00C36C8F">
        <w:rPr>
          <w:i/>
        </w:rPr>
        <w:t>Setting the Standard for Recycling Measurement,</w:t>
      </w:r>
      <w:r w:rsidRPr="00C36C8F">
        <w:t xml:space="preserve"> first published in Resource Recycling (September 1997).</w:t>
      </w:r>
    </w:p>
    <w:p w:rsidR="00CB1597" w:rsidRPr="00C36C8F" w:rsidRDefault="00CB1597" w:rsidP="004478B1">
      <w:pPr>
        <w:pStyle w:val="ParaIndent"/>
        <w:jc w:val="both"/>
      </w:pPr>
      <w:r w:rsidRPr="00C36C8F">
        <w:t xml:space="preserve">Environment Protection Authority (Victoria), </w:t>
      </w:r>
      <w:r w:rsidRPr="00C36C8F">
        <w:rPr>
          <w:i/>
        </w:rPr>
        <w:t>Information bulletin – calculating the landfill levy and recycling rebates</w:t>
      </w:r>
      <w:r w:rsidRPr="00C36C8F">
        <w:t>,</w:t>
      </w:r>
      <w:r w:rsidRPr="00C36C8F">
        <w:rPr>
          <w:i/>
        </w:rPr>
        <w:t xml:space="preserve"> </w:t>
      </w:r>
      <w:r w:rsidRPr="00C36C8F">
        <w:t>May 2008.</w:t>
      </w:r>
    </w:p>
    <w:p w:rsidR="008E5D75" w:rsidRPr="00C36C8F" w:rsidRDefault="008E5D75" w:rsidP="004478B1">
      <w:pPr>
        <w:pStyle w:val="ParaIndent"/>
        <w:jc w:val="both"/>
      </w:pPr>
      <w:r w:rsidRPr="00C36C8F">
        <w:t xml:space="preserve">Environment Protection Authority (Victoria), </w:t>
      </w:r>
      <w:r w:rsidRPr="00C36C8F">
        <w:rPr>
          <w:i/>
        </w:rPr>
        <w:t>Prescribed industrial waste disposed to landfill - annual trends.</w:t>
      </w:r>
      <w:r w:rsidRPr="00C36C8F">
        <w:t xml:space="preserve"> Available from http://www.epa.vic.gov.au/waste/docs/piw-annual-reporting.pdf, accessed March 2011.</w:t>
      </w:r>
    </w:p>
    <w:p w:rsidR="00AC5144" w:rsidRPr="00C36C8F" w:rsidRDefault="00AC5144" w:rsidP="004478B1">
      <w:pPr>
        <w:pStyle w:val="ParaIndent"/>
        <w:jc w:val="both"/>
        <w:rPr>
          <w:rFonts w:cs="Arial"/>
          <w:lang w:eastAsia="en-AU"/>
        </w:rPr>
      </w:pPr>
      <w:r w:rsidRPr="00C36C8F">
        <w:rPr>
          <w:rFonts w:cs="Arial"/>
          <w:lang w:eastAsia="en-AU"/>
        </w:rPr>
        <w:t xml:space="preserve">Green Energy Markets for Energy Developments Ltd and LMS Generation Pty Ltd, </w:t>
      </w:r>
      <w:r w:rsidRPr="00C36C8F">
        <w:rPr>
          <w:rFonts w:cs="Arial"/>
          <w:i/>
          <w:lang w:eastAsia="en-AU"/>
        </w:rPr>
        <w:t>Base-load renewable energy form organics – Innovation in Australia’s green electricity industry</w:t>
      </w:r>
      <w:r w:rsidRPr="00C36C8F">
        <w:rPr>
          <w:rFonts w:cs="Arial"/>
          <w:lang w:eastAsia="en-AU"/>
        </w:rPr>
        <w:t>, 2008</w:t>
      </w:r>
      <w:r w:rsidR="00120B7E" w:rsidRPr="00C36C8F">
        <w:rPr>
          <w:rFonts w:cs="Arial"/>
          <w:lang w:eastAsia="en-AU"/>
        </w:rPr>
        <w:t>.</w:t>
      </w:r>
    </w:p>
    <w:p w:rsidR="00AC5144" w:rsidRPr="00C36C8F" w:rsidRDefault="00AC5144" w:rsidP="004478B1">
      <w:pPr>
        <w:pStyle w:val="ParaIndent"/>
        <w:jc w:val="both"/>
        <w:rPr>
          <w:rFonts w:cs="Arial"/>
          <w:lang w:eastAsia="en-AU"/>
        </w:rPr>
      </w:pPr>
      <w:r w:rsidRPr="00C36C8F">
        <w:rPr>
          <w:rFonts w:cs="Arial"/>
          <w:lang w:eastAsia="en-AU"/>
        </w:rPr>
        <w:t>Golder Associates for Veolia Environmental Services</w:t>
      </w:r>
      <w:r w:rsidRPr="00C36C8F">
        <w:rPr>
          <w:rFonts w:cs="Arial"/>
          <w:i/>
          <w:lang w:eastAsia="en-AU"/>
        </w:rPr>
        <w:t>, Recycling organics for energy at Woodlawn bioreactor – Desk study</w:t>
      </w:r>
      <w:r w:rsidRPr="00C36C8F">
        <w:rPr>
          <w:rFonts w:cs="Arial"/>
          <w:lang w:eastAsia="en-AU"/>
        </w:rPr>
        <w:t>, 1 May 2009.</w:t>
      </w:r>
    </w:p>
    <w:p w:rsidR="00AC5144" w:rsidRPr="00C36C8F" w:rsidRDefault="00AC5144" w:rsidP="004478B1">
      <w:pPr>
        <w:pStyle w:val="ParaIndent"/>
        <w:jc w:val="both"/>
        <w:rPr>
          <w:rFonts w:cs="Arial"/>
          <w:lang w:eastAsia="en-AU"/>
        </w:rPr>
      </w:pPr>
      <w:r w:rsidRPr="00C36C8F">
        <w:rPr>
          <w:rFonts w:cs="Arial"/>
          <w:lang w:eastAsia="en-AU"/>
        </w:rPr>
        <w:t xml:space="preserve">Golder Associates Pty Ltd &amp; Waste Audit &amp; Consultancy Services (Aust) Pty Ltd, </w:t>
      </w:r>
      <w:r w:rsidRPr="00C36C8F">
        <w:rPr>
          <w:rFonts w:cs="Arial"/>
          <w:i/>
          <w:lang w:eastAsia="en-AU"/>
        </w:rPr>
        <w:t>Disposal based audits of the C&amp;I and C&amp;D waste streams</w:t>
      </w:r>
      <w:r w:rsidRPr="00C36C8F">
        <w:rPr>
          <w:rFonts w:cs="Arial"/>
          <w:lang w:eastAsia="en-AU"/>
        </w:rPr>
        <w:t>, prepared for the Department of Environment and Conservation (WA), 2007.</w:t>
      </w:r>
    </w:p>
    <w:p w:rsidR="00DA4ACB" w:rsidRPr="00C36C8F" w:rsidRDefault="00DA4ACB" w:rsidP="004478B1">
      <w:pPr>
        <w:pStyle w:val="ParaIndent"/>
        <w:jc w:val="both"/>
      </w:pPr>
      <w:r w:rsidRPr="00C36C8F">
        <w:t>Hyder</w:t>
      </w:r>
      <w:r w:rsidR="00120B7E" w:rsidRPr="00C36C8F">
        <w:t xml:space="preserve"> Consulting</w:t>
      </w:r>
      <w:r w:rsidRPr="00C36C8F">
        <w:t xml:space="preserve">, </w:t>
      </w:r>
      <w:r w:rsidRPr="00C36C8F">
        <w:rPr>
          <w:i/>
        </w:rPr>
        <w:t>Waste and Recycling in Australia, A short paper</w:t>
      </w:r>
      <w:r w:rsidRPr="00C36C8F">
        <w:t>,</w:t>
      </w:r>
      <w:r w:rsidRPr="00C36C8F">
        <w:rPr>
          <w:i/>
        </w:rPr>
        <w:t xml:space="preserve"> </w:t>
      </w:r>
      <w:r w:rsidRPr="00C36C8F">
        <w:t>prepared for the Department of the Environment and Heritage, 2006.</w:t>
      </w:r>
    </w:p>
    <w:p w:rsidR="00DA4ACB" w:rsidRPr="00C36C8F" w:rsidRDefault="00DA4ACB" w:rsidP="004478B1">
      <w:pPr>
        <w:pStyle w:val="ParaIndent"/>
        <w:jc w:val="both"/>
      </w:pPr>
      <w:r w:rsidRPr="00C36C8F">
        <w:t>Hyder</w:t>
      </w:r>
      <w:r w:rsidR="00120B7E" w:rsidRPr="00C36C8F">
        <w:t xml:space="preserve"> Consulting</w:t>
      </w:r>
      <w:r w:rsidRPr="00C36C8F">
        <w:t xml:space="preserve">, </w:t>
      </w:r>
      <w:r w:rsidRPr="00C36C8F">
        <w:rPr>
          <w:i/>
        </w:rPr>
        <w:t>Waste and Recycling in Australia</w:t>
      </w:r>
      <w:r w:rsidRPr="00C36C8F">
        <w:t>,</w:t>
      </w:r>
      <w:r w:rsidRPr="00C36C8F">
        <w:rPr>
          <w:i/>
        </w:rPr>
        <w:t xml:space="preserve"> </w:t>
      </w:r>
      <w:r w:rsidRPr="00C36C8F">
        <w:t>prepared for the Department of the Environment, Water, Heritage and the Arts, 3 November 2008.</w:t>
      </w:r>
    </w:p>
    <w:p w:rsidR="00DA4ACB" w:rsidRPr="00C36C8F" w:rsidRDefault="008E415F" w:rsidP="004478B1">
      <w:pPr>
        <w:pStyle w:val="ParaIndent"/>
        <w:jc w:val="both"/>
        <w:rPr>
          <w:rFonts w:cs="Arial"/>
          <w:lang w:eastAsia="en-AU"/>
        </w:rPr>
      </w:pPr>
      <w:r w:rsidRPr="00C36C8F">
        <w:rPr>
          <w:rFonts w:cs="Arial"/>
          <w:lang w:eastAsia="en-AU"/>
        </w:rPr>
        <w:t>Hyder</w:t>
      </w:r>
      <w:r w:rsidR="00120B7E" w:rsidRPr="00C36C8F">
        <w:rPr>
          <w:rFonts w:cs="Arial"/>
          <w:lang w:eastAsia="en-AU"/>
        </w:rPr>
        <w:t xml:space="preserve"> Consulting</w:t>
      </w:r>
      <w:r w:rsidR="00DA4ACB" w:rsidRPr="00C36C8F">
        <w:rPr>
          <w:rFonts w:cs="Arial"/>
          <w:lang w:eastAsia="en-AU"/>
        </w:rPr>
        <w:t xml:space="preserve">, </w:t>
      </w:r>
      <w:r w:rsidR="00DA4ACB" w:rsidRPr="00C36C8F">
        <w:rPr>
          <w:rFonts w:cs="Arial"/>
          <w:i/>
          <w:lang w:eastAsia="en-AU"/>
        </w:rPr>
        <w:t>Kerbside waste audit data analysis and audit template</w:t>
      </w:r>
      <w:r w:rsidR="00DA4ACB" w:rsidRPr="00C36C8F">
        <w:rPr>
          <w:rFonts w:cs="Arial"/>
          <w:lang w:eastAsia="en-AU"/>
        </w:rPr>
        <w:t>, prepared for Sustainability Victoria, 2008.</w:t>
      </w:r>
    </w:p>
    <w:p w:rsidR="00DA4ACB" w:rsidRPr="00C36C8F" w:rsidRDefault="00DA4ACB" w:rsidP="004478B1">
      <w:pPr>
        <w:pStyle w:val="ParaIndent"/>
        <w:jc w:val="both"/>
      </w:pPr>
      <w:r w:rsidRPr="00C36C8F">
        <w:t>Hyder</w:t>
      </w:r>
      <w:r w:rsidR="00120B7E" w:rsidRPr="00C36C8F">
        <w:t xml:space="preserve"> Consulting</w:t>
      </w:r>
      <w:r w:rsidRPr="00C36C8F">
        <w:t xml:space="preserve">, </w:t>
      </w:r>
      <w:r w:rsidRPr="00C36C8F">
        <w:rPr>
          <w:i/>
        </w:rPr>
        <w:t>National Steel Can Recycling Survey</w:t>
      </w:r>
      <w:r w:rsidRPr="00C36C8F">
        <w:t>, prepared for the National Packaging Covenant Council, October 2009</w:t>
      </w:r>
      <w:r w:rsidR="002A02D1" w:rsidRPr="00C36C8F">
        <w:t>a</w:t>
      </w:r>
      <w:r w:rsidRPr="00C36C8F">
        <w:t>.</w:t>
      </w:r>
    </w:p>
    <w:p w:rsidR="00DA4ACB" w:rsidRPr="00C36C8F" w:rsidRDefault="00DA4ACB" w:rsidP="004478B1">
      <w:pPr>
        <w:pStyle w:val="ParaIndent"/>
        <w:jc w:val="both"/>
      </w:pPr>
      <w:r w:rsidRPr="00C36C8F">
        <w:t>Hyder</w:t>
      </w:r>
      <w:r w:rsidR="00120B7E" w:rsidRPr="00C36C8F">
        <w:t xml:space="preserve"> Consulting</w:t>
      </w:r>
      <w:r w:rsidRPr="00C36C8F">
        <w:t xml:space="preserve">, </w:t>
      </w:r>
      <w:r w:rsidRPr="00C36C8F">
        <w:rPr>
          <w:i/>
        </w:rPr>
        <w:t>Waste, recycling and resource recovery policy: jurisdictional differences and opportunities for harmonisation</w:t>
      </w:r>
      <w:r w:rsidRPr="00C36C8F">
        <w:t>, prepared for the Department of the Environment, Water, Heritage and the Arts, 21 October 2009</w:t>
      </w:r>
      <w:r w:rsidR="002A02D1" w:rsidRPr="00C36C8F">
        <w:t>b</w:t>
      </w:r>
      <w:r w:rsidRPr="00C36C8F">
        <w:t>.</w:t>
      </w:r>
    </w:p>
    <w:p w:rsidR="00DA4ACB" w:rsidRPr="00C36C8F" w:rsidRDefault="00DA4ACB" w:rsidP="004478B1">
      <w:pPr>
        <w:pStyle w:val="ParaIndent"/>
        <w:jc w:val="both"/>
      </w:pPr>
      <w:r w:rsidRPr="00C36C8F">
        <w:t>Hyder</w:t>
      </w:r>
      <w:r w:rsidR="008E5D75" w:rsidRPr="00C36C8F">
        <w:t xml:space="preserve"> Consulting</w:t>
      </w:r>
      <w:r w:rsidRPr="00C36C8F">
        <w:t xml:space="preserve">, </w:t>
      </w:r>
      <w:r w:rsidRPr="00C36C8F">
        <w:rPr>
          <w:i/>
        </w:rPr>
        <w:t>Waste and Recycling in Australia, Amended Report</w:t>
      </w:r>
      <w:r w:rsidRPr="00C36C8F">
        <w:t>,</w:t>
      </w:r>
      <w:r w:rsidRPr="00C36C8F">
        <w:rPr>
          <w:i/>
        </w:rPr>
        <w:t xml:space="preserve"> </w:t>
      </w:r>
      <w:r w:rsidRPr="00C36C8F">
        <w:t>prepared for the Department of the Environment, Water, Heritage and the Arts, 19 November 2009</w:t>
      </w:r>
      <w:r w:rsidR="002A02D1" w:rsidRPr="00C36C8F">
        <w:t>c</w:t>
      </w:r>
      <w:r w:rsidRPr="00C36C8F">
        <w:t>.</w:t>
      </w:r>
    </w:p>
    <w:p w:rsidR="00DA4ACB" w:rsidRPr="00C36C8F" w:rsidRDefault="00DA4ACB" w:rsidP="004478B1">
      <w:pPr>
        <w:pStyle w:val="ParaIndent"/>
        <w:jc w:val="both"/>
      </w:pPr>
      <w:r w:rsidRPr="00C36C8F">
        <w:t>Hyder</w:t>
      </w:r>
      <w:r w:rsidR="008E5D75" w:rsidRPr="00C36C8F">
        <w:t xml:space="preserve"> Consulting</w:t>
      </w:r>
      <w:r w:rsidRPr="00C36C8F">
        <w:t xml:space="preserve">, </w:t>
      </w:r>
      <w:r w:rsidRPr="00C36C8F">
        <w:rPr>
          <w:i/>
        </w:rPr>
        <w:t>2009 National Plastics Recycling Survey</w:t>
      </w:r>
      <w:r w:rsidRPr="00C36C8F">
        <w:t>, prepared for the Plastic and Chemicals Industry Association, December 2009</w:t>
      </w:r>
      <w:r w:rsidR="002A02D1" w:rsidRPr="00C36C8F">
        <w:t>d</w:t>
      </w:r>
      <w:r w:rsidRPr="00C36C8F">
        <w:t>.</w:t>
      </w:r>
    </w:p>
    <w:p w:rsidR="00DA4ACB" w:rsidRPr="00C36C8F" w:rsidRDefault="00DA4ACB" w:rsidP="004478B1">
      <w:pPr>
        <w:pStyle w:val="ParaIndent"/>
        <w:jc w:val="both"/>
      </w:pPr>
      <w:r w:rsidRPr="00C36C8F">
        <w:t>Hyder</w:t>
      </w:r>
      <w:r w:rsidR="008E5D75" w:rsidRPr="00C36C8F">
        <w:t xml:space="preserve"> Consulting</w:t>
      </w:r>
      <w:r w:rsidRPr="00C36C8F">
        <w:t xml:space="preserve">, </w:t>
      </w:r>
      <w:r w:rsidRPr="00C36C8F">
        <w:rPr>
          <w:i/>
        </w:rPr>
        <w:t>Comparative Greenhouse Gas Life Cycle Assessment of Wollert Landfill</w:t>
      </w:r>
      <w:r w:rsidRPr="00C36C8F">
        <w:t>, prepared for Hanson Landfill Services and the City of Whittlesea, 1 February 2010</w:t>
      </w:r>
      <w:r w:rsidR="008E415F" w:rsidRPr="00C36C8F">
        <w:t>a</w:t>
      </w:r>
      <w:r w:rsidRPr="00C36C8F">
        <w:t>.</w:t>
      </w:r>
    </w:p>
    <w:p w:rsidR="00DA4ACB" w:rsidRPr="00C36C8F" w:rsidRDefault="00DA4ACB" w:rsidP="004478B1">
      <w:pPr>
        <w:pStyle w:val="ParaIndent"/>
        <w:jc w:val="both"/>
      </w:pPr>
      <w:r w:rsidRPr="00C36C8F">
        <w:t>Hyder</w:t>
      </w:r>
      <w:r w:rsidR="008E5D75" w:rsidRPr="00C36C8F">
        <w:t xml:space="preserve"> Consulting</w:t>
      </w:r>
      <w:r w:rsidRPr="00C36C8F">
        <w:t xml:space="preserve">, </w:t>
      </w:r>
      <w:r w:rsidRPr="00C36C8F">
        <w:rPr>
          <w:i/>
        </w:rPr>
        <w:t>Recycling activity in South Australia 2008-09</w:t>
      </w:r>
      <w:r w:rsidRPr="00C36C8F">
        <w:t>, prepared for Zero Waste South Australia, 20 May 2010</w:t>
      </w:r>
      <w:r w:rsidR="008E415F" w:rsidRPr="00C36C8F">
        <w:t>b</w:t>
      </w:r>
      <w:r w:rsidRPr="00C36C8F">
        <w:t>.</w:t>
      </w:r>
    </w:p>
    <w:p w:rsidR="00DA4ACB" w:rsidRPr="00C36C8F" w:rsidRDefault="00DA4ACB" w:rsidP="004478B1">
      <w:pPr>
        <w:pStyle w:val="ParaIndent"/>
        <w:jc w:val="both"/>
      </w:pPr>
      <w:r w:rsidRPr="00C36C8F">
        <w:t>Hyder</w:t>
      </w:r>
      <w:r w:rsidR="008E5D75" w:rsidRPr="00C36C8F">
        <w:t xml:space="preserve"> Consulting</w:t>
      </w:r>
      <w:r w:rsidRPr="00C36C8F">
        <w:t xml:space="preserve">, </w:t>
      </w:r>
      <w:r w:rsidRPr="00C36C8F">
        <w:rPr>
          <w:i/>
        </w:rPr>
        <w:t>Recycling activity in Western Australia 2007-08 &amp; 2008-09</w:t>
      </w:r>
      <w:r w:rsidRPr="00C36C8F">
        <w:t>, prepared for the Department of Environment and Conservation (WA) on behalf of the Waste Authority, 19 July 2010</w:t>
      </w:r>
      <w:r w:rsidR="008E415F" w:rsidRPr="00C36C8F">
        <w:t>c</w:t>
      </w:r>
      <w:r w:rsidRPr="00C36C8F">
        <w:t>.</w:t>
      </w:r>
    </w:p>
    <w:p w:rsidR="000B5CE5" w:rsidRPr="00C36C8F" w:rsidRDefault="000B5CE5" w:rsidP="004478B1">
      <w:pPr>
        <w:pStyle w:val="ParaIndent"/>
        <w:jc w:val="both"/>
      </w:pPr>
      <w:r w:rsidRPr="00C36C8F">
        <w:t>Hyder</w:t>
      </w:r>
      <w:r w:rsidR="008E5D75" w:rsidRPr="00C36C8F">
        <w:t xml:space="preserve"> Consulting</w:t>
      </w:r>
      <w:r w:rsidRPr="00C36C8F">
        <w:t xml:space="preserve">, </w:t>
      </w:r>
      <w:r w:rsidRPr="00C36C8F">
        <w:rPr>
          <w:i/>
        </w:rPr>
        <w:t>National waste and recycling reporting – A more uniform approach to data</w:t>
      </w:r>
      <w:r w:rsidRPr="00C36C8F">
        <w:t>, prepared for the Department of Sustainability, Environment, Water, Population and Communities, 8 December 2010</w:t>
      </w:r>
      <w:r w:rsidR="008E415F" w:rsidRPr="00C36C8F">
        <w:t>d</w:t>
      </w:r>
      <w:r w:rsidRPr="00C36C8F">
        <w:t>.</w:t>
      </w:r>
    </w:p>
    <w:p w:rsidR="008E5D75" w:rsidRPr="00C36C8F" w:rsidRDefault="008E5D75" w:rsidP="004478B1">
      <w:pPr>
        <w:pStyle w:val="ParaIndent"/>
        <w:jc w:val="both"/>
      </w:pPr>
      <w:r w:rsidRPr="00C36C8F">
        <w:t xml:space="preserve">Hyder Consulting, </w:t>
      </w:r>
      <w:r w:rsidRPr="00C36C8F">
        <w:rPr>
          <w:i/>
        </w:rPr>
        <w:t>Victorian waste model</w:t>
      </w:r>
      <w:r w:rsidRPr="00C36C8F">
        <w:t>, prepared for Sustainability Victoria, 2010e.</w:t>
      </w:r>
    </w:p>
    <w:p w:rsidR="009B7C4F" w:rsidRPr="00C36C8F" w:rsidRDefault="009B7C4F" w:rsidP="004478B1">
      <w:pPr>
        <w:pStyle w:val="ParaIndent"/>
        <w:jc w:val="both"/>
      </w:pPr>
      <w:r w:rsidRPr="00C36C8F">
        <w:t xml:space="preserve">Murdoch University, </w:t>
      </w:r>
      <w:r w:rsidRPr="00C36C8F">
        <w:rPr>
          <w:i/>
        </w:rPr>
        <w:t>Domestic waste analysis,</w:t>
      </w:r>
      <w:r w:rsidRPr="00C36C8F">
        <w:t xml:space="preserve"> prepared for the City of Stirling, 1999.</w:t>
      </w:r>
    </w:p>
    <w:p w:rsidR="00CB1597" w:rsidRPr="00C36C8F" w:rsidRDefault="00CB1597" w:rsidP="004478B1">
      <w:pPr>
        <w:pStyle w:val="ParaIndent"/>
        <w:jc w:val="both"/>
      </w:pPr>
      <w:r w:rsidRPr="00C36C8F">
        <w:rPr>
          <w:i/>
        </w:rPr>
        <w:t>National Environment Protection (Used Packaging Materials) Measure</w:t>
      </w:r>
      <w:r w:rsidRPr="00C36C8F">
        <w:t>, 8 July 2005.</w:t>
      </w:r>
    </w:p>
    <w:p w:rsidR="00CB1597" w:rsidRPr="00C36C8F" w:rsidRDefault="00CB1597" w:rsidP="004478B1">
      <w:pPr>
        <w:pStyle w:val="ParaIndent"/>
        <w:jc w:val="both"/>
      </w:pPr>
      <w:r w:rsidRPr="00C36C8F">
        <w:t xml:space="preserve">National Packaging Covenant, </w:t>
      </w:r>
      <w:r w:rsidRPr="00C36C8F">
        <w:rPr>
          <w:i/>
        </w:rPr>
        <w:t>2009 Annual Report</w:t>
      </w:r>
      <w:r w:rsidRPr="00C36C8F">
        <w:t>, May 2010.</w:t>
      </w:r>
    </w:p>
    <w:p w:rsidR="00CB1597" w:rsidRPr="00C36C8F" w:rsidRDefault="00CB1597" w:rsidP="004478B1">
      <w:pPr>
        <w:pStyle w:val="ParaIndent"/>
        <w:jc w:val="both"/>
      </w:pPr>
      <w:r w:rsidRPr="00C36C8F">
        <w:t xml:space="preserve">Net Balance, </w:t>
      </w:r>
      <w:r w:rsidRPr="00C36C8F">
        <w:rPr>
          <w:i/>
        </w:rPr>
        <w:t>National Waste Data System Requirements Study</w:t>
      </w:r>
      <w:r w:rsidRPr="00C36C8F">
        <w:t>, prepared for the Department of the Environment, Water, Heritage and the Arts, 2009.</w:t>
      </w:r>
    </w:p>
    <w:p w:rsidR="00CB1597" w:rsidRPr="00C36C8F" w:rsidRDefault="00CB1597" w:rsidP="004478B1">
      <w:pPr>
        <w:pStyle w:val="ParaIndent"/>
        <w:jc w:val="both"/>
      </w:pPr>
      <w:r w:rsidRPr="00C36C8F">
        <w:t xml:space="preserve">Productivity Commission Inquiry Report no. 38, </w:t>
      </w:r>
      <w:r w:rsidRPr="00C36C8F">
        <w:rPr>
          <w:i/>
        </w:rPr>
        <w:t>Waste Management</w:t>
      </w:r>
      <w:r w:rsidRPr="00C36C8F">
        <w:t>, October 2006.</w:t>
      </w:r>
    </w:p>
    <w:p w:rsidR="00CB1597" w:rsidRPr="00C36C8F" w:rsidRDefault="00CB1597" w:rsidP="004478B1">
      <w:pPr>
        <w:pStyle w:val="ParaIndent"/>
        <w:jc w:val="both"/>
      </w:pPr>
      <w:r w:rsidRPr="00C36C8F">
        <w:t xml:space="preserve">Recycled Organics Unit, </w:t>
      </w:r>
      <w:r w:rsidRPr="00C36C8F">
        <w:rPr>
          <w:i/>
        </w:rPr>
        <w:t>Organics Recycling in Australia: Industry Statistics 2009</w:t>
      </w:r>
      <w:r w:rsidRPr="00C36C8F">
        <w:t>, revised edition December 2009.</w:t>
      </w:r>
    </w:p>
    <w:p w:rsidR="00CB1597" w:rsidRPr="00C36C8F" w:rsidRDefault="00CB1597" w:rsidP="004478B1">
      <w:pPr>
        <w:pStyle w:val="ParaIndent"/>
        <w:jc w:val="both"/>
      </w:pPr>
      <w:r w:rsidRPr="00C36C8F">
        <w:t xml:space="preserve">Senate Standing Committee on the Environment, Communication and the Arts, </w:t>
      </w:r>
      <w:r w:rsidRPr="00C36C8F">
        <w:rPr>
          <w:i/>
        </w:rPr>
        <w:t>Management of Australia’s Waste Streams</w:t>
      </w:r>
      <w:r w:rsidRPr="00C36C8F">
        <w:t>, September 2008.</w:t>
      </w:r>
    </w:p>
    <w:p w:rsidR="00CB1597" w:rsidRPr="00C36C8F" w:rsidRDefault="00CB1597" w:rsidP="004478B1">
      <w:pPr>
        <w:pStyle w:val="ParaIndent"/>
        <w:jc w:val="both"/>
      </w:pPr>
      <w:r w:rsidRPr="00C36C8F">
        <w:t xml:space="preserve">Sustainability Victoria, </w:t>
      </w:r>
      <w:r w:rsidRPr="00C36C8F">
        <w:rPr>
          <w:i/>
        </w:rPr>
        <w:t>Towards Zero Waste Strategy – Progress Report for 2007-08</w:t>
      </w:r>
      <w:r w:rsidRPr="00C36C8F">
        <w:t>.</w:t>
      </w:r>
    </w:p>
    <w:p w:rsidR="00CB1597" w:rsidRPr="00C36C8F" w:rsidRDefault="00CB1597" w:rsidP="004478B1">
      <w:pPr>
        <w:pStyle w:val="ParaIndent"/>
        <w:jc w:val="both"/>
      </w:pPr>
      <w:r w:rsidRPr="00C36C8F">
        <w:t xml:space="preserve">Sustainability Victoria, </w:t>
      </w:r>
      <w:r w:rsidRPr="00C36C8F">
        <w:rPr>
          <w:i/>
        </w:rPr>
        <w:t>Victorian Local Government Annual Survey 2007-08</w:t>
      </w:r>
      <w:r w:rsidRPr="00C36C8F">
        <w:t>, 2009.</w:t>
      </w:r>
    </w:p>
    <w:p w:rsidR="00CB1597" w:rsidRPr="00C36C8F" w:rsidRDefault="00CB1597" w:rsidP="004478B1">
      <w:pPr>
        <w:pStyle w:val="ParaIndent"/>
        <w:jc w:val="both"/>
      </w:pPr>
      <w:r w:rsidRPr="00C36C8F">
        <w:t xml:space="preserve">Sustainability Victoria, </w:t>
      </w:r>
      <w:r w:rsidRPr="00C36C8F">
        <w:rPr>
          <w:i/>
        </w:rPr>
        <w:t>Victorian Recycli</w:t>
      </w:r>
      <w:r w:rsidR="00A274A5" w:rsidRPr="00C36C8F">
        <w:rPr>
          <w:i/>
        </w:rPr>
        <w:t>ng Industries Annual Survey 2008</w:t>
      </w:r>
      <w:r w:rsidRPr="00C36C8F">
        <w:rPr>
          <w:i/>
        </w:rPr>
        <w:t>-09</w:t>
      </w:r>
      <w:r w:rsidR="008E415F" w:rsidRPr="00C36C8F">
        <w:t xml:space="preserve">, </w:t>
      </w:r>
      <w:r w:rsidR="00A274A5" w:rsidRPr="00C36C8F">
        <w:t xml:space="preserve">June </w:t>
      </w:r>
      <w:r w:rsidR="008E415F" w:rsidRPr="00C36C8F">
        <w:t>2010</w:t>
      </w:r>
      <w:r w:rsidRPr="00C36C8F">
        <w:t>.</w:t>
      </w:r>
    </w:p>
    <w:p w:rsidR="00DA4ACB" w:rsidRPr="00C36C8F" w:rsidRDefault="00DA4ACB" w:rsidP="004478B1">
      <w:pPr>
        <w:pStyle w:val="ParaIndent"/>
        <w:jc w:val="both"/>
        <w:rPr>
          <w:rFonts w:cs="Arial"/>
          <w:lang w:eastAsia="en-AU"/>
        </w:rPr>
      </w:pPr>
      <w:r w:rsidRPr="00C36C8F">
        <w:t>Waste Audit and</w:t>
      </w:r>
      <w:r w:rsidRPr="00C36C8F">
        <w:rPr>
          <w:rFonts w:cs="Arial"/>
          <w:lang w:eastAsia="en-AU"/>
        </w:rPr>
        <w:t xml:space="preserve"> Consultancy Services and Golder Associates (2005) </w:t>
      </w:r>
      <w:r w:rsidRPr="00C36C8F">
        <w:rPr>
          <w:rFonts w:cs="Arial"/>
          <w:i/>
          <w:lang w:eastAsia="en-AU"/>
        </w:rPr>
        <w:t>Disposal based waste survey</w:t>
      </w:r>
      <w:r w:rsidRPr="00C36C8F">
        <w:rPr>
          <w:rFonts w:cs="Arial"/>
          <w:lang w:eastAsia="en-AU"/>
        </w:rPr>
        <w:t>, prepared for Sustainability Victoria</w:t>
      </w:r>
      <w:r w:rsidR="00120B7E" w:rsidRPr="00C36C8F">
        <w:rPr>
          <w:rFonts w:cs="Arial"/>
          <w:lang w:eastAsia="en-AU"/>
        </w:rPr>
        <w:t>.</w:t>
      </w:r>
    </w:p>
    <w:p w:rsidR="00CB1597" w:rsidRPr="00C36C8F" w:rsidRDefault="00CB1597" w:rsidP="004478B1">
      <w:pPr>
        <w:ind w:left="1134"/>
        <w:jc w:val="both"/>
      </w:pPr>
      <w:r w:rsidRPr="00C36C8F">
        <w:t xml:space="preserve">Waste Management Association of Australia, </w:t>
      </w:r>
      <w:r w:rsidRPr="00C36C8F">
        <w:rPr>
          <w:i/>
        </w:rPr>
        <w:t>Australian Waste Database – Feasibility Study, Final Report</w:t>
      </w:r>
      <w:r w:rsidRPr="00C36C8F">
        <w:t>, May 2009.</w:t>
      </w:r>
    </w:p>
    <w:p w:rsidR="00CB1597" w:rsidRPr="00C36C8F" w:rsidRDefault="00CB1597" w:rsidP="004478B1">
      <w:pPr>
        <w:pStyle w:val="ParaIndent"/>
        <w:jc w:val="both"/>
      </w:pPr>
      <w:r w:rsidRPr="00C36C8F">
        <w:t xml:space="preserve">Waste Management Association of Australia, </w:t>
      </w:r>
      <w:r w:rsidRPr="00C36C8F">
        <w:rPr>
          <w:i/>
        </w:rPr>
        <w:t>Construction and Demolition Sector Resource Recovery Industry Survey 2006-07</w:t>
      </w:r>
      <w:r w:rsidRPr="00C36C8F">
        <w:t>, August 2008.</w:t>
      </w:r>
    </w:p>
    <w:p w:rsidR="00CB1597" w:rsidRPr="00C36C8F" w:rsidRDefault="00DA4ACB" w:rsidP="004478B1">
      <w:pPr>
        <w:pStyle w:val="ParaIndent"/>
        <w:jc w:val="both"/>
      </w:pPr>
      <w:r w:rsidRPr="00C36C8F">
        <w:rPr>
          <w:rFonts w:cs="Arial"/>
          <w:lang w:eastAsia="en-AU"/>
        </w:rPr>
        <w:t xml:space="preserve">Zero Waste SA (2007) </w:t>
      </w:r>
      <w:r w:rsidRPr="00C36C8F">
        <w:rPr>
          <w:rFonts w:cs="Arial"/>
          <w:i/>
          <w:lang w:eastAsia="en-AU"/>
        </w:rPr>
        <w:t>Disposal based survey</w:t>
      </w:r>
      <w:r w:rsidRPr="00C36C8F">
        <w:rPr>
          <w:rFonts w:cs="Arial"/>
          <w:lang w:eastAsia="en-AU"/>
        </w:rPr>
        <w:t>, prepared by Waste Audit and Consultancy Services (Aust) Pty Ltd</w:t>
      </w:r>
      <w:r w:rsidR="00120B7E" w:rsidRPr="00C36C8F">
        <w:rPr>
          <w:rFonts w:cs="Arial"/>
          <w:lang w:eastAsia="en-AU"/>
        </w:rPr>
        <w:t>.</w:t>
      </w:r>
    </w:p>
    <w:p w:rsidR="00900D62" w:rsidRPr="00C36C8F" w:rsidRDefault="00900D62">
      <w:pPr>
        <w:spacing w:after="0" w:line="240" w:lineRule="auto"/>
        <w:ind w:left="0"/>
        <w:sectPr w:rsidR="00900D62" w:rsidRPr="00C36C8F" w:rsidSect="00860B52">
          <w:headerReference w:type="default" r:id="rId74"/>
          <w:footerReference w:type="default" r:id="rId75"/>
          <w:pgSz w:w="11907" w:h="16840" w:code="9"/>
          <w:pgMar w:top="1134" w:right="1134" w:bottom="1134" w:left="1134" w:header="567" w:footer="567" w:gutter="0"/>
          <w:cols w:space="708"/>
          <w:docGrid w:linePitch="360"/>
        </w:sectPr>
      </w:pPr>
    </w:p>
    <w:p w:rsidR="00873AC6" w:rsidRPr="00C36C8F" w:rsidRDefault="008F69B0" w:rsidP="00AE0FCF">
      <w:pPr>
        <w:pStyle w:val="Heading1"/>
        <w:numPr>
          <w:ilvl w:val="0"/>
          <w:numId w:val="0"/>
        </w:numPr>
        <w:ind w:left="1134" w:hanging="1134"/>
      </w:pPr>
      <w:bookmarkStart w:id="302" w:name="_Toc325020132"/>
      <w:bookmarkStart w:id="303" w:name="_Toc305049780"/>
      <w:r w:rsidRPr="00C36C8F">
        <w:t>APPENDIX</w:t>
      </w:r>
      <w:r w:rsidR="00F12C1E" w:rsidRPr="00C36C8F">
        <w:t xml:space="preserve"> </w:t>
      </w:r>
      <w:r w:rsidRPr="00C36C8F">
        <w:t>1</w:t>
      </w:r>
      <w:r w:rsidR="00F12C1E" w:rsidRPr="00C36C8F">
        <w:t xml:space="preserve">: </w:t>
      </w:r>
      <w:r w:rsidR="00AE0FCF" w:rsidRPr="00C36C8F">
        <w:rPr>
          <w:caps w:val="0"/>
        </w:rPr>
        <w:t>WMAA Landfill Inventory</w:t>
      </w:r>
      <w:r w:rsidR="002D5148" w:rsidRPr="00C36C8F">
        <w:rPr>
          <w:caps w:val="0"/>
        </w:rPr>
        <w:t xml:space="preserve"> (</w:t>
      </w:r>
      <w:r w:rsidR="003473CB" w:rsidRPr="00C36C8F">
        <w:rPr>
          <w:caps w:val="0"/>
        </w:rPr>
        <w:t>2007</w:t>
      </w:r>
      <w:r w:rsidR="002D5148" w:rsidRPr="00C36C8F">
        <w:rPr>
          <w:caps w:val="0"/>
        </w:rPr>
        <w:t>)</w:t>
      </w:r>
      <w:bookmarkEnd w:id="302"/>
      <w:bookmarkEnd w:id="303"/>
    </w:p>
    <w:tbl>
      <w:tblPr>
        <w:tblW w:w="14656" w:type="dxa"/>
        <w:tblInd w:w="87" w:type="dxa"/>
        <w:tblBorders>
          <w:bottom w:val="single" w:sz="18" w:space="0" w:color="808080"/>
          <w:insideH w:val="single" w:sz="4" w:space="0" w:color="808080"/>
        </w:tblBorders>
        <w:tblLayout w:type="fixed"/>
        <w:tblCellMar>
          <w:left w:w="0" w:type="dxa"/>
          <w:right w:w="0" w:type="dxa"/>
        </w:tblCellMar>
        <w:tblLook w:val="04A0"/>
      </w:tblPr>
      <w:tblGrid>
        <w:gridCol w:w="906"/>
        <w:gridCol w:w="567"/>
        <w:gridCol w:w="992"/>
        <w:gridCol w:w="1219"/>
        <w:gridCol w:w="1219"/>
        <w:gridCol w:w="1219"/>
        <w:gridCol w:w="1219"/>
        <w:gridCol w:w="1219"/>
        <w:gridCol w:w="1219"/>
        <w:gridCol w:w="1219"/>
        <w:gridCol w:w="1219"/>
        <w:gridCol w:w="1219"/>
        <w:gridCol w:w="1220"/>
      </w:tblGrid>
      <w:tr w:rsidR="00F5319B" w:rsidRPr="00C36C8F" w:rsidTr="00F5319B">
        <w:trPr>
          <w:trHeight w:val="300"/>
          <w:tblHeader/>
        </w:trPr>
        <w:tc>
          <w:tcPr>
            <w:tcW w:w="906" w:type="dxa"/>
            <w:tcBorders>
              <w:top w:val="nil"/>
              <w:bottom w:val="single" w:sz="18" w:space="0" w:color="808080"/>
            </w:tcBorders>
            <w:shd w:val="clear" w:color="auto" w:fill="auto"/>
            <w:noWrap/>
            <w:vAlign w:val="bottom"/>
            <w:hideMark/>
          </w:tcPr>
          <w:p w:rsidR="00F5319B" w:rsidRPr="00C36C8F" w:rsidRDefault="00DA5A74" w:rsidP="00900D62">
            <w:pPr>
              <w:pStyle w:val="TableHeading"/>
              <w:rPr>
                <w:rFonts w:cs="Arial"/>
                <w:sz w:val="16"/>
                <w:szCs w:val="16"/>
                <w:lang w:eastAsia="en-AU"/>
              </w:rPr>
            </w:pPr>
            <w:r w:rsidRPr="00C36C8F">
              <w:rPr>
                <w:rFonts w:cs="Arial"/>
                <w:sz w:val="16"/>
                <w:szCs w:val="16"/>
                <w:lang w:eastAsia="en-AU"/>
              </w:rPr>
              <w:t>State</w:t>
            </w:r>
          </w:p>
        </w:tc>
        <w:tc>
          <w:tcPr>
            <w:tcW w:w="567" w:type="dxa"/>
            <w:tcBorders>
              <w:top w:val="nil"/>
              <w:bottom w:val="single" w:sz="18" w:space="0" w:color="808080"/>
            </w:tcBorders>
            <w:shd w:val="clear" w:color="auto" w:fill="auto"/>
            <w:noWrap/>
            <w:vAlign w:val="bottom"/>
            <w:hideMark/>
          </w:tcPr>
          <w:p w:rsidR="00F5319B" w:rsidRPr="00C36C8F" w:rsidRDefault="00DA5A74" w:rsidP="00900D62">
            <w:pPr>
              <w:pStyle w:val="TableHeading"/>
              <w:rPr>
                <w:rFonts w:cs="Arial"/>
                <w:sz w:val="16"/>
                <w:szCs w:val="16"/>
                <w:lang w:eastAsia="en-AU"/>
              </w:rPr>
            </w:pPr>
            <w:r w:rsidRPr="00C36C8F">
              <w:rPr>
                <w:rFonts w:cs="Arial"/>
                <w:sz w:val="16"/>
                <w:szCs w:val="16"/>
                <w:lang w:eastAsia="en-AU"/>
              </w:rPr>
              <w:t>Total Sites</w:t>
            </w:r>
          </w:p>
        </w:tc>
        <w:tc>
          <w:tcPr>
            <w:tcW w:w="992" w:type="dxa"/>
            <w:tcBorders>
              <w:top w:val="nil"/>
              <w:bottom w:val="single" w:sz="18" w:space="0" w:color="808080"/>
            </w:tcBorders>
            <w:shd w:val="clear" w:color="auto" w:fill="auto"/>
            <w:noWrap/>
            <w:vAlign w:val="center"/>
            <w:hideMark/>
          </w:tcPr>
          <w:p w:rsidR="00F5319B" w:rsidRPr="00C36C8F" w:rsidRDefault="00DA5A74" w:rsidP="00AE0FCF">
            <w:pPr>
              <w:pStyle w:val="TableHeading"/>
              <w:tabs>
                <w:tab w:val="clear" w:pos="284"/>
                <w:tab w:val="left" w:pos="0"/>
              </w:tabs>
              <w:jc w:val="right"/>
              <w:rPr>
                <w:rFonts w:cs="Arial"/>
                <w:sz w:val="16"/>
                <w:szCs w:val="16"/>
                <w:lang w:eastAsia="en-AU"/>
              </w:rPr>
            </w:pPr>
            <w:r w:rsidRPr="00C36C8F">
              <w:rPr>
                <w:rFonts w:cs="Arial"/>
                <w:sz w:val="16"/>
                <w:szCs w:val="16"/>
                <w:lang w:eastAsia="en-AU"/>
              </w:rPr>
              <w:t>Total Size (tonnes)*</w:t>
            </w:r>
          </w:p>
        </w:tc>
        <w:tc>
          <w:tcPr>
            <w:tcW w:w="1219"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Waste - Domestic</w:t>
            </w:r>
          </w:p>
        </w:tc>
        <w:tc>
          <w:tcPr>
            <w:tcW w:w="1219"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Waste - Commercial</w:t>
            </w:r>
          </w:p>
        </w:tc>
        <w:tc>
          <w:tcPr>
            <w:tcW w:w="1219"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Waste - Solid Inert</w:t>
            </w:r>
          </w:p>
        </w:tc>
        <w:tc>
          <w:tcPr>
            <w:tcW w:w="1219"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Waste - Sewage Sludge</w:t>
            </w:r>
          </w:p>
        </w:tc>
        <w:tc>
          <w:tcPr>
            <w:tcW w:w="1219"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Environmental Controls - Waste Compaction</w:t>
            </w:r>
          </w:p>
        </w:tc>
        <w:tc>
          <w:tcPr>
            <w:tcW w:w="1219"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Environmental Controls - Daily Cover</w:t>
            </w:r>
          </w:p>
        </w:tc>
        <w:tc>
          <w:tcPr>
            <w:tcW w:w="1219"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Environmental Controls - Leachate Treatment</w:t>
            </w:r>
          </w:p>
        </w:tc>
        <w:tc>
          <w:tcPr>
            <w:tcW w:w="1219"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Environmental Controls - Lfg Flaring</w:t>
            </w:r>
          </w:p>
        </w:tc>
        <w:tc>
          <w:tcPr>
            <w:tcW w:w="1219"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Environmental Controls - Energy Recovery</w:t>
            </w:r>
          </w:p>
        </w:tc>
        <w:tc>
          <w:tcPr>
            <w:tcW w:w="1220" w:type="dxa"/>
            <w:tcBorders>
              <w:top w:val="nil"/>
              <w:bottom w:val="single" w:sz="18" w:space="0" w:color="808080"/>
            </w:tcBorders>
            <w:shd w:val="clear" w:color="auto" w:fill="auto"/>
            <w:noWrap/>
            <w:vAlign w:val="center"/>
            <w:hideMark/>
          </w:tcPr>
          <w:p w:rsidR="00F5319B" w:rsidRPr="00C36C8F" w:rsidRDefault="00DA5A74" w:rsidP="003E688A">
            <w:pPr>
              <w:pStyle w:val="TableHeading"/>
              <w:jc w:val="right"/>
              <w:rPr>
                <w:rFonts w:cs="Arial"/>
                <w:sz w:val="16"/>
                <w:szCs w:val="16"/>
                <w:lang w:eastAsia="en-AU"/>
              </w:rPr>
            </w:pPr>
            <w:r w:rsidRPr="00C36C8F">
              <w:rPr>
                <w:rFonts w:cs="Arial"/>
                <w:sz w:val="16"/>
                <w:szCs w:val="16"/>
                <w:lang w:eastAsia="en-AU"/>
              </w:rPr>
              <w:t>Rehabilitation - Progressive Restore</w:t>
            </w:r>
          </w:p>
        </w:tc>
      </w:tr>
      <w:tr w:rsidR="00F5319B" w:rsidRPr="00C36C8F" w:rsidTr="00F5319B">
        <w:trPr>
          <w:trHeight w:val="300"/>
        </w:trPr>
        <w:tc>
          <w:tcPr>
            <w:tcW w:w="906" w:type="dxa"/>
            <w:tcBorders>
              <w:top w:val="single" w:sz="18" w:space="0" w:color="808080"/>
            </w:tcBorders>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NSW</w:t>
            </w:r>
          </w:p>
        </w:tc>
        <w:tc>
          <w:tcPr>
            <w:tcW w:w="567" w:type="dxa"/>
            <w:tcBorders>
              <w:top w:val="single" w:sz="18" w:space="0" w:color="808080"/>
            </w:tcBorders>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30</w:t>
            </w:r>
          </w:p>
        </w:tc>
        <w:tc>
          <w:tcPr>
            <w:tcW w:w="992" w:type="dxa"/>
            <w:tcBorders>
              <w:top w:val="single" w:sz="18" w:space="0" w:color="808080"/>
            </w:tcBorders>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136,182</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27 (90%)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27 (90%)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27 (90%)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(16.7%)</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28 (93.3%)</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21 (70%)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10 (33.3%)</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14 (46.7%)</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21</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379,544</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20 (95.2%)</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(19%)</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19 (90.5%)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19 (90.5%)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(42.9%)</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13 (61.9%)</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9</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316,400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(11.1%)</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(88.9%)</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(33.3%)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(33.3%)</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10</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708,595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(90%)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(80%)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(90%)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(30%)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10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(80%)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(70%)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(30%)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(20%)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(70%)</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5</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705,000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(40%)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(80%)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(60%)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(60%)</w:t>
            </w:r>
          </w:p>
        </w:tc>
      </w:tr>
      <w:tr w:rsidR="00F5319B" w:rsidRPr="00C36C8F" w:rsidTr="00F5319B">
        <w:trPr>
          <w:trHeight w:val="300"/>
        </w:trPr>
        <w:tc>
          <w:tcPr>
            <w:tcW w:w="906" w:type="dxa"/>
            <w:tcBorders>
              <w:bottom w:val="single" w:sz="4" w:space="0" w:color="808080"/>
            </w:tcBorders>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tcBorders>
              <w:bottom w:val="single" w:sz="4" w:space="0" w:color="808080"/>
            </w:tcBorders>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10</w:t>
            </w:r>
          </w:p>
        </w:tc>
        <w:tc>
          <w:tcPr>
            <w:tcW w:w="992" w:type="dxa"/>
            <w:tcBorders>
              <w:bottom w:val="single" w:sz="4" w:space="0" w:color="808080"/>
            </w:tcBorders>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4,200,000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(50%)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(90%)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(90%)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(40%)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10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10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(70%)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(40%)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(50%)</w:t>
            </w:r>
          </w:p>
        </w:tc>
        <w:tc>
          <w:tcPr>
            <w:tcW w:w="1220"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(70%)</w:t>
            </w:r>
          </w:p>
        </w:tc>
      </w:tr>
      <w:tr w:rsidR="00F5319B" w:rsidRPr="00C36C8F" w:rsidTr="00F5319B">
        <w:trPr>
          <w:trHeight w:val="300"/>
        </w:trPr>
        <w:tc>
          <w:tcPr>
            <w:tcW w:w="906" w:type="dxa"/>
            <w:tcBorders>
              <w:top w:val="single" w:sz="4" w:space="0" w:color="808080"/>
              <w:bottom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Sub Total</w:t>
            </w:r>
          </w:p>
        </w:tc>
        <w:tc>
          <w:tcPr>
            <w:tcW w:w="567" w:type="dxa"/>
            <w:tcBorders>
              <w:top w:val="single" w:sz="4" w:space="0" w:color="808080"/>
              <w:bottom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85</w:t>
            </w:r>
          </w:p>
        </w:tc>
        <w:tc>
          <w:tcPr>
            <w:tcW w:w="992" w:type="dxa"/>
            <w:tcBorders>
              <w:top w:val="single" w:sz="4" w:space="0" w:color="808080"/>
              <w:bottom w:val="single" w:sz="18" w:space="0" w:color="808080"/>
            </w:tcBorders>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6,445,721</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76(89.4%)</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78(91.8%)</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80(94.1%)</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19(22.4%)</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81(95.3%)</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70(82.4%)</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39(45.9%)</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7(8.2%)</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7(8.2%)</w:t>
            </w:r>
          </w:p>
        </w:tc>
        <w:tc>
          <w:tcPr>
            <w:tcW w:w="1220"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47(55.3%)</w:t>
            </w:r>
          </w:p>
        </w:tc>
      </w:tr>
      <w:tr w:rsidR="00F5319B" w:rsidRPr="00C36C8F" w:rsidTr="00F5319B">
        <w:trPr>
          <w:trHeight w:val="300"/>
        </w:trPr>
        <w:tc>
          <w:tcPr>
            <w:tcW w:w="906" w:type="dxa"/>
            <w:tcBorders>
              <w:top w:val="single" w:sz="18" w:space="0" w:color="808080"/>
            </w:tcBorders>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QLD</w:t>
            </w:r>
          </w:p>
        </w:tc>
        <w:tc>
          <w:tcPr>
            <w:tcW w:w="567" w:type="dxa"/>
            <w:tcBorders>
              <w:top w:val="single" w:sz="18" w:space="0" w:color="808080"/>
            </w:tcBorders>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63</w:t>
            </w:r>
          </w:p>
        </w:tc>
        <w:tc>
          <w:tcPr>
            <w:tcW w:w="992" w:type="dxa"/>
            <w:tcBorders>
              <w:top w:val="single" w:sz="18" w:space="0" w:color="808080"/>
            </w:tcBorders>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142,472</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61 (96.8%)</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54 (85.7%)</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28 (44.4%)</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(12.7%)</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31 (49.2%)</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29 (46%)</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(4.8%)</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(3.2%)</w:t>
            </w:r>
          </w:p>
        </w:tc>
        <w:tc>
          <w:tcPr>
            <w:tcW w:w="1220" w:type="dxa"/>
            <w:tcBorders>
              <w:top w:val="single" w:sz="18"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13 (20.6%)</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9</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149,409</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(88.9%)</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(33.3%)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(77.8%)</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9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(33.3%)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(66.7%)</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6</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244,689</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(50%)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(33.3%)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(50%)</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7</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504,900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(85.7%)</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(57.1%)</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(85.7%)</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(28.6%)</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(14.3%)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(71.4%)</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8</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1,142,000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(50%)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(37.5%)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(87.5%)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(87.5%)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(50%)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(12.5%)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(12.5%)</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(37.5%)</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4</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1,830,000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(50%)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(50%)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(75%)</w:t>
            </w:r>
          </w:p>
        </w:tc>
      </w:tr>
      <w:tr w:rsidR="00F5319B" w:rsidRPr="00C36C8F" w:rsidTr="00F5319B">
        <w:trPr>
          <w:trHeight w:val="300"/>
        </w:trPr>
        <w:tc>
          <w:tcPr>
            <w:tcW w:w="906"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Sub Total</w:t>
            </w:r>
          </w:p>
        </w:tc>
        <w:tc>
          <w:tcPr>
            <w:tcW w:w="567"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97</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4,013,470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90(92.8%)</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87(89.7%)</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61(62.9%)</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23(23.7%)</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62(63.9%)</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61(62.9%)</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18(18.6%)</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5(5.2%)</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5(5.2%)</w:t>
            </w:r>
          </w:p>
        </w:tc>
        <w:tc>
          <w:tcPr>
            <w:tcW w:w="1220"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33(34%)</w:t>
            </w:r>
          </w:p>
        </w:tc>
      </w:tr>
      <w:tr w:rsidR="00F5319B" w:rsidRPr="00C36C8F" w:rsidTr="00F5319B">
        <w:trPr>
          <w:trHeight w:val="300"/>
        </w:trPr>
        <w:tc>
          <w:tcPr>
            <w:tcW w:w="906"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SA</w:t>
            </w: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58</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110,475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54 (93.1%)</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49 (84.5%)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55 (94.8%)</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(10.3%)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40 (69%)</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49 (84.5%)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(1.7%)</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18 (31%)</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6</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89,300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(50%)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(83.3%)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(83.3%)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(16.7%)</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(83.3%)</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2</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60,000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(50%)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1</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100,000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1</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120,000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r>
      <w:tr w:rsidR="00F5319B" w:rsidRPr="00C36C8F" w:rsidTr="00F5319B">
        <w:trPr>
          <w:trHeight w:val="300"/>
        </w:trPr>
        <w:tc>
          <w:tcPr>
            <w:tcW w:w="906" w:type="dxa"/>
            <w:tcBorders>
              <w:bottom w:val="single" w:sz="4" w:space="0" w:color="808080"/>
            </w:tcBorders>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tcBorders>
              <w:bottom w:val="single" w:sz="4" w:space="0" w:color="808080"/>
            </w:tcBorders>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3</w:t>
            </w:r>
          </w:p>
        </w:tc>
        <w:tc>
          <w:tcPr>
            <w:tcW w:w="992" w:type="dxa"/>
            <w:tcBorders>
              <w:bottom w:val="single" w:sz="4" w:space="0" w:color="808080"/>
            </w:tcBorders>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800,000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(66.7%)</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2 (66.7%)</w:t>
            </w:r>
          </w:p>
        </w:tc>
        <w:tc>
          <w:tcPr>
            <w:tcW w:w="1220"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(100%)</w:t>
            </w:r>
          </w:p>
        </w:tc>
      </w:tr>
      <w:tr w:rsidR="00F5319B" w:rsidRPr="00C36C8F" w:rsidTr="00F5319B">
        <w:trPr>
          <w:trHeight w:val="300"/>
        </w:trPr>
        <w:tc>
          <w:tcPr>
            <w:tcW w:w="906" w:type="dxa"/>
            <w:tcBorders>
              <w:top w:val="single" w:sz="4" w:space="0" w:color="808080"/>
              <w:bottom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Sub Total</w:t>
            </w:r>
          </w:p>
        </w:tc>
        <w:tc>
          <w:tcPr>
            <w:tcW w:w="567" w:type="dxa"/>
            <w:tcBorders>
              <w:top w:val="single" w:sz="4" w:space="0" w:color="808080"/>
              <w:bottom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71</w:t>
            </w:r>
          </w:p>
        </w:tc>
        <w:tc>
          <w:tcPr>
            <w:tcW w:w="992" w:type="dxa"/>
            <w:tcBorders>
              <w:top w:val="single" w:sz="4" w:space="0" w:color="808080"/>
              <w:bottom w:val="single" w:sz="18" w:space="0" w:color="808080"/>
            </w:tcBorders>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1,279,775</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67(94.4%)</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62(87.3%)</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68(95.8%)</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9(12.7%)</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51(71.8%)</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60(84.5%)</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7(9.9%)</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2(2.8%)</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3(4.2%)</w:t>
            </w:r>
          </w:p>
        </w:tc>
        <w:tc>
          <w:tcPr>
            <w:tcW w:w="1220"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27(38%)</w:t>
            </w:r>
          </w:p>
        </w:tc>
      </w:tr>
      <w:tr w:rsidR="00F5319B" w:rsidRPr="00C36C8F" w:rsidTr="00F5319B">
        <w:trPr>
          <w:trHeight w:val="300"/>
        </w:trPr>
        <w:tc>
          <w:tcPr>
            <w:tcW w:w="906" w:type="dxa"/>
            <w:tcBorders>
              <w:top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TAS</w:t>
            </w:r>
          </w:p>
        </w:tc>
        <w:tc>
          <w:tcPr>
            <w:tcW w:w="567" w:type="dxa"/>
            <w:tcBorders>
              <w:top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3</w:t>
            </w:r>
          </w:p>
        </w:tc>
        <w:tc>
          <w:tcPr>
            <w:tcW w:w="992" w:type="dxa"/>
            <w:tcBorders>
              <w:top w:val="single" w:sz="18" w:space="0" w:color="808080"/>
            </w:tcBorders>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9,650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(33.3%)</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(33.3%)</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(33.3%)</w:t>
            </w:r>
          </w:p>
        </w:tc>
        <w:tc>
          <w:tcPr>
            <w:tcW w:w="1220"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(33.3%)</w:t>
            </w:r>
          </w:p>
        </w:tc>
      </w:tr>
      <w:tr w:rsidR="00F5319B" w:rsidRPr="00C36C8F" w:rsidTr="00F5319B">
        <w:trPr>
          <w:trHeight w:val="300"/>
        </w:trPr>
        <w:tc>
          <w:tcPr>
            <w:tcW w:w="906" w:type="dxa"/>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3</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57,400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(33.3%)</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(33.3%)</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(33.3%)</w:t>
            </w:r>
          </w:p>
        </w:tc>
      </w:tr>
      <w:tr w:rsidR="00F5319B" w:rsidRPr="00C36C8F" w:rsidTr="00F5319B">
        <w:trPr>
          <w:trHeight w:val="300"/>
        </w:trPr>
        <w:tc>
          <w:tcPr>
            <w:tcW w:w="906" w:type="dxa"/>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1</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38,000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r>
      <w:tr w:rsidR="00F5319B" w:rsidRPr="00C36C8F" w:rsidTr="00F5319B">
        <w:trPr>
          <w:trHeight w:val="300"/>
        </w:trPr>
        <w:tc>
          <w:tcPr>
            <w:tcW w:w="906" w:type="dxa"/>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3</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196,000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(66.7%)</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(66.7%)</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(66.7%)</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(33.3%)</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(66.7%)</w:t>
            </w:r>
          </w:p>
        </w:tc>
      </w:tr>
      <w:tr w:rsidR="00F5319B" w:rsidRPr="00C36C8F" w:rsidTr="00F5319B">
        <w:trPr>
          <w:trHeight w:val="300"/>
        </w:trPr>
        <w:tc>
          <w:tcPr>
            <w:tcW w:w="906" w:type="dxa"/>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1</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120,000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(100%)</w:t>
            </w:r>
          </w:p>
        </w:tc>
      </w:tr>
      <w:tr w:rsidR="00F5319B" w:rsidRPr="00C36C8F" w:rsidTr="00F5319B">
        <w:trPr>
          <w:trHeight w:val="300"/>
        </w:trPr>
        <w:tc>
          <w:tcPr>
            <w:tcW w:w="906"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Sub Total</w:t>
            </w:r>
          </w:p>
        </w:tc>
        <w:tc>
          <w:tcPr>
            <w:tcW w:w="567"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11</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421,050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11(100%)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11(100%)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10(90.9%)</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6(54.5%)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11(100%)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10(90.9%)</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9(81.8%)</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3(27.3%)</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1(9.1%)</w:t>
            </w:r>
          </w:p>
        </w:tc>
        <w:tc>
          <w:tcPr>
            <w:tcW w:w="1220"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6(54.5%)</w:t>
            </w:r>
          </w:p>
        </w:tc>
      </w:tr>
      <w:tr w:rsidR="00F5319B" w:rsidRPr="00C36C8F" w:rsidTr="00F5319B">
        <w:trPr>
          <w:trHeight w:val="300"/>
        </w:trPr>
        <w:tc>
          <w:tcPr>
            <w:tcW w:w="906"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VIC</w:t>
            </w: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8</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28,000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(50%)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(50%)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(87.5%)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(12.5%)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(50%)</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13</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229,100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13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13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13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10 (76.9%)</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13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(53.8%)</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(61.5%)</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12</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453,000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10 (83.3%)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11 (91.7%)</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11 (91.7%)</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12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11 (91.7%)</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(66.7%)</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(8.3%)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(41.7%)</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8</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688,000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(87.5%)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(12.5%)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(87.5%)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(87.5%)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(62.5%)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(62.5%)</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(12.5%)</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(75%)</w:t>
            </w:r>
          </w:p>
        </w:tc>
      </w:tr>
      <w:tr w:rsidR="00F5319B" w:rsidRPr="00C36C8F" w:rsidTr="00F5319B">
        <w:trPr>
          <w:trHeight w:val="300"/>
        </w:trPr>
        <w:tc>
          <w:tcPr>
            <w:tcW w:w="906" w:type="dxa"/>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7</w:t>
            </w:r>
          </w:p>
        </w:tc>
        <w:tc>
          <w:tcPr>
            <w:tcW w:w="992" w:type="dxa"/>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1,148,121</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(85.7%)</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(100%)</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4 (57.1%)</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1 (14.3%)</w:t>
            </w:r>
          </w:p>
        </w:tc>
        <w:tc>
          <w:tcPr>
            <w:tcW w:w="1219"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(71.4%)</w:t>
            </w:r>
          </w:p>
        </w:tc>
        <w:tc>
          <w:tcPr>
            <w:tcW w:w="1220" w:type="dxa"/>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(71.4%)</w:t>
            </w:r>
          </w:p>
        </w:tc>
      </w:tr>
      <w:tr w:rsidR="00F5319B" w:rsidRPr="00C36C8F" w:rsidTr="00F5319B">
        <w:trPr>
          <w:trHeight w:val="300"/>
        </w:trPr>
        <w:tc>
          <w:tcPr>
            <w:tcW w:w="906" w:type="dxa"/>
            <w:tcBorders>
              <w:bottom w:val="single" w:sz="4" w:space="0" w:color="808080"/>
            </w:tcBorders>
            <w:shd w:val="clear" w:color="auto" w:fill="auto"/>
            <w:noWrap/>
            <w:vAlign w:val="bottom"/>
            <w:hideMark/>
          </w:tcPr>
          <w:p w:rsidR="00F5319B" w:rsidRPr="00C36C8F" w:rsidRDefault="00F5319B" w:rsidP="003E688A">
            <w:pPr>
              <w:pStyle w:val="TableText"/>
              <w:keepNext/>
              <w:rPr>
                <w:rFonts w:cs="Arial"/>
                <w:sz w:val="16"/>
                <w:szCs w:val="16"/>
                <w:lang w:eastAsia="en-AU"/>
              </w:rPr>
            </w:pPr>
          </w:p>
        </w:tc>
        <w:tc>
          <w:tcPr>
            <w:tcW w:w="567" w:type="dxa"/>
            <w:tcBorders>
              <w:bottom w:val="single" w:sz="4" w:space="0" w:color="808080"/>
            </w:tcBorders>
            <w:shd w:val="clear" w:color="auto" w:fill="auto"/>
            <w:noWrap/>
            <w:vAlign w:val="bottom"/>
            <w:hideMark/>
          </w:tcPr>
          <w:p w:rsidR="00F5319B" w:rsidRPr="00C36C8F" w:rsidRDefault="00DA5A74" w:rsidP="003E688A">
            <w:pPr>
              <w:pStyle w:val="TableText"/>
              <w:keepNext/>
              <w:rPr>
                <w:rFonts w:cs="Arial"/>
                <w:sz w:val="16"/>
                <w:szCs w:val="16"/>
                <w:lang w:eastAsia="en-AU"/>
              </w:rPr>
            </w:pPr>
            <w:r w:rsidRPr="00C36C8F">
              <w:rPr>
                <w:rFonts w:cs="Arial"/>
                <w:sz w:val="16"/>
                <w:szCs w:val="16"/>
                <w:lang w:eastAsia="en-AU"/>
              </w:rPr>
              <w:t>8</w:t>
            </w:r>
          </w:p>
        </w:tc>
        <w:tc>
          <w:tcPr>
            <w:tcW w:w="992" w:type="dxa"/>
            <w:tcBorders>
              <w:bottom w:val="single" w:sz="4" w:space="0" w:color="808080"/>
            </w:tcBorders>
            <w:shd w:val="clear" w:color="auto" w:fill="auto"/>
            <w:noWrap/>
            <w:vAlign w:val="center"/>
            <w:hideMark/>
          </w:tcPr>
          <w:p w:rsidR="00F5319B" w:rsidRPr="00C36C8F" w:rsidRDefault="00DA5A74" w:rsidP="00AE0FCF">
            <w:pPr>
              <w:pStyle w:val="TableText"/>
              <w:keepNext/>
              <w:tabs>
                <w:tab w:val="left" w:pos="0"/>
              </w:tabs>
              <w:jc w:val="right"/>
              <w:rPr>
                <w:rFonts w:cs="Arial"/>
                <w:sz w:val="16"/>
                <w:szCs w:val="16"/>
                <w:lang w:eastAsia="en-AU"/>
              </w:rPr>
            </w:pPr>
            <w:r w:rsidRPr="00C36C8F">
              <w:rPr>
                <w:rFonts w:cs="Arial"/>
                <w:sz w:val="16"/>
                <w:szCs w:val="16"/>
                <w:lang w:eastAsia="en-AU"/>
              </w:rPr>
              <w:t>2,443,592</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0 (0%)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(87.5%)</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8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7 (87.5%)</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3 (37.5%)</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5 (62.5%)</w:t>
            </w:r>
          </w:p>
        </w:tc>
        <w:tc>
          <w:tcPr>
            <w:tcW w:w="1220" w:type="dxa"/>
            <w:tcBorders>
              <w:bottom w:val="single" w:sz="4" w:space="0" w:color="808080"/>
            </w:tcBorders>
            <w:shd w:val="clear" w:color="auto" w:fill="auto"/>
            <w:noWrap/>
            <w:vAlign w:val="center"/>
            <w:hideMark/>
          </w:tcPr>
          <w:p w:rsidR="00F5319B" w:rsidRPr="00C36C8F" w:rsidRDefault="00DA5A74" w:rsidP="003E688A">
            <w:pPr>
              <w:pStyle w:val="TableText"/>
              <w:keepNext/>
              <w:jc w:val="right"/>
              <w:rPr>
                <w:rFonts w:cs="Arial"/>
                <w:sz w:val="16"/>
                <w:szCs w:val="16"/>
                <w:lang w:eastAsia="en-AU"/>
              </w:rPr>
            </w:pPr>
            <w:r w:rsidRPr="00C36C8F">
              <w:rPr>
                <w:rFonts w:cs="Arial"/>
                <w:sz w:val="16"/>
                <w:szCs w:val="16"/>
                <w:lang w:eastAsia="en-AU"/>
              </w:rPr>
              <w:t>6 (75%)</w:t>
            </w:r>
          </w:p>
        </w:tc>
      </w:tr>
      <w:tr w:rsidR="00F5319B" w:rsidRPr="00C36C8F" w:rsidTr="00F5319B">
        <w:trPr>
          <w:trHeight w:val="300"/>
        </w:trPr>
        <w:tc>
          <w:tcPr>
            <w:tcW w:w="906" w:type="dxa"/>
            <w:tcBorders>
              <w:top w:val="single" w:sz="4" w:space="0" w:color="808080"/>
              <w:bottom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Sub Total</w:t>
            </w:r>
          </w:p>
        </w:tc>
        <w:tc>
          <w:tcPr>
            <w:tcW w:w="567" w:type="dxa"/>
            <w:tcBorders>
              <w:top w:val="single" w:sz="4" w:space="0" w:color="808080"/>
              <w:bottom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56</w:t>
            </w:r>
          </w:p>
        </w:tc>
        <w:tc>
          <w:tcPr>
            <w:tcW w:w="992" w:type="dxa"/>
            <w:tcBorders>
              <w:top w:val="single" w:sz="4" w:space="0" w:color="808080"/>
              <w:bottom w:val="single" w:sz="18" w:space="0" w:color="808080"/>
            </w:tcBorders>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4,989,813</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49(87.5%)</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51(91.1%)</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50(89.3%)</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1(1.8%)</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50(89.3%)</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52(92.9%)</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32(57.1%)</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10(17.9%)</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11(19.6%)</w:t>
            </w:r>
          </w:p>
        </w:tc>
        <w:tc>
          <w:tcPr>
            <w:tcW w:w="1220"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34(60.7%)</w:t>
            </w:r>
          </w:p>
        </w:tc>
      </w:tr>
      <w:tr w:rsidR="00F5319B" w:rsidRPr="00C36C8F" w:rsidTr="00F5319B">
        <w:trPr>
          <w:trHeight w:val="300"/>
        </w:trPr>
        <w:tc>
          <w:tcPr>
            <w:tcW w:w="906" w:type="dxa"/>
            <w:tcBorders>
              <w:top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WA</w:t>
            </w:r>
          </w:p>
        </w:tc>
        <w:tc>
          <w:tcPr>
            <w:tcW w:w="567" w:type="dxa"/>
            <w:tcBorders>
              <w:top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90</w:t>
            </w:r>
          </w:p>
        </w:tc>
        <w:tc>
          <w:tcPr>
            <w:tcW w:w="992" w:type="dxa"/>
            <w:tcBorders>
              <w:top w:val="single" w:sz="18" w:space="0" w:color="808080"/>
            </w:tcBorders>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172,460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79 (87.8%)</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72 (80%)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76 (84.4%)</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27 (30%)</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26 (28.9%)</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21 (23.3%)</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8 (8.9%)</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(1.1%)</w:t>
            </w:r>
          </w:p>
        </w:tc>
        <w:tc>
          <w:tcPr>
            <w:tcW w:w="1219"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20" w:type="dxa"/>
            <w:tcBorders>
              <w:top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23 (25.6%)</w:t>
            </w:r>
          </w:p>
        </w:tc>
      </w:tr>
      <w:tr w:rsidR="00F5319B" w:rsidRPr="00C36C8F" w:rsidTr="00F5319B">
        <w:trPr>
          <w:trHeight w:val="300"/>
        </w:trPr>
        <w:tc>
          <w:tcPr>
            <w:tcW w:w="906" w:type="dxa"/>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8</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124,750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8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8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8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 (62.5%)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 (75%)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 (87.5%)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 (75%)</w:t>
            </w:r>
          </w:p>
        </w:tc>
      </w:tr>
      <w:tr w:rsidR="00F5319B" w:rsidRPr="00C36C8F" w:rsidTr="00F5319B">
        <w:trPr>
          <w:trHeight w:val="300"/>
        </w:trPr>
        <w:tc>
          <w:tcPr>
            <w:tcW w:w="906" w:type="dxa"/>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8</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289,000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(37.5%)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 (62.5%)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8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(25%)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7 (87.5%)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 (62.5%)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(12.5%)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20"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(37.5%)</w:t>
            </w:r>
          </w:p>
        </w:tc>
      </w:tr>
      <w:tr w:rsidR="00F5319B" w:rsidRPr="00C36C8F" w:rsidTr="00F5319B">
        <w:trPr>
          <w:trHeight w:val="300"/>
        </w:trPr>
        <w:tc>
          <w:tcPr>
            <w:tcW w:w="906" w:type="dxa"/>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4</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346,000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(50%)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4 (100%)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(50%)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(50%)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(75%)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(50%)</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(25%)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(25%)</w:t>
            </w:r>
          </w:p>
        </w:tc>
        <w:tc>
          <w:tcPr>
            <w:tcW w:w="1219"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(25%)</w:t>
            </w:r>
          </w:p>
        </w:tc>
        <w:tc>
          <w:tcPr>
            <w:tcW w:w="1220" w:type="dxa"/>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(25%)</w:t>
            </w:r>
          </w:p>
        </w:tc>
      </w:tr>
      <w:tr w:rsidR="00F5319B" w:rsidRPr="00C36C8F" w:rsidTr="00F5319B">
        <w:trPr>
          <w:trHeight w:val="300"/>
        </w:trPr>
        <w:tc>
          <w:tcPr>
            <w:tcW w:w="906" w:type="dxa"/>
            <w:tcBorders>
              <w:bottom w:val="single" w:sz="4" w:space="0" w:color="808080"/>
            </w:tcBorders>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tcBorders>
              <w:bottom w:val="single" w:sz="4"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5</w:t>
            </w:r>
          </w:p>
        </w:tc>
        <w:tc>
          <w:tcPr>
            <w:tcW w:w="992" w:type="dxa"/>
            <w:tcBorders>
              <w:bottom w:val="single" w:sz="4" w:space="0" w:color="808080"/>
            </w:tcBorders>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935,000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(60%)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(60%)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 (100%)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4 (80%)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(60%)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1 (20%)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(40%)</w:t>
            </w:r>
          </w:p>
        </w:tc>
        <w:tc>
          <w:tcPr>
            <w:tcW w:w="1219"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(60%)</w:t>
            </w:r>
          </w:p>
        </w:tc>
        <w:tc>
          <w:tcPr>
            <w:tcW w:w="1220" w:type="dxa"/>
            <w:tcBorders>
              <w:bottom w:val="single" w:sz="4"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(40%)</w:t>
            </w:r>
          </w:p>
        </w:tc>
      </w:tr>
      <w:tr w:rsidR="00F5319B" w:rsidRPr="00C36C8F" w:rsidTr="00F5319B">
        <w:trPr>
          <w:trHeight w:val="300"/>
        </w:trPr>
        <w:tc>
          <w:tcPr>
            <w:tcW w:w="906" w:type="dxa"/>
            <w:tcBorders>
              <w:top w:val="single" w:sz="4" w:space="0" w:color="808080"/>
              <w:bottom w:val="single" w:sz="18" w:space="0" w:color="808080"/>
            </w:tcBorders>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tcBorders>
              <w:top w:val="single" w:sz="4" w:space="0" w:color="808080"/>
              <w:bottom w:val="single" w:sz="18" w:space="0" w:color="808080"/>
            </w:tcBorders>
            <w:shd w:val="clear" w:color="auto" w:fill="auto"/>
            <w:noWrap/>
            <w:vAlign w:val="bottom"/>
            <w:hideMark/>
          </w:tcPr>
          <w:p w:rsidR="00F5319B" w:rsidRPr="00C36C8F" w:rsidRDefault="00DA5A74" w:rsidP="00900D62">
            <w:pPr>
              <w:pStyle w:val="TableText"/>
              <w:rPr>
                <w:rFonts w:cs="Arial"/>
                <w:sz w:val="16"/>
                <w:szCs w:val="16"/>
                <w:lang w:eastAsia="en-AU"/>
              </w:rPr>
            </w:pPr>
            <w:r w:rsidRPr="00C36C8F">
              <w:rPr>
                <w:rFonts w:cs="Arial"/>
                <w:sz w:val="16"/>
                <w:szCs w:val="16"/>
                <w:lang w:eastAsia="en-AU"/>
              </w:rPr>
              <w:t>6</w:t>
            </w:r>
          </w:p>
        </w:tc>
        <w:tc>
          <w:tcPr>
            <w:tcW w:w="992" w:type="dxa"/>
            <w:tcBorders>
              <w:top w:val="single" w:sz="4" w:space="0" w:color="808080"/>
              <w:bottom w:val="single" w:sz="18" w:space="0" w:color="808080"/>
            </w:tcBorders>
            <w:shd w:val="clear" w:color="auto" w:fill="auto"/>
            <w:noWrap/>
            <w:vAlign w:val="center"/>
            <w:hideMark/>
          </w:tcPr>
          <w:p w:rsidR="00F5319B" w:rsidRPr="00C36C8F" w:rsidRDefault="00DA5A74" w:rsidP="00AE0FCF">
            <w:pPr>
              <w:pStyle w:val="TableText"/>
              <w:tabs>
                <w:tab w:val="left" w:pos="0"/>
              </w:tabs>
              <w:jc w:val="right"/>
              <w:rPr>
                <w:rFonts w:cs="Arial"/>
                <w:sz w:val="16"/>
                <w:szCs w:val="16"/>
                <w:lang w:eastAsia="en-AU"/>
              </w:rPr>
            </w:pPr>
            <w:r w:rsidRPr="00C36C8F">
              <w:rPr>
                <w:rFonts w:cs="Arial"/>
                <w:sz w:val="16"/>
                <w:szCs w:val="16"/>
                <w:lang w:eastAsia="en-AU"/>
              </w:rPr>
              <w:t>1,762,306</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(33.3%)</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3 (50%)</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 (100%)</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0 (0%)</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6 (100%)</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5 (83.3%)</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(33.3%)</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(33.3%)</w:t>
            </w:r>
          </w:p>
        </w:tc>
        <w:tc>
          <w:tcPr>
            <w:tcW w:w="1219"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(33.3%)</w:t>
            </w:r>
          </w:p>
        </w:tc>
        <w:tc>
          <w:tcPr>
            <w:tcW w:w="1220" w:type="dxa"/>
            <w:tcBorders>
              <w:top w:val="single" w:sz="4" w:space="0" w:color="808080"/>
              <w:bottom w:val="single" w:sz="18" w:space="0" w:color="808080"/>
            </w:tcBorders>
            <w:shd w:val="clear" w:color="auto" w:fill="auto"/>
            <w:noWrap/>
            <w:vAlign w:val="center"/>
            <w:hideMark/>
          </w:tcPr>
          <w:p w:rsidR="00F5319B" w:rsidRPr="00C36C8F" w:rsidRDefault="00DA5A74" w:rsidP="003E688A">
            <w:pPr>
              <w:pStyle w:val="TableText"/>
              <w:jc w:val="right"/>
              <w:rPr>
                <w:rFonts w:cs="Arial"/>
                <w:sz w:val="16"/>
                <w:szCs w:val="16"/>
                <w:lang w:eastAsia="en-AU"/>
              </w:rPr>
            </w:pPr>
            <w:r w:rsidRPr="00C36C8F">
              <w:rPr>
                <w:rFonts w:cs="Arial"/>
                <w:sz w:val="16"/>
                <w:szCs w:val="16"/>
                <w:lang w:eastAsia="en-AU"/>
              </w:rPr>
              <w:t>2 (33.3%)</w:t>
            </w:r>
          </w:p>
        </w:tc>
      </w:tr>
      <w:tr w:rsidR="00F5319B" w:rsidRPr="00C36C8F" w:rsidTr="00F5319B">
        <w:trPr>
          <w:trHeight w:val="300"/>
        </w:trPr>
        <w:tc>
          <w:tcPr>
            <w:tcW w:w="906" w:type="dxa"/>
            <w:tcBorders>
              <w:top w:val="single" w:sz="18" w:space="0" w:color="808080"/>
            </w:tcBorders>
            <w:shd w:val="clear" w:color="auto" w:fill="auto"/>
            <w:noWrap/>
            <w:vAlign w:val="bottom"/>
            <w:hideMark/>
          </w:tcPr>
          <w:p w:rsidR="00F5319B" w:rsidRPr="00C36C8F" w:rsidRDefault="00F5319B" w:rsidP="00900D62">
            <w:pPr>
              <w:pStyle w:val="TableText"/>
              <w:rPr>
                <w:rFonts w:cs="Arial"/>
                <w:sz w:val="16"/>
                <w:szCs w:val="16"/>
                <w:lang w:eastAsia="en-AU"/>
              </w:rPr>
            </w:pPr>
          </w:p>
        </w:tc>
        <w:tc>
          <w:tcPr>
            <w:tcW w:w="567" w:type="dxa"/>
            <w:tcBorders>
              <w:top w:val="single" w:sz="18" w:space="0" w:color="808080"/>
            </w:tcBorders>
            <w:shd w:val="clear" w:color="auto" w:fill="auto"/>
            <w:noWrap/>
            <w:vAlign w:val="bottom"/>
            <w:hideMark/>
          </w:tcPr>
          <w:p w:rsidR="00F5319B" w:rsidRPr="00C36C8F" w:rsidRDefault="00F5319B" w:rsidP="00900D62">
            <w:pPr>
              <w:pStyle w:val="TableText"/>
              <w:rPr>
                <w:rFonts w:cs="Arial"/>
                <w:sz w:val="16"/>
                <w:szCs w:val="16"/>
                <w:lang w:eastAsia="en-AU"/>
              </w:rPr>
            </w:pPr>
          </w:p>
        </w:tc>
        <w:tc>
          <w:tcPr>
            <w:tcW w:w="992" w:type="dxa"/>
            <w:tcBorders>
              <w:top w:val="single" w:sz="18" w:space="0" w:color="808080"/>
            </w:tcBorders>
            <w:shd w:val="clear" w:color="auto" w:fill="auto"/>
            <w:noWrap/>
            <w:vAlign w:val="center"/>
            <w:hideMark/>
          </w:tcPr>
          <w:p w:rsidR="00F5319B" w:rsidRPr="00C36C8F" w:rsidRDefault="00F5319B" w:rsidP="00AE0FCF">
            <w:pPr>
              <w:pStyle w:val="TableText"/>
              <w:tabs>
                <w:tab w:val="left" w:pos="0"/>
              </w:tabs>
              <w:jc w:val="right"/>
              <w:rPr>
                <w:rFonts w:cs="Arial"/>
                <w:sz w:val="16"/>
                <w:szCs w:val="16"/>
                <w:lang w:eastAsia="en-AU"/>
              </w:rPr>
            </w:pPr>
          </w:p>
        </w:tc>
        <w:tc>
          <w:tcPr>
            <w:tcW w:w="1219"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c>
          <w:tcPr>
            <w:tcW w:w="1219"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c>
          <w:tcPr>
            <w:tcW w:w="1219"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c>
          <w:tcPr>
            <w:tcW w:w="1219"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c>
          <w:tcPr>
            <w:tcW w:w="1219"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c>
          <w:tcPr>
            <w:tcW w:w="1219"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c>
          <w:tcPr>
            <w:tcW w:w="1219"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c>
          <w:tcPr>
            <w:tcW w:w="1219"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c>
          <w:tcPr>
            <w:tcW w:w="1219"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c>
          <w:tcPr>
            <w:tcW w:w="1220" w:type="dxa"/>
            <w:tcBorders>
              <w:top w:val="single" w:sz="18" w:space="0" w:color="808080"/>
            </w:tcBorders>
            <w:shd w:val="clear" w:color="auto" w:fill="auto"/>
            <w:noWrap/>
            <w:vAlign w:val="center"/>
            <w:hideMark/>
          </w:tcPr>
          <w:p w:rsidR="00F5319B" w:rsidRPr="00C36C8F" w:rsidRDefault="00F5319B" w:rsidP="003E688A">
            <w:pPr>
              <w:pStyle w:val="TableText"/>
              <w:jc w:val="right"/>
              <w:rPr>
                <w:rFonts w:cs="Arial"/>
                <w:sz w:val="16"/>
                <w:szCs w:val="16"/>
                <w:lang w:eastAsia="en-AU"/>
              </w:rPr>
            </w:pPr>
          </w:p>
        </w:tc>
      </w:tr>
      <w:tr w:rsidR="00F5319B" w:rsidRPr="00C36C8F" w:rsidTr="00F5319B">
        <w:trPr>
          <w:trHeight w:val="300"/>
        </w:trPr>
        <w:tc>
          <w:tcPr>
            <w:tcW w:w="906" w:type="dxa"/>
            <w:shd w:val="clear" w:color="auto" w:fill="auto"/>
            <w:noWrap/>
            <w:vAlign w:val="bottom"/>
            <w:hideMark/>
          </w:tcPr>
          <w:p w:rsidR="00F5319B" w:rsidRPr="00C36C8F" w:rsidRDefault="00DA5A74" w:rsidP="00900D62">
            <w:pPr>
              <w:pStyle w:val="TableText"/>
              <w:rPr>
                <w:rFonts w:cs="Arial"/>
                <w:b/>
                <w:sz w:val="16"/>
                <w:szCs w:val="16"/>
                <w:lang w:eastAsia="en-AU"/>
              </w:rPr>
            </w:pPr>
            <w:r w:rsidRPr="00C36C8F">
              <w:rPr>
                <w:rFonts w:cs="Arial"/>
                <w:b/>
                <w:sz w:val="16"/>
                <w:szCs w:val="16"/>
                <w:lang w:eastAsia="en-AU"/>
              </w:rPr>
              <w:t>Total</w:t>
            </w:r>
          </w:p>
        </w:tc>
        <w:tc>
          <w:tcPr>
            <w:tcW w:w="567" w:type="dxa"/>
            <w:shd w:val="clear" w:color="auto" w:fill="auto"/>
            <w:noWrap/>
            <w:vAlign w:val="bottom"/>
            <w:hideMark/>
          </w:tcPr>
          <w:p w:rsidR="00F5319B" w:rsidRPr="00C36C8F" w:rsidRDefault="00DA5A74" w:rsidP="00900D62">
            <w:pPr>
              <w:pStyle w:val="TableText"/>
              <w:rPr>
                <w:rFonts w:cs="Arial"/>
                <w:b/>
                <w:sz w:val="16"/>
                <w:szCs w:val="16"/>
                <w:lang w:eastAsia="en-AU"/>
              </w:rPr>
            </w:pPr>
            <w:r w:rsidRPr="00C36C8F">
              <w:rPr>
                <w:rFonts w:cs="Arial"/>
                <w:b/>
                <w:sz w:val="16"/>
                <w:szCs w:val="16"/>
                <w:lang w:eastAsia="en-AU"/>
              </w:rPr>
              <w:t>441</w:t>
            </w:r>
          </w:p>
        </w:tc>
        <w:tc>
          <w:tcPr>
            <w:tcW w:w="992" w:type="dxa"/>
            <w:shd w:val="clear" w:color="auto" w:fill="auto"/>
            <w:noWrap/>
            <w:vAlign w:val="center"/>
            <w:hideMark/>
          </w:tcPr>
          <w:p w:rsidR="00F5319B" w:rsidRPr="00C36C8F" w:rsidRDefault="00DA5A74" w:rsidP="00AE0FCF">
            <w:pPr>
              <w:pStyle w:val="TableText"/>
              <w:tabs>
                <w:tab w:val="left" w:pos="0"/>
              </w:tabs>
              <w:jc w:val="right"/>
              <w:rPr>
                <w:rFonts w:cs="Arial"/>
                <w:b/>
                <w:sz w:val="16"/>
                <w:szCs w:val="16"/>
                <w:lang w:eastAsia="en-AU"/>
              </w:rPr>
            </w:pPr>
            <w:r w:rsidRPr="00C36C8F">
              <w:rPr>
                <w:rFonts w:cs="Arial"/>
                <w:b/>
                <w:sz w:val="16"/>
                <w:szCs w:val="16"/>
                <w:lang w:eastAsia="en-AU"/>
              </w:rPr>
              <w:t>20,779,345</w:t>
            </w:r>
          </w:p>
        </w:tc>
        <w:tc>
          <w:tcPr>
            <w:tcW w:w="1219"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390 (88.4%)</w:t>
            </w:r>
          </w:p>
        </w:tc>
        <w:tc>
          <w:tcPr>
            <w:tcW w:w="1219"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384 (87.1%)</w:t>
            </w:r>
          </w:p>
        </w:tc>
        <w:tc>
          <w:tcPr>
            <w:tcW w:w="1219"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374 (84.8%)</w:t>
            </w:r>
          </w:p>
        </w:tc>
        <w:tc>
          <w:tcPr>
            <w:tcW w:w="1219"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94 (21.3%)</w:t>
            </w:r>
          </w:p>
        </w:tc>
        <w:tc>
          <w:tcPr>
            <w:tcW w:w="1219"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307 (69.6%)</w:t>
            </w:r>
          </w:p>
        </w:tc>
        <w:tc>
          <w:tcPr>
            <w:tcW w:w="1219"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296 (67.1%)</w:t>
            </w:r>
          </w:p>
        </w:tc>
        <w:tc>
          <w:tcPr>
            <w:tcW w:w="1219"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118 (26.8%)</w:t>
            </w:r>
          </w:p>
        </w:tc>
        <w:tc>
          <w:tcPr>
            <w:tcW w:w="1219"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33 (7.5%)</w:t>
            </w:r>
          </w:p>
        </w:tc>
        <w:tc>
          <w:tcPr>
            <w:tcW w:w="1219"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33 (7.5%)</w:t>
            </w:r>
          </w:p>
        </w:tc>
        <w:tc>
          <w:tcPr>
            <w:tcW w:w="1220" w:type="dxa"/>
            <w:shd w:val="clear" w:color="auto" w:fill="auto"/>
            <w:noWrap/>
            <w:vAlign w:val="center"/>
            <w:hideMark/>
          </w:tcPr>
          <w:p w:rsidR="00F5319B" w:rsidRPr="00C36C8F" w:rsidRDefault="00DA5A74" w:rsidP="003E688A">
            <w:pPr>
              <w:pStyle w:val="TableText"/>
              <w:jc w:val="right"/>
              <w:rPr>
                <w:rFonts w:cs="Arial"/>
                <w:b/>
                <w:sz w:val="16"/>
                <w:szCs w:val="16"/>
                <w:lang w:eastAsia="en-AU"/>
              </w:rPr>
            </w:pPr>
            <w:r w:rsidRPr="00C36C8F">
              <w:rPr>
                <w:rFonts w:cs="Arial"/>
                <w:b/>
                <w:sz w:val="16"/>
                <w:szCs w:val="16"/>
                <w:lang w:eastAsia="en-AU"/>
              </w:rPr>
              <w:t>184 (41.7%)</w:t>
            </w:r>
          </w:p>
        </w:tc>
      </w:tr>
    </w:tbl>
    <w:p w:rsidR="003473CB" w:rsidRPr="00C36C8F" w:rsidRDefault="003473CB">
      <w:pPr>
        <w:spacing w:after="0" w:line="240" w:lineRule="auto"/>
        <w:ind w:left="0"/>
      </w:pPr>
    </w:p>
    <w:p w:rsidR="00356C27" w:rsidRPr="00C36C8F" w:rsidRDefault="00356C27">
      <w:pPr>
        <w:spacing w:after="0" w:line="240" w:lineRule="auto"/>
        <w:ind w:left="0"/>
        <w:sectPr w:rsidR="00356C27" w:rsidRPr="00C36C8F" w:rsidSect="00860B52">
          <w:pgSz w:w="16840" w:h="11907" w:orient="landscape" w:code="9"/>
          <w:pgMar w:top="1134" w:right="1134" w:bottom="1134" w:left="1134" w:header="567" w:footer="567" w:gutter="0"/>
          <w:cols w:space="708"/>
          <w:docGrid w:linePitch="360"/>
        </w:sectPr>
      </w:pPr>
    </w:p>
    <w:p w:rsidR="003473CB" w:rsidRPr="00C36C8F" w:rsidRDefault="003473CB" w:rsidP="003473CB">
      <w:pPr>
        <w:pStyle w:val="Heading1"/>
        <w:numPr>
          <w:ilvl w:val="0"/>
          <w:numId w:val="0"/>
        </w:numPr>
        <w:ind w:left="1134" w:hanging="1134"/>
      </w:pPr>
    </w:p>
    <w:p w:rsidR="003473CB" w:rsidRPr="00C36C8F" w:rsidRDefault="003473CB" w:rsidP="003473CB">
      <w:pPr>
        <w:pStyle w:val="Heading1"/>
        <w:numPr>
          <w:ilvl w:val="0"/>
          <w:numId w:val="0"/>
        </w:numPr>
        <w:ind w:left="1134" w:hanging="1134"/>
      </w:pPr>
    </w:p>
    <w:p w:rsidR="003473CB" w:rsidRPr="00C36C8F" w:rsidRDefault="003473CB" w:rsidP="003473CB">
      <w:pPr>
        <w:pStyle w:val="Heading1"/>
        <w:numPr>
          <w:ilvl w:val="0"/>
          <w:numId w:val="0"/>
        </w:numPr>
        <w:ind w:left="1134" w:hanging="1134"/>
      </w:pPr>
    </w:p>
    <w:p w:rsidR="003473CB" w:rsidRPr="00C36C8F" w:rsidRDefault="003473CB" w:rsidP="003473CB">
      <w:pPr>
        <w:pStyle w:val="Heading1"/>
        <w:numPr>
          <w:ilvl w:val="0"/>
          <w:numId w:val="0"/>
        </w:numPr>
        <w:ind w:left="1701" w:hanging="1134"/>
      </w:pPr>
      <w:bookmarkStart w:id="304" w:name="_Toc325020133"/>
      <w:bookmarkStart w:id="305" w:name="_Toc305049781"/>
      <w:r w:rsidRPr="00C36C8F">
        <w:t>APPENDIX 2: The Method Report</w:t>
      </w:r>
      <w:bookmarkEnd w:id="304"/>
      <w:bookmarkEnd w:id="305"/>
    </w:p>
    <w:p w:rsidR="003473CB" w:rsidRPr="00C36C8F" w:rsidRDefault="003473CB" w:rsidP="00356C27">
      <w:pPr>
        <w:pStyle w:val="ParaIndent"/>
        <w:ind w:left="567"/>
        <w:rPr>
          <w:i/>
          <w:sz w:val="28"/>
          <w:szCs w:val="28"/>
        </w:rPr>
      </w:pPr>
      <w:r w:rsidRPr="00C36C8F">
        <w:rPr>
          <w:i/>
          <w:sz w:val="28"/>
          <w:szCs w:val="28"/>
        </w:rPr>
        <w:t>National Waste and Recycling Reporting – A more uniform approach to data</w:t>
      </w:r>
      <w:r w:rsidRPr="00C36C8F">
        <w:rPr>
          <w:sz w:val="28"/>
          <w:szCs w:val="28"/>
        </w:rPr>
        <w:t xml:space="preserve"> (the Method Report) was </w:t>
      </w:r>
      <w:r w:rsidR="00356C27" w:rsidRPr="00C36C8F">
        <w:rPr>
          <w:sz w:val="28"/>
          <w:szCs w:val="28"/>
        </w:rPr>
        <w:t xml:space="preserve">developed </w:t>
      </w:r>
      <w:r w:rsidRPr="00C36C8F">
        <w:rPr>
          <w:sz w:val="28"/>
          <w:szCs w:val="28"/>
        </w:rPr>
        <w:t>in 2010 and contained recommendations for a more consistent compilation o</w:t>
      </w:r>
      <w:r w:rsidR="00356C27" w:rsidRPr="00C36C8F">
        <w:rPr>
          <w:sz w:val="28"/>
          <w:szCs w:val="28"/>
        </w:rPr>
        <w:t xml:space="preserve">f state and territory datasets. The recommendations of the method report were tested in the compilation of </w:t>
      </w:r>
      <w:r w:rsidR="00356C27" w:rsidRPr="00C36C8F">
        <w:rPr>
          <w:i/>
          <w:sz w:val="28"/>
          <w:szCs w:val="28"/>
        </w:rPr>
        <w:t>Waste and Recycling in Australia 2011.</w:t>
      </w:r>
    </w:p>
    <w:p w:rsidR="00356C27" w:rsidRPr="00C36C8F" w:rsidRDefault="00356C27" w:rsidP="00356C27">
      <w:pPr>
        <w:pStyle w:val="ParaIndent"/>
        <w:ind w:left="567"/>
        <w:rPr>
          <w:sz w:val="28"/>
          <w:szCs w:val="28"/>
        </w:rPr>
      </w:pPr>
      <w:r w:rsidRPr="00C36C8F">
        <w:rPr>
          <w:sz w:val="28"/>
          <w:szCs w:val="28"/>
        </w:rPr>
        <w:t xml:space="preserve">For the most part, the recommendations contained in the method report were found to be appropriate for the compilation of the jurisdictions data. However, a number of further refinements </w:t>
      </w:r>
      <w:r w:rsidR="006F14C5" w:rsidRPr="00C36C8F">
        <w:rPr>
          <w:sz w:val="28"/>
          <w:szCs w:val="28"/>
        </w:rPr>
        <w:t xml:space="preserve">are </w:t>
      </w:r>
      <w:r w:rsidRPr="00C36C8F">
        <w:rPr>
          <w:sz w:val="28"/>
          <w:szCs w:val="28"/>
        </w:rPr>
        <w:t xml:space="preserve">described in Section </w:t>
      </w:r>
      <w:fldSimple w:instr=" REF _Ref295210521 \r \h  \* MERGEFORMAT ">
        <w:r w:rsidR="00AE7E3B">
          <w:t>3</w:t>
        </w:r>
      </w:fldSimple>
      <w:r w:rsidRPr="00C36C8F">
        <w:rPr>
          <w:sz w:val="28"/>
          <w:szCs w:val="28"/>
        </w:rPr>
        <w:t xml:space="preserve"> of </w:t>
      </w:r>
      <w:r w:rsidRPr="00C36C8F">
        <w:rPr>
          <w:i/>
          <w:sz w:val="28"/>
          <w:szCs w:val="28"/>
        </w:rPr>
        <w:t>Waste and Recycling in Australia 2011.</w:t>
      </w:r>
    </w:p>
    <w:p w:rsidR="00356C27" w:rsidRPr="00C36C8F" w:rsidRDefault="00356C27" w:rsidP="00356C27">
      <w:pPr>
        <w:pStyle w:val="ParaIndent"/>
        <w:ind w:left="567"/>
        <w:rPr>
          <w:sz w:val="28"/>
          <w:szCs w:val="28"/>
        </w:rPr>
      </w:pPr>
      <w:r w:rsidRPr="00C36C8F">
        <w:rPr>
          <w:sz w:val="28"/>
          <w:szCs w:val="28"/>
        </w:rPr>
        <w:t xml:space="preserve">The method report should therefore only be read in conjunction with </w:t>
      </w:r>
      <w:r w:rsidRPr="00C36C8F">
        <w:rPr>
          <w:i/>
          <w:sz w:val="28"/>
          <w:szCs w:val="28"/>
        </w:rPr>
        <w:t>Waste and Recycling in Australia 2011</w:t>
      </w:r>
      <w:r w:rsidRPr="00C36C8F">
        <w:rPr>
          <w:sz w:val="28"/>
          <w:szCs w:val="28"/>
        </w:rPr>
        <w:t>.</w:t>
      </w:r>
    </w:p>
    <w:p w:rsidR="000F2262" w:rsidRDefault="000F2262">
      <w:pPr>
        <w:spacing w:after="0" w:line="240" w:lineRule="auto"/>
        <w:ind w:left="0"/>
        <w:sectPr w:rsidR="000F2262" w:rsidSect="00860B52">
          <w:pgSz w:w="11907" w:h="16840" w:code="9"/>
          <w:pgMar w:top="1134" w:right="1134" w:bottom="1134" w:left="1134" w:header="567" w:footer="567" w:gutter="0"/>
          <w:cols w:space="708"/>
          <w:docGrid w:linePitch="360"/>
        </w:sectPr>
      </w:pPr>
    </w:p>
    <w:tbl>
      <w:tblPr>
        <w:tblW w:w="9639" w:type="dxa"/>
        <w:tblLayout w:type="fixed"/>
        <w:tblCellMar>
          <w:left w:w="0" w:type="dxa"/>
          <w:right w:w="0" w:type="dxa"/>
        </w:tblCellMar>
        <w:tblLook w:val="01E0"/>
      </w:tblPr>
      <w:tblGrid>
        <w:gridCol w:w="4819"/>
        <w:gridCol w:w="4820"/>
      </w:tblGrid>
      <w:tr w:rsidR="00D033D3" w:rsidRPr="0036689C" w:rsidTr="00D033D3">
        <w:trPr>
          <w:cantSplit/>
        </w:trPr>
        <w:tc>
          <w:tcPr>
            <w:tcW w:w="4819" w:type="dxa"/>
          </w:tcPr>
          <w:p w:rsidR="00D033D3" w:rsidRPr="0036689C" w:rsidRDefault="00D033D3" w:rsidP="00F90F97">
            <w:pPr>
              <w:pStyle w:val="Info"/>
            </w:pPr>
            <w:r>
              <w:t xml:space="preserve"> </w:t>
            </w:r>
          </w:p>
        </w:tc>
        <w:tc>
          <w:tcPr>
            <w:tcW w:w="4820" w:type="dxa"/>
          </w:tcPr>
          <w:p w:rsidR="00D033D3" w:rsidRPr="0036689C" w:rsidRDefault="00D033D3" w:rsidP="00D033D3">
            <w:pPr>
              <w:pStyle w:val="ParaMargin"/>
              <w:jc w:val="right"/>
            </w:pPr>
            <w:r>
              <w:rPr>
                <w:noProof/>
                <w:lang w:eastAsia="en-AU"/>
              </w:rPr>
              <w:drawing>
                <wp:inline distT="0" distB="0" distL="0" distR="0">
                  <wp:extent cx="1256030" cy="858520"/>
                  <wp:effectExtent l="19050" t="0" r="1270" b="0"/>
                  <wp:docPr id="45" name="Picture 45"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erLogo_Blue_LowRes"/>
                          <pic:cNvPicPr>
                            <a:picLocks noChangeAspect="1" noChangeArrowheads="1"/>
                          </pic:cNvPicPr>
                        </pic:nvPicPr>
                        <pic:blipFill>
                          <a:blip r:embed="rId76" cstate="print"/>
                          <a:srcRect/>
                          <a:stretch>
                            <a:fillRect/>
                          </a:stretch>
                        </pic:blipFill>
                        <pic:spPr bwMode="auto">
                          <a:xfrm>
                            <a:off x="0" y="0"/>
                            <a:ext cx="1256030" cy="858520"/>
                          </a:xfrm>
                          <a:prstGeom prst="rect">
                            <a:avLst/>
                          </a:prstGeom>
                          <a:noFill/>
                          <a:ln w="9525">
                            <a:noFill/>
                            <a:miter lim="800000"/>
                            <a:headEnd/>
                            <a:tailEnd/>
                          </a:ln>
                        </pic:spPr>
                      </pic:pic>
                    </a:graphicData>
                  </a:graphic>
                </wp:inline>
              </w:drawing>
            </w:r>
          </w:p>
        </w:tc>
      </w:tr>
      <w:tr w:rsidR="00D033D3" w:rsidRPr="0036689C" w:rsidTr="00D033D3">
        <w:trPr>
          <w:cantSplit/>
        </w:trPr>
        <w:tc>
          <w:tcPr>
            <w:tcW w:w="9639" w:type="dxa"/>
            <w:gridSpan w:val="2"/>
          </w:tcPr>
          <w:p w:rsidR="00D033D3" w:rsidRDefault="00D033D3" w:rsidP="00737A4B">
            <w:pPr>
              <w:pStyle w:val="ParaMargin"/>
            </w:pPr>
          </w:p>
          <w:p w:rsidR="00D033D3" w:rsidRDefault="00D033D3" w:rsidP="00737A4B">
            <w:pPr>
              <w:pStyle w:val="ParaMargin"/>
            </w:pPr>
          </w:p>
          <w:p w:rsidR="00D033D3" w:rsidRDefault="00D033D3" w:rsidP="00737A4B">
            <w:pPr>
              <w:pStyle w:val="ParaMargin"/>
            </w:pPr>
          </w:p>
          <w:p w:rsidR="00D033D3" w:rsidRDefault="00D033D3" w:rsidP="00737A4B">
            <w:pPr>
              <w:pStyle w:val="ParaMargin"/>
            </w:pPr>
          </w:p>
          <w:p w:rsidR="00D033D3" w:rsidRDefault="00D033D3" w:rsidP="00737A4B">
            <w:pPr>
              <w:pStyle w:val="ParaMargin"/>
            </w:pPr>
          </w:p>
          <w:p w:rsidR="00D033D3" w:rsidRDefault="00D033D3" w:rsidP="00737A4B">
            <w:pPr>
              <w:pStyle w:val="ParaMargin"/>
            </w:pPr>
          </w:p>
          <w:p w:rsidR="00D033D3" w:rsidRPr="0036689C" w:rsidRDefault="00D033D3" w:rsidP="00737A4B">
            <w:pPr>
              <w:pStyle w:val="ParaMargin"/>
            </w:pPr>
          </w:p>
        </w:tc>
      </w:tr>
      <w:tr w:rsidR="00D033D3" w:rsidRPr="0036689C" w:rsidTr="00D033D3">
        <w:trPr>
          <w:cantSplit/>
        </w:trPr>
        <w:tc>
          <w:tcPr>
            <w:tcW w:w="9639" w:type="dxa"/>
            <w:gridSpan w:val="2"/>
          </w:tcPr>
          <w:p w:rsidR="00D033D3" w:rsidRPr="0036689C" w:rsidRDefault="00B9555F" w:rsidP="008503D1">
            <w:pPr>
              <w:pStyle w:val="HeadingTitle"/>
            </w:pPr>
            <w:fldSimple w:instr=" DOCPROPERTY &quot;Client&quot;  \* MERGEFORMAT ">
              <w:r w:rsidR="004B221A">
                <w:t>Department of Sustainability, Environment, Water, Population and Communities</w:t>
              </w:r>
            </w:fldSimple>
          </w:p>
        </w:tc>
      </w:tr>
      <w:tr w:rsidR="00D033D3" w:rsidRPr="0036689C" w:rsidTr="00D033D3">
        <w:trPr>
          <w:cantSplit/>
        </w:trPr>
        <w:tc>
          <w:tcPr>
            <w:tcW w:w="9639" w:type="dxa"/>
            <w:gridSpan w:val="2"/>
          </w:tcPr>
          <w:p w:rsidR="00D033D3" w:rsidRPr="0036689C" w:rsidRDefault="00B9555F" w:rsidP="008503D1">
            <w:pPr>
              <w:pStyle w:val="HeadingTitle"/>
            </w:pPr>
            <w:fldSimple w:instr=" DOCPROPERTY &quot;Project&quot;  \* MERGEFORMAT ">
              <w:r w:rsidR="004B221A">
                <w:t>Waste and recycling in Australia 2011</w:t>
              </w:r>
            </w:fldSimple>
          </w:p>
        </w:tc>
      </w:tr>
      <w:tr w:rsidR="00D033D3" w:rsidRPr="0036689C" w:rsidTr="00D033D3">
        <w:trPr>
          <w:cantSplit/>
        </w:trPr>
        <w:tc>
          <w:tcPr>
            <w:tcW w:w="9639" w:type="dxa"/>
            <w:gridSpan w:val="2"/>
          </w:tcPr>
          <w:p w:rsidR="00D033D3" w:rsidRPr="0036689C" w:rsidRDefault="00B9555F" w:rsidP="008503D1">
            <w:pPr>
              <w:pStyle w:val="HeadingSub"/>
            </w:pPr>
            <w:fldSimple w:instr=" DOCPROPERTY &quot;Title&quot;  \* MERGEFORMAT ">
              <w:r w:rsidR="004B221A">
                <w:t>Incorporating a revised method for compiling waste and recycling data</w:t>
              </w:r>
            </w:fldSimple>
          </w:p>
        </w:tc>
      </w:tr>
      <w:tr w:rsidR="00D033D3" w:rsidRPr="0036689C" w:rsidTr="00D033D3">
        <w:trPr>
          <w:cantSplit/>
        </w:trPr>
        <w:tc>
          <w:tcPr>
            <w:tcW w:w="9639" w:type="dxa"/>
            <w:gridSpan w:val="2"/>
          </w:tcPr>
          <w:p w:rsidR="00D033D3" w:rsidRPr="0036689C" w:rsidRDefault="00B9555F" w:rsidP="00737A4B">
            <w:pPr>
              <w:pStyle w:val="ParaMargin"/>
            </w:pPr>
            <w:r>
              <w:rPr>
                <w:noProof/>
                <w:lang w:eastAsia="en-AU"/>
              </w:rPr>
            </w:r>
            <w:r>
              <w:rPr>
                <w:noProof/>
                <w:lang w:eastAsia="en-AU"/>
              </w:rPr>
              <w:pict>
                <v:polyline id="Freeform 25" o:spid="_x0000_s1049"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" filled="f" strokecolor="#00519e" strokeweight="1pt">
                  <v:path arrowok="t" o:connecttype="custom" o:connectlocs="0,0;2147483647,0;2147483647,116935250;2147483647,116935250" o:connectangles="0,0,0,0"/>
                  <w10:wrap type="none"/>
                  <w10:anchorlock/>
                </v:polyline>
              </w:pict>
            </w:r>
          </w:p>
        </w:tc>
      </w:tr>
      <w:tr w:rsidR="00D033D3" w:rsidRPr="0036689C" w:rsidTr="00D033D3">
        <w:trPr>
          <w:cantSplit/>
        </w:trPr>
        <w:tc>
          <w:tcPr>
            <w:tcW w:w="9639" w:type="dxa"/>
            <w:gridSpan w:val="2"/>
          </w:tcPr>
          <w:p w:rsidR="00D033D3" w:rsidRPr="0036689C" w:rsidRDefault="00B9555F" w:rsidP="008D2A08">
            <w:pPr>
              <w:pStyle w:val="HeadingOther"/>
            </w:pPr>
            <w:fldSimple w:instr=" DOCPROPERTY &quot;Subtitle&quot;  \* MERGEFORMAT ">
              <w:r w:rsidR="004B221A">
                <w:t>Final report</w:t>
              </w:r>
            </w:fldSimple>
          </w:p>
        </w:tc>
      </w:tr>
      <w:tr w:rsidR="00D033D3" w:rsidRPr="0036689C" w:rsidTr="00D033D3">
        <w:trPr>
          <w:cantSplit/>
        </w:trPr>
        <w:tc>
          <w:tcPr>
            <w:tcW w:w="9639" w:type="dxa"/>
            <w:gridSpan w:val="2"/>
          </w:tcPr>
          <w:p w:rsidR="00D033D3" w:rsidRPr="0036689C" w:rsidRDefault="00D033D3" w:rsidP="00D033D3">
            <w:pPr>
              <w:pStyle w:val="PathFileName"/>
            </w:pPr>
          </w:p>
        </w:tc>
      </w:tr>
    </w:tbl>
    <w:p w:rsidR="00D033D3" w:rsidRPr="0036689C" w:rsidRDefault="00D033D3" w:rsidP="00737A4B">
      <w:pPr>
        <w:pStyle w:val="ParaMargin"/>
      </w:pPr>
    </w:p>
    <w:p w:rsidR="00D033D3" w:rsidRPr="0036689C" w:rsidRDefault="00D033D3" w:rsidP="00737A4B">
      <w:pPr>
        <w:pStyle w:val="ParaMargin"/>
        <w:sectPr w:rsidR="00D033D3" w:rsidRPr="0036689C" w:rsidSect="00860B52">
          <w:headerReference w:type="even" r:id="rId77"/>
          <w:footerReference w:type="even" r:id="rId78"/>
          <w:footerReference w:type="default" r:id="rId79"/>
          <w:pgSz w:w="11907" w:h="16840" w:code="9"/>
          <w:pgMar w:top="1134" w:right="1134" w:bottom="1134" w:left="1134" w:header="567" w:footer="567" w:gutter="0"/>
          <w:cols w:space="708"/>
          <w:docGrid w:linePitch="360"/>
        </w:sectPr>
      </w:pPr>
    </w:p>
    <w:tbl>
      <w:tblPr>
        <w:tblW w:w="9639" w:type="dxa"/>
        <w:tblLayout w:type="fixed"/>
        <w:tblCellMar>
          <w:left w:w="0" w:type="dxa"/>
          <w:right w:w="0" w:type="dxa"/>
        </w:tblCellMar>
        <w:tblLook w:val="01E0"/>
      </w:tblPr>
      <w:tblGrid>
        <w:gridCol w:w="1700"/>
        <w:gridCol w:w="2836"/>
        <w:gridCol w:w="283"/>
        <w:gridCol w:w="4820"/>
      </w:tblGrid>
      <w:tr w:rsidR="00D033D3" w:rsidRPr="0036689C" w:rsidTr="00D033D3">
        <w:trPr>
          <w:cantSplit/>
        </w:trPr>
        <w:tc>
          <w:tcPr>
            <w:tcW w:w="4819" w:type="dxa"/>
            <w:gridSpan w:val="3"/>
          </w:tcPr>
          <w:p w:rsidR="00D033D3" w:rsidRPr="005C2F2C" w:rsidRDefault="00B9555F" w:rsidP="00D033D3">
            <w:pPr>
              <w:pStyle w:val="InfoBold"/>
              <w:rPr>
                <w:b w:val="0"/>
              </w:rPr>
            </w:pPr>
            <w:fldSimple w:instr=" INCLUDETEXT &quot;C:\\Program Files\\Microsoft Office\\Templates\\Info.doc&quot; CoName \* MERGEFORMAT ">
              <w:r w:rsidR="00D033D3" w:rsidRPr="00590B3D">
                <w:rPr>
                  <w:b w:val="0"/>
                </w:rPr>
                <w:t>Hyder Consulting Pty Ltd</w:t>
              </w:r>
            </w:fldSimple>
          </w:p>
          <w:p w:rsidR="00D033D3" w:rsidRPr="005C2F2C" w:rsidRDefault="00B9555F" w:rsidP="00D033D3">
            <w:pPr>
              <w:pStyle w:val="Info"/>
            </w:pPr>
            <w:fldSimple w:instr=" INCLUDETEXT &quot;C:\\Program Files\\Microsoft Office\\Templates\\Info.doc&quot; CoNo \* MERGEFORMAT ">
              <w:r w:rsidR="00D033D3" w:rsidRPr="00590B3D">
                <w:t>ABN</w:t>
              </w:r>
              <w:r w:rsidR="00D033D3">
                <w:t xml:space="preserve"> 76 104 485 289</w:t>
              </w:r>
            </w:fldSimple>
          </w:p>
          <w:p w:rsidR="00D033D3" w:rsidRDefault="00B9555F" w:rsidP="00D033D3">
            <w:pPr>
              <w:pStyle w:val="Info"/>
            </w:pPr>
            <w:r w:rsidRPr="004A3C7F">
              <w:fldChar w:fldCharType="begin"/>
            </w:r>
            <w:r w:rsidR="00D033D3" w:rsidRPr="004A3C7F">
              <w:instrText xml:space="preserve"> INCLUDETEXT "C:\\Program Files\\Microsoft Office\\Templates\\Info.doc" Address \* MERGEFORMAT </w:instrText>
            </w:r>
            <w:r w:rsidRPr="004A3C7F">
              <w:fldChar w:fldCharType="separate"/>
            </w:r>
            <w:r w:rsidR="00D033D3" w:rsidRPr="00590B3D">
              <w:t>Level 16, 31 Queen Street</w:t>
            </w:r>
            <w:r w:rsidR="00D033D3">
              <w:br/>
            </w:r>
            <w:r w:rsidR="00D033D3" w:rsidRPr="00182302">
              <w:t>Melbourne VIC 3000</w:t>
            </w:r>
            <w:r w:rsidR="00D033D3">
              <w:br/>
            </w:r>
            <w:r w:rsidR="00D033D3" w:rsidRPr="00182302">
              <w:t>Australia</w:t>
            </w:r>
          </w:p>
          <w:p w:rsidR="00D033D3" w:rsidRDefault="00D033D3" w:rsidP="00D033D3">
            <w:pPr>
              <w:pStyle w:val="Info"/>
            </w:pPr>
            <w:r>
              <w:t xml:space="preserve">Tel:  </w:t>
            </w:r>
            <w:r w:rsidRPr="00182302">
              <w:t>+61 3 8623 4000</w:t>
            </w:r>
          </w:p>
          <w:p w:rsidR="00D033D3" w:rsidRPr="004A3C7F" w:rsidRDefault="00D033D3" w:rsidP="00D033D3">
            <w:pPr>
              <w:pStyle w:val="Info"/>
            </w:pPr>
            <w:r>
              <w:t xml:space="preserve">Fax: </w:t>
            </w:r>
            <w:r w:rsidRPr="00182302">
              <w:t>+61 3 8623 4111</w:t>
            </w:r>
            <w:r w:rsidR="00B9555F" w:rsidRPr="004A3C7F">
              <w:fldChar w:fldCharType="end"/>
            </w:r>
          </w:p>
          <w:p w:rsidR="00D033D3" w:rsidRPr="0036689C" w:rsidRDefault="00B9555F" w:rsidP="00D033D3">
            <w:pPr>
              <w:pStyle w:val="Info"/>
            </w:pPr>
            <w:fldSimple w:instr=" INCLUDETEXT &quot;C:\\Program Files\\Microsoft Office\\Templates\\Info.doc&quot; Web \* MERGEFORMAT ">
              <w:r w:rsidR="00D033D3" w:rsidRPr="00590B3D">
                <w:t>www.hyderconsulting.com</w:t>
              </w:r>
            </w:fldSimple>
          </w:p>
        </w:tc>
        <w:tc>
          <w:tcPr>
            <w:tcW w:w="4820" w:type="dxa"/>
          </w:tcPr>
          <w:p w:rsidR="00D033D3" w:rsidRPr="0036689C" w:rsidRDefault="00D033D3" w:rsidP="00D033D3">
            <w:pPr>
              <w:pStyle w:val="ParaMargin"/>
              <w:jc w:val="right"/>
            </w:pPr>
            <w:r>
              <w:rPr>
                <w:noProof/>
                <w:lang w:eastAsia="en-AU"/>
              </w:rPr>
              <w:drawing>
                <wp:inline distT="0" distB="0" distL="0" distR="0">
                  <wp:extent cx="1256030" cy="858520"/>
                  <wp:effectExtent l="19050" t="0" r="1270" b="0"/>
                  <wp:docPr id="46" name="Picture 46"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yderLogo_Blue_LowRes"/>
                          <pic:cNvPicPr>
                            <a:picLocks noChangeAspect="1" noChangeArrowheads="1"/>
                          </pic:cNvPicPr>
                        </pic:nvPicPr>
                        <pic:blipFill>
                          <a:blip r:embed="rId76" cstate="print"/>
                          <a:srcRect/>
                          <a:stretch>
                            <a:fillRect/>
                          </a:stretch>
                        </pic:blipFill>
                        <pic:spPr bwMode="auto">
                          <a:xfrm>
                            <a:off x="0" y="0"/>
                            <a:ext cx="1256030" cy="858520"/>
                          </a:xfrm>
                          <a:prstGeom prst="rect">
                            <a:avLst/>
                          </a:prstGeom>
                          <a:noFill/>
                          <a:ln w="9525">
                            <a:noFill/>
                            <a:miter lim="800000"/>
                            <a:headEnd/>
                            <a:tailEnd/>
                          </a:ln>
                        </pic:spPr>
                      </pic:pic>
                    </a:graphicData>
                  </a:graphic>
                </wp:inline>
              </w:drawing>
            </w:r>
          </w:p>
        </w:tc>
      </w:tr>
      <w:tr w:rsidR="00D033D3" w:rsidRPr="0036689C" w:rsidTr="00D033D3">
        <w:trPr>
          <w:cantSplit/>
        </w:trPr>
        <w:tc>
          <w:tcPr>
            <w:tcW w:w="9639" w:type="dxa"/>
            <w:gridSpan w:val="4"/>
          </w:tcPr>
          <w:p w:rsidR="00D033D3" w:rsidRPr="0036689C" w:rsidRDefault="00D033D3" w:rsidP="008503D1">
            <w:pPr>
              <w:pStyle w:val="ParaMargin"/>
            </w:pPr>
          </w:p>
        </w:tc>
      </w:tr>
      <w:tr w:rsidR="00D033D3" w:rsidRPr="00D033D3" w:rsidTr="00D033D3">
        <w:trPr>
          <w:cantSplit/>
        </w:trPr>
        <w:tc>
          <w:tcPr>
            <w:tcW w:w="9639" w:type="dxa"/>
            <w:gridSpan w:val="4"/>
          </w:tcPr>
          <w:p w:rsidR="00D033D3" w:rsidRPr="00D033D3" w:rsidRDefault="00B9555F" w:rsidP="008503D1">
            <w:pPr>
              <w:pStyle w:val="HeadingTitle"/>
              <w:rPr>
                <w:sz w:val="36"/>
                <w:szCs w:val="36"/>
              </w:rPr>
            </w:pPr>
            <w:fldSimple w:instr=" DOCPROPERTY &quot;Client&quot;  \* MERGEFORMAT ">
              <w:r w:rsidR="004B221A" w:rsidRPr="004B221A">
                <w:rPr>
                  <w:sz w:val="36"/>
                  <w:szCs w:val="36"/>
                </w:rPr>
                <w:t>Department of Sustainability, Environment, Water, Population and Communities</w:t>
              </w:r>
            </w:fldSimple>
          </w:p>
        </w:tc>
      </w:tr>
      <w:tr w:rsidR="00D033D3" w:rsidRPr="00D033D3" w:rsidTr="00D033D3">
        <w:trPr>
          <w:cantSplit/>
        </w:trPr>
        <w:tc>
          <w:tcPr>
            <w:tcW w:w="9639" w:type="dxa"/>
            <w:gridSpan w:val="4"/>
          </w:tcPr>
          <w:p w:rsidR="00D033D3" w:rsidRPr="00D033D3" w:rsidRDefault="00B9555F" w:rsidP="008503D1">
            <w:pPr>
              <w:pStyle w:val="HeadingTitle"/>
              <w:rPr>
                <w:sz w:val="36"/>
                <w:szCs w:val="36"/>
              </w:rPr>
            </w:pPr>
            <w:fldSimple w:instr=" DOCPROPERTY &quot;Project&quot;  \* MERGEFORMAT ">
              <w:r w:rsidR="004B221A" w:rsidRPr="004B221A">
                <w:rPr>
                  <w:sz w:val="36"/>
                  <w:szCs w:val="36"/>
                </w:rPr>
                <w:t>Waste and recycling in Australia</w:t>
              </w:r>
              <w:r w:rsidR="004B221A">
                <w:t xml:space="preserve"> 2011</w:t>
              </w:r>
            </w:fldSimple>
          </w:p>
        </w:tc>
      </w:tr>
      <w:tr w:rsidR="00D033D3" w:rsidRPr="00D033D3" w:rsidTr="00D033D3">
        <w:trPr>
          <w:cantSplit/>
        </w:trPr>
        <w:tc>
          <w:tcPr>
            <w:tcW w:w="9639" w:type="dxa"/>
            <w:gridSpan w:val="4"/>
          </w:tcPr>
          <w:p w:rsidR="00D033D3" w:rsidRPr="00D033D3" w:rsidRDefault="00B9555F" w:rsidP="008503D1">
            <w:pPr>
              <w:pStyle w:val="HeadingSub"/>
              <w:rPr>
                <w:sz w:val="36"/>
                <w:szCs w:val="36"/>
              </w:rPr>
            </w:pPr>
            <w:fldSimple w:instr=" DOCPROPERTY &quot;Title&quot;  \* MERGEFORMAT ">
              <w:r w:rsidR="004B221A" w:rsidRPr="004B221A">
                <w:rPr>
                  <w:sz w:val="36"/>
                  <w:szCs w:val="36"/>
                </w:rPr>
                <w:t>Incorporating a revised method for compiling</w:t>
              </w:r>
              <w:r w:rsidR="004B221A">
                <w:t xml:space="preserve"> waste and recycling data</w:t>
              </w:r>
            </w:fldSimple>
          </w:p>
        </w:tc>
      </w:tr>
      <w:tr w:rsidR="00D033D3" w:rsidRPr="0036689C" w:rsidTr="00D033D3">
        <w:trPr>
          <w:cantSplit/>
        </w:trPr>
        <w:tc>
          <w:tcPr>
            <w:tcW w:w="9639" w:type="dxa"/>
            <w:gridSpan w:val="4"/>
          </w:tcPr>
          <w:p w:rsidR="00D033D3" w:rsidRPr="0036689C" w:rsidRDefault="00B9555F" w:rsidP="008503D1">
            <w:pPr>
              <w:pStyle w:val="ParaMargin"/>
            </w:pPr>
            <w:r>
              <w:rPr>
                <w:noProof/>
                <w:lang w:eastAsia="en-AU"/>
              </w:rPr>
            </w:r>
            <w:r>
              <w:rPr>
                <w:noProof/>
                <w:lang w:eastAsia="en-AU"/>
              </w:rPr>
              <w:pict>
                <v:polyline id="Freeform 24" o:spid="_x0000_s1048"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" filled="f" strokecolor="#00519e" strokeweight="1pt">
                  <v:path arrowok="t" o:connecttype="custom" o:connectlocs="0,0;2147483647,0;2147483647,116935250;2147483647,116935250" o:connectangles="0,0,0,0"/>
                  <w10:wrap type="none"/>
                  <w10:anchorlock/>
                </v:polyline>
              </w:pict>
            </w:r>
          </w:p>
        </w:tc>
      </w:tr>
      <w:tr w:rsidR="00D033D3" w:rsidRPr="0036689C" w:rsidTr="00D033D3">
        <w:trPr>
          <w:cantSplit/>
        </w:trPr>
        <w:tc>
          <w:tcPr>
            <w:tcW w:w="9639" w:type="dxa"/>
            <w:gridSpan w:val="4"/>
          </w:tcPr>
          <w:p w:rsidR="00D033D3" w:rsidRPr="0036689C" w:rsidRDefault="00B9555F" w:rsidP="008503D1">
            <w:pPr>
              <w:pStyle w:val="HeadingOther"/>
            </w:pPr>
            <w:fldSimple w:instr=" DOCPROPERTY &quot;Subtitle&quot;  \* MERGEFORMAT ">
              <w:r w:rsidR="004B221A">
                <w:t>Final report</w:t>
              </w:r>
            </w:fldSimple>
          </w:p>
        </w:tc>
      </w:tr>
      <w:tr w:rsidR="00D033D3" w:rsidRPr="0036689C" w:rsidTr="00D033D3">
        <w:trPr>
          <w:cantSplit/>
          <w:trHeight w:val="851"/>
        </w:trPr>
        <w:tc>
          <w:tcPr>
            <w:tcW w:w="1700" w:type="dxa"/>
            <w:vAlign w:val="center"/>
          </w:tcPr>
          <w:p w:rsidR="00D033D3" w:rsidRPr="004A3C7F" w:rsidRDefault="00D033D3" w:rsidP="00D033D3">
            <w:pPr>
              <w:pStyle w:val="ParaMargin"/>
              <w:spacing w:before="60" w:after="60"/>
              <w:rPr>
                <w:b/>
              </w:rPr>
            </w:pPr>
            <w:r>
              <w:rPr>
                <w:b/>
              </w:rPr>
              <w:t>Author</w:t>
            </w:r>
          </w:p>
        </w:tc>
        <w:tc>
          <w:tcPr>
            <w:tcW w:w="2836" w:type="dxa"/>
            <w:vAlign w:val="center"/>
          </w:tcPr>
          <w:p w:rsidR="00D033D3" w:rsidRPr="009F5575" w:rsidRDefault="00B9555F" w:rsidP="00D033D3">
            <w:pPr>
              <w:pStyle w:val="ParaMargin"/>
              <w:spacing w:before="60" w:after="60"/>
            </w:pPr>
            <w:fldSimple w:instr=" DOCPROPERTY &quot;Author&quot;  \* MERGEFORMAT ">
              <w:r w:rsidR="004B221A">
                <w:t>Katherine Smith, Kyle O'Farrell, Fraser Brindley</w:t>
              </w:r>
            </w:fldSimple>
            <w:r w:rsidR="00D033D3">
              <w:t>, Peter Allan</w:t>
            </w:r>
            <w:r w:rsidR="00D033D3" w:rsidRPr="009F5575">
              <w:t xml:space="preserve"> </w:t>
            </w:r>
          </w:p>
        </w:tc>
        <w:tc>
          <w:tcPr>
            <w:tcW w:w="5103" w:type="dxa"/>
            <w:gridSpan w:val="2"/>
            <w:vAlign w:val="center"/>
          </w:tcPr>
          <w:p w:rsidR="00D033D3" w:rsidRPr="009F5575" w:rsidRDefault="00D033D3" w:rsidP="00D033D3">
            <w:pPr>
              <w:pStyle w:val="ParaMargin"/>
              <w:spacing w:before="60" w:after="60"/>
            </w:pPr>
            <w:r w:rsidRPr="009F5575">
              <w:rPr>
                <w:noProof/>
                <w:lang w:eastAsia="en-AU"/>
              </w:rPr>
              <w:drawing>
                <wp:inline distT="0" distB="0" distL="0" distR="0">
                  <wp:extent cx="921229" cy="751156"/>
                  <wp:effectExtent l="19050" t="0" r="0" b="0"/>
                  <wp:docPr id="47" name="Picture 3" descr="Fraser Brin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ser Brindley.JPG"/>
                          <pic:cNvPicPr/>
                        </pic:nvPicPr>
                        <pic:blipFill>
                          <a:blip r:embed="rId80" cstate="print"/>
                          <a:stretch>
                            <a:fillRect/>
                          </a:stretch>
                        </pic:blipFill>
                        <pic:spPr>
                          <a:xfrm>
                            <a:off x="0" y="0"/>
                            <a:ext cx="917269" cy="747927"/>
                          </a:xfrm>
                          <a:prstGeom prst="rect">
                            <a:avLst/>
                          </a:prstGeom>
                        </pic:spPr>
                      </pic:pic>
                    </a:graphicData>
                  </a:graphic>
                </wp:inline>
              </w:drawing>
            </w:r>
            <w:r w:rsidRPr="009F5575">
              <w:t xml:space="preserve">     </w:t>
            </w:r>
            <w:r>
              <w:t xml:space="preserve">     </w:t>
            </w:r>
            <w:r w:rsidRPr="009F5575">
              <w:rPr>
                <w:noProof/>
                <w:lang w:eastAsia="en-AU"/>
              </w:rPr>
              <w:drawing>
                <wp:inline distT="0" distB="0" distL="0" distR="0">
                  <wp:extent cx="1697607" cy="534838"/>
                  <wp:effectExtent l="19050" t="0" r="0" b="0"/>
                  <wp:docPr id="49" name="Picture 4" descr="Allan, P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n, Peter.jpg"/>
                          <pic:cNvPicPr/>
                        </pic:nvPicPr>
                        <pic:blipFill>
                          <a:blip r:embed="rId81" cstate="print"/>
                          <a:stretch>
                            <a:fillRect/>
                          </a:stretch>
                        </pic:blipFill>
                        <pic:spPr>
                          <a:xfrm>
                            <a:off x="0" y="0"/>
                            <a:ext cx="1697607" cy="534838"/>
                          </a:xfrm>
                          <a:prstGeom prst="rect">
                            <a:avLst/>
                          </a:prstGeom>
                        </pic:spPr>
                      </pic:pic>
                    </a:graphicData>
                  </a:graphic>
                </wp:inline>
              </w:drawing>
            </w:r>
          </w:p>
        </w:tc>
      </w:tr>
      <w:tr w:rsidR="00D033D3" w:rsidRPr="0036689C" w:rsidTr="00D033D3">
        <w:trPr>
          <w:cantSplit/>
          <w:trHeight w:val="851"/>
        </w:trPr>
        <w:tc>
          <w:tcPr>
            <w:tcW w:w="1700" w:type="dxa"/>
            <w:vAlign w:val="center"/>
          </w:tcPr>
          <w:p w:rsidR="00D033D3" w:rsidRPr="004A3C7F" w:rsidRDefault="00D033D3" w:rsidP="00D033D3">
            <w:pPr>
              <w:pStyle w:val="ParaMargin"/>
              <w:spacing w:before="60" w:after="60"/>
              <w:rPr>
                <w:b/>
              </w:rPr>
            </w:pPr>
            <w:r w:rsidRPr="004A3C7F">
              <w:rPr>
                <w:b/>
              </w:rPr>
              <w:t>Checker</w:t>
            </w:r>
          </w:p>
        </w:tc>
        <w:tc>
          <w:tcPr>
            <w:tcW w:w="2836" w:type="dxa"/>
            <w:vAlign w:val="center"/>
          </w:tcPr>
          <w:p w:rsidR="00D033D3" w:rsidRPr="009F5575" w:rsidRDefault="00B9555F" w:rsidP="00D033D3">
            <w:pPr>
              <w:pStyle w:val="ParaMargin"/>
              <w:spacing w:before="60" w:after="60"/>
            </w:pPr>
            <w:fldSimple w:instr=" DOCPROPERTY &quot;Checker&quot;  \* MERGEFORMAT ">
              <w:r w:rsidR="004B221A">
                <w:t>Paul Randell, Garth Lamb, Ylva Engqvist</w:t>
              </w:r>
            </w:fldSimple>
          </w:p>
        </w:tc>
        <w:tc>
          <w:tcPr>
            <w:tcW w:w="5103" w:type="dxa"/>
            <w:gridSpan w:val="2"/>
            <w:vAlign w:val="center"/>
          </w:tcPr>
          <w:p w:rsidR="00D033D3" w:rsidRPr="009F5575" w:rsidRDefault="00D033D3" w:rsidP="00D033D3">
            <w:pPr>
              <w:pStyle w:val="ParaMargin"/>
              <w:spacing w:before="60" w:after="60"/>
            </w:pPr>
            <w:r w:rsidRPr="009F5575">
              <w:rPr>
                <w:noProof/>
                <w:lang w:eastAsia="en-AU"/>
              </w:rPr>
              <w:drawing>
                <wp:inline distT="0" distB="0" distL="0" distR="0">
                  <wp:extent cx="1442857" cy="569344"/>
                  <wp:effectExtent l="19050" t="0" r="4943" b="0"/>
                  <wp:docPr id="50" name="Picture 10" descr="Paul%20Ran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20Randell.JPG"/>
                          <pic:cNvPicPr/>
                        </pic:nvPicPr>
                        <pic:blipFill>
                          <a:blip r:embed="rId82" cstate="print"/>
                          <a:stretch>
                            <a:fillRect/>
                          </a:stretch>
                        </pic:blipFill>
                        <pic:spPr>
                          <a:xfrm>
                            <a:off x="0" y="0"/>
                            <a:ext cx="1441039" cy="568627"/>
                          </a:xfrm>
                          <a:prstGeom prst="rect">
                            <a:avLst/>
                          </a:prstGeom>
                        </pic:spPr>
                      </pic:pic>
                    </a:graphicData>
                  </a:graphic>
                </wp:inline>
              </w:drawing>
            </w:r>
            <w:r w:rsidRPr="009F5575">
              <w:t xml:space="preserve">  </w:t>
            </w:r>
            <w:r w:rsidRPr="009F5575">
              <w:rPr>
                <w:noProof/>
                <w:lang w:eastAsia="en-AU"/>
              </w:rPr>
              <w:drawing>
                <wp:inline distT="0" distB="0" distL="0" distR="0">
                  <wp:extent cx="1412935" cy="490545"/>
                  <wp:effectExtent l="19050" t="0" r="0" b="0"/>
                  <wp:docPr id="52" name="Picture 5" descr="O'Farrell, K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arrell, Kyle.jpg"/>
                          <pic:cNvPicPr/>
                        </pic:nvPicPr>
                        <pic:blipFill>
                          <a:blip r:embed="rId83" cstate="print"/>
                          <a:stretch>
                            <a:fillRect/>
                          </a:stretch>
                        </pic:blipFill>
                        <pic:spPr>
                          <a:xfrm>
                            <a:off x="0" y="0"/>
                            <a:ext cx="1413245" cy="490653"/>
                          </a:xfrm>
                          <a:prstGeom prst="rect">
                            <a:avLst/>
                          </a:prstGeom>
                        </pic:spPr>
                      </pic:pic>
                    </a:graphicData>
                  </a:graphic>
                </wp:inline>
              </w:drawing>
            </w:r>
          </w:p>
        </w:tc>
      </w:tr>
      <w:tr w:rsidR="00D033D3" w:rsidRPr="0036689C" w:rsidTr="00D033D3">
        <w:trPr>
          <w:cantSplit/>
          <w:trHeight w:val="851"/>
        </w:trPr>
        <w:tc>
          <w:tcPr>
            <w:tcW w:w="1700" w:type="dxa"/>
            <w:vAlign w:val="center"/>
          </w:tcPr>
          <w:p w:rsidR="00D033D3" w:rsidRPr="004A3C7F" w:rsidRDefault="00D033D3" w:rsidP="00D033D3">
            <w:pPr>
              <w:pStyle w:val="ParaMargin"/>
              <w:spacing w:before="60" w:after="60"/>
              <w:rPr>
                <w:b/>
              </w:rPr>
            </w:pPr>
            <w:r w:rsidRPr="004A3C7F">
              <w:rPr>
                <w:b/>
              </w:rPr>
              <w:t>Approver</w:t>
            </w:r>
          </w:p>
        </w:tc>
        <w:tc>
          <w:tcPr>
            <w:tcW w:w="2836" w:type="dxa"/>
            <w:vAlign w:val="center"/>
          </w:tcPr>
          <w:p w:rsidR="00D033D3" w:rsidRPr="009F5575" w:rsidRDefault="00D033D3" w:rsidP="00D033D3">
            <w:pPr>
              <w:pStyle w:val="ParaMargin"/>
              <w:spacing w:before="60" w:after="60"/>
            </w:pPr>
            <w:r w:rsidRPr="009F5575">
              <w:t>Kyle O'Farrell</w:t>
            </w:r>
          </w:p>
        </w:tc>
        <w:tc>
          <w:tcPr>
            <w:tcW w:w="5103" w:type="dxa"/>
            <w:gridSpan w:val="2"/>
            <w:vAlign w:val="center"/>
          </w:tcPr>
          <w:p w:rsidR="00D033D3" w:rsidRPr="009F5575" w:rsidRDefault="00D033D3" w:rsidP="00D033D3">
            <w:pPr>
              <w:pStyle w:val="ParaMargin"/>
              <w:spacing w:before="60" w:after="60"/>
            </w:pPr>
            <w:r w:rsidRPr="009F5575">
              <w:rPr>
                <w:noProof/>
                <w:lang w:eastAsia="en-AU"/>
              </w:rPr>
              <w:drawing>
                <wp:inline distT="0" distB="0" distL="0" distR="0">
                  <wp:extent cx="1540512" cy="534837"/>
                  <wp:effectExtent l="19050" t="0" r="2538" b="0"/>
                  <wp:docPr id="53" name="Picture 5" descr="O'Farrell, K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arrell, Kyle.jpg"/>
                          <pic:cNvPicPr/>
                        </pic:nvPicPr>
                        <pic:blipFill>
                          <a:blip r:embed="rId83" cstate="print"/>
                          <a:stretch>
                            <a:fillRect/>
                          </a:stretch>
                        </pic:blipFill>
                        <pic:spPr>
                          <a:xfrm>
                            <a:off x="0" y="0"/>
                            <a:ext cx="1540850" cy="534954"/>
                          </a:xfrm>
                          <a:prstGeom prst="rect">
                            <a:avLst/>
                          </a:prstGeom>
                        </pic:spPr>
                      </pic:pic>
                    </a:graphicData>
                  </a:graphic>
                </wp:inline>
              </w:drawing>
            </w:r>
          </w:p>
        </w:tc>
      </w:tr>
      <w:tr w:rsidR="00D033D3" w:rsidRPr="0036689C" w:rsidTr="00D033D3">
        <w:trPr>
          <w:cantSplit/>
        </w:trPr>
        <w:tc>
          <w:tcPr>
            <w:tcW w:w="9639" w:type="dxa"/>
            <w:gridSpan w:val="4"/>
          </w:tcPr>
          <w:p w:rsidR="00D033D3" w:rsidRPr="0036689C" w:rsidRDefault="00D033D3" w:rsidP="008503D1">
            <w:pPr>
              <w:pStyle w:val="ParaMargin"/>
            </w:pPr>
          </w:p>
        </w:tc>
      </w:tr>
      <w:tr w:rsidR="00D033D3" w:rsidRPr="0036689C" w:rsidTr="00D033D3">
        <w:trPr>
          <w:cantSplit/>
        </w:trPr>
        <w:tc>
          <w:tcPr>
            <w:tcW w:w="1700" w:type="dxa"/>
          </w:tcPr>
          <w:p w:rsidR="00D033D3" w:rsidRPr="004A3C7F" w:rsidRDefault="00D033D3" w:rsidP="008503D1">
            <w:pPr>
              <w:pStyle w:val="ParaMargin"/>
              <w:rPr>
                <w:b/>
              </w:rPr>
            </w:pPr>
            <w:r w:rsidRPr="004A3C7F">
              <w:rPr>
                <w:b/>
              </w:rPr>
              <w:t>Report No</w:t>
            </w:r>
          </w:p>
        </w:tc>
        <w:tc>
          <w:tcPr>
            <w:tcW w:w="7939" w:type="dxa"/>
            <w:gridSpan w:val="3"/>
          </w:tcPr>
          <w:p w:rsidR="00D033D3" w:rsidRPr="0036689C" w:rsidRDefault="00D033D3" w:rsidP="008503D1">
            <w:pPr>
              <w:pStyle w:val="ParaMargin"/>
            </w:pPr>
            <w:r>
              <w:t>1</w:t>
            </w:r>
            <w:fldSimple w:instr=" DOCPROPERTY &quot;Number&quot;  \* MERGEFORMAT ">
              <w:r w:rsidR="004B221A">
                <w:t>1</w:t>
              </w:r>
            </w:fldSimple>
          </w:p>
        </w:tc>
      </w:tr>
      <w:tr w:rsidR="00D033D3" w:rsidRPr="0036689C" w:rsidTr="00D033D3">
        <w:trPr>
          <w:cantSplit/>
        </w:trPr>
        <w:tc>
          <w:tcPr>
            <w:tcW w:w="1700" w:type="dxa"/>
          </w:tcPr>
          <w:p w:rsidR="00D033D3" w:rsidRPr="004A3C7F" w:rsidRDefault="00D033D3" w:rsidP="008503D1">
            <w:pPr>
              <w:pStyle w:val="ParaMargin"/>
              <w:rPr>
                <w:b/>
              </w:rPr>
            </w:pPr>
            <w:r w:rsidRPr="004A3C7F">
              <w:rPr>
                <w:b/>
              </w:rPr>
              <w:t>Date</w:t>
            </w:r>
          </w:p>
        </w:tc>
        <w:tc>
          <w:tcPr>
            <w:tcW w:w="7939" w:type="dxa"/>
            <w:gridSpan w:val="3"/>
            <w:vAlign w:val="bottom"/>
          </w:tcPr>
          <w:p w:rsidR="00D033D3" w:rsidRPr="004A3C7F" w:rsidRDefault="00D578CA" w:rsidP="00D578CA">
            <w:pPr>
              <w:pStyle w:val="ParaMargin"/>
              <w:rPr>
                <w:rFonts w:ascii="Arial Narrow" w:hAnsi="Arial Narrow"/>
              </w:rPr>
            </w:pPr>
            <w:r w:rsidRPr="00D578CA">
              <w:t>8 December, 2010</w:t>
            </w:r>
          </w:p>
        </w:tc>
      </w:tr>
      <w:tr w:rsidR="00D033D3" w:rsidRPr="0036689C" w:rsidTr="00D033D3">
        <w:trPr>
          <w:cantSplit/>
        </w:trPr>
        <w:tc>
          <w:tcPr>
            <w:tcW w:w="1700" w:type="dxa"/>
          </w:tcPr>
          <w:p w:rsidR="00D033D3" w:rsidRPr="004A3C7F" w:rsidRDefault="00D033D3" w:rsidP="008503D1">
            <w:pPr>
              <w:pStyle w:val="ParaMargin"/>
              <w:rPr>
                <w:b/>
              </w:rPr>
            </w:pPr>
            <w:r w:rsidRPr="00B24717">
              <w:rPr>
                <w:b/>
              </w:rPr>
              <w:t>ISBN</w:t>
            </w:r>
          </w:p>
        </w:tc>
        <w:tc>
          <w:tcPr>
            <w:tcW w:w="7939" w:type="dxa"/>
            <w:gridSpan w:val="3"/>
            <w:vAlign w:val="bottom"/>
          </w:tcPr>
          <w:p w:rsidR="00D033D3" w:rsidRPr="004A3C7F" w:rsidRDefault="00D033D3" w:rsidP="00D033D3">
            <w:pPr>
              <w:pStyle w:val="ParaMargin"/>
              <w:rPr>
                <w:rFonts w:ascii="Arial Narrow" w:hAnsi="Arial Narrow"/>
              </w:rPr>
            </w:pPr>
            <w:r>
              <w:rPr>
                <w:noProof/>
              </w:rPr>
              <w:t>978-0-9806799-0-8</w:t>
            </w:r>
          </w:p>
        </w:tc>
      </w:tr>
      <w:tr w:rsidR="00D033D3" w:rsidRPr="0036689C" w:rsidTr="00D033D3">
        <w:trPr>
          <w:cantSplit/>
        </w:trPr>
        <w:tc>
          <w:tcPr>
            <w:tcW w:w="9639" w:type="dxa"/>
            <w:gridSpan w:val="4"/>
          </w:tcPr>
          <w:p w:rsidR="00D033D3" w:rsidRDefault="00D033D3" w:rsidP="001E5E88">
            <w:pPr>
              <w:pStyle w:val="Data"/>
            </w:pPr>
            <w:r w:rsidRPr="0036689C">
              <w:t>This report has been prepared for</w:t>
            </w:r>
            <w:r>
              <w:t xml:space="preserve"> the</w:t>
            </w:r>
            <w:r w:rsidRPr="0036689C">
              <w:t xml:space="preserve"> </w:t>
            </w:r>
            <w:fldSimple w:instr=" DOCPROPERTY &quot;Client&quot;  \* MERGEFORMAT ">
              <w:r w:rsidR="004B221A">
                <w:t>Department of Sustainability, Environment, Water, Population and Communities</w:t>
              </w:r>
            </w:fldSimple>
            <w:r w:rsidRPr="0036689C">
              <w:t xml:space="preserve"> in accordance with the terms and conditions of appointment for </w:t>
            </w:r>
            <w:r>
              <w:t>a study into ‘</w:t>
            </w:r>
            <w:fldSimple w:instr=" DOCPROPERTY &quot;Title&quot;  \* MERGEFORMAT ">
              <w:r w:rsidR="004B221A">
                <w:t>Incorporating a revised method for compiling waste and recycling data</w:t>
              </w:r>
            </w:fldSimple>
            <w:r>
              <w:t>’</w:t>
            </w:r>
            <w:r w:rsidRPr="0036689C">
              <w:t xml:space="preserve"> dated </w:t>
            </w:r>
            <w:r>
              <w:t>17 June 2010</w:t>
            </w:r>
            <w:fldSimple w:instr=" DOCPROPERTY &quot;AppointmentDate&quot;  \* MERGEFORMAT ">
              <w:r w:rsidR="004B221A">
                <w:t>5 November 2010</w:t>
              </w:r>
            </w:fldSimple>
            <w:r w:rsidRPr="0036689C">
              <w:t xml:space="preserve">. </w:t>
            </w:r>
            <w:fldSimple w:instr=" INCLUDETEXT &quot;C:\\Program Files\\Microsoft Office\\Templates\\Info.doc&quot; CoName \* MERGEFORMAT ">
              <w:r w:rsidRPr="00B24717">
                <w:t>Hyder</w:t>
              </w:r>
              <w:r>
                <w:t xml:space="preserve"> Consulting Pty Ltd</w:t>
              </w:r>
            </w:fldSimple>
            <w:r w:rsidRPr="0036689C">
              <w:t xml:space="preserve"> (</w:t>
            </w:r>
            <w:fldSimple w:instr=" INCLUDETEXT &quot;C:\\Program Files\\Microsoft Office\\Templates\\Info.doc&quot; CoNo \* MERGEFORMAT ">
              <w:r w:rsidRPr="00B24717">
                <w:t>ABN</w:t>
              </w:r>
              <w:r>
                <w:t xml:space="preserve"> 76 104 485 289</w:t>
              </w:r>
            </w:fldSimple>
            <w:r w:rsidRPr="0036689C">
              <w:t>) cannot accept any responsibility for any use of or reliance on the contents of this report by any third party.</w:t>
            </w:r>
          </w:p>
          <w:p w:rsidR="00D033D3" w:rsidRPr="0036689C" w:rsidRDefault="00D033D3" w:rsidP="00D033D3">
            <w:pPr>
              <w:pStyle w:val="Data"/>
            </w:pPr>
            <w:r w:rsidRPr="00B24717">
              <w:t>The views and opinions expressed in this publication are those of the authors and do not necessarily reflect those of the Australian Government or the Minister for the Environment, Heritage and the Arts or the Minister for Climate Change and Water.</w:t>
            </w:r>
            <w:r>
              <w:t xml:space="preserve"> </w:t>
            </w:r>
            <w:r w:rsidRPr="00B24717">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tc>
      </w:tr>
    </w:tbl>
    <w:p w:rsidR="00D033D3" w:rsidRPr="0036689C" w:rsidRDefault="00D033D3" w:rsidP="00737A4B">
      <w:pPr>
        <w:pStyle w:val="ParaMargin"/>
      </w:pPr>
    </w:p>
    <w:tbl>
      <w:tblPr>
        <w:tblW w:w="9639" w:type="dxa"/>
        <w:tblLayout w:type="fixed"/>
        <w:tblCellMar>
          <w:left w:w="0" w:type="dxa"/>
          <w:right w:w="0" w:type="dxa"/>
        </w:tblCellMar>
        <w:tblLook w:val="01E0"/>
      </w:tblPr>
      <w:tblGrid>
        <w:gridCol w:w="4819"/>
        <w:gridCol w:w="4820"/>
      </w:tblGrid>
      <w:tr w:rsidR="00D033D3" w:rsidRPr="0036689C" w:rsidTr="00D033D3">
        <w:trPr>
          <w:cantSplit/>
        </w:trPr>
        <w:tc>
          <w:tcPr>
            <w:tcW w:w="4819" w:type="dxa"/>
          </w:tcPr>
          <w:p w:rsidR="00D033D3" w:rsidRPr="0036689C" w:rsidRDefault="00D033D3" w:rsidP="008503D1">
            <w:pPr>
              <w:pStyle w:val="ParaMargin"/>
            </w:pPr>
          </w:p>
        </w:tc>
        <w:tc>
          <w:tcPr>
            <w:tcW w:w="4820" w:type="dxa"/>
          </w:tcPr>
          <w:p w:rsidR="00D033D3" w:rsidRPr="0036689C" w:rsidRDefault="00D033D3" w:rsidP="00D033D3">
            <w:pPr>
              <w:pStyle w:val="ParaMargin"/>
              <w:jc w:val="right"/>
            </w:pPr>
            <w:r>
              <w:rPr>
                <w:noProof/>
                <w:lang w:eastAsia="en-AU"/>
              </w:rPr>
              <w:drawing>
                <wp:inline distT="0" distB="0" distL="0" distR="0">
                  <wp:extent cx="1256030" cy="858520"/>
                  <wp:effectExtent l="19050" t="0" r="1270" b="0"/>
                  <wp:docPr id="54" name="Picture 54"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yderLogo_Blue_LowRes"/>
                          <pic:cNvPicPr>
                            <a:picLocks noChangeAspect="1" noChangeArrowheads="1"/>
                          </pic:cNvPicPr>
                        </pic:nvPicPr>
                        <pic:blipFill>
                          <a:blip r:embed="rId76" cstate="print"/>
                          <a:srcRect/>
                          <a:stretch>
                            <a:fillRect/>
                          </a:stretch>
                        </pic:blipFill>
                        <pic:spPr bwMode="auto">
                          <a:xfrm>
                            <a:off x="0" y="0"/>
                            <a:ext cx="1256030" cy="858520"/>
                          </a:xfrm>
                          <a:prstGeom prst="rect">
                            <a:avLst/>
                          </a:prstGeom>
                          <a:noFill/>
                          <a:ln w="9525">
                            <a:noFill/>
                            <a:miter lim="800000"/>
                            <a:headEnd/>
                            <a:tailEnd/>
                          </a:ln>
                        </pic:spPr>
                      </pic:pic>
                    </a:graphicData>
                  </a:graphic>
                </wp:inline>
              </w:drawing>
            </w:r>
          </w:p>
        </w:tc>
      </w:tr>
      <w:tr w:rsidR="00D033D3" w:rsidRPr="0036689C" w:rsidTr="00D033D3">
        <w:trPr>
          <w:cantSplit/>
        </w:trPr>
        <w:tc>
          <w:tcPr>
            <w:tcW w:w="9639" w:type="dxa"/>
            <w:gridSpan w:val="2"/>
          </w:tcPr>
          <w:p w:rsidR="00D033D3" w:rsidRPr="0036689C" w:rsidRDefault="00D033D3" w:rsidP="008503D1">
            <w:pPr>
              <w:pStyle w:val="ParaMargin"/>
            </w:pPr>
          </w:p>
        </w:tc>
      </w:tr>
      <w:tr w:rsidR="00D033D3" w:rsidRPr="0036689C" w:rsidTr="00D033D3">
        <w:trPr>
          <w:cantSplit/>
        </w:trPr>
        <w:tc>
          <w:tcPr>
            <w:tcW w:w="9639" w:type="dxa"/>
            <w:gridSpan w:val="2"/>
          </w:tcPr>
          <w:p w:rsidR="00D033D3" w:rsidRPr="0036689C" w:rsidRDefault="00D033D3" w:rsidP="008503D1">
            <w:pPr>
              <w:pStyle w:val="HeadingTitle"/>
            </w:pPr>
            <w:r w:rsidRPr="0036689C">
              <w:t>CONTENTS</w:t>
            </w:r>
          </w:p>
        </w:tc>
      </w:tr>
      <w:tr w:rsidR="00D033D3" w:rsidRPr="0036689C" w:rsidTr="00D033D3">
        <w:tblPrEx>
          <w:tblCellMar>
            <w:left w:w="108" w:type="dxa"/>
            <w:right w:w="108" w:type="dxa"/>
          </w:tblCellMar>
        </w:tblPrEx>
        <w:trPr>
          <w:cantSplit/>
        </w:trPr>
        <w:tc>
          <w:tcPr>
            <w:tcW w:w="9639" w:type="dxa"/>
            <w:gridSpan w:val="2"/>
          </w:tcPr>
          <w:p w:rsidR="00D033D3" w:rsidRPr="0036689C" w:rsidRDefault="00B9555F" w:rsidP="008503D1">
            <w:pPr>
              <w:pStyle w:val="ParaMargin"/>
            </w:pPr>
            <w:r>
              <w:rPr>
                <w:noProof/>
                <w:lang w:eastAsia="en-AU"/>
              </w:rPr>
            </w:r>
            <w:r>
              <w:rPr>
                <w:noProof/>
                <w:lang w:eastAsia="en-AU"/>
              </w:rPr>
              <w:pict>
                <v:polyline id="Freeform 23" o:spid="_x0000_s1047"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" filled="f" strokecolor="#00519e" strokeweight="1pt">
                  <v:path arrowok="t" o:connecttype="custom" o:connectlocs="0,0;2147483647,0;2147483647,116935250;2147483647,116935250" o:connectangles="0,0,0,0"/>
                  <w10:wrap type="none"/>
                  <w10:anchorlock/>
                </v:polyline>
              </w:pict>
            </w:r>
          </w:p>
        </w:tc>
      </w:tr>
      <w:bookmarkStart w:id="306" w:name="TOC1"/>
      <w:bookmarkEnd w:id="306"/>
      <w:tr w:rsidR="00D033D3" w:rsidRPr="0036689C" w:rsidTr="00D033D3">
        <w:tblPrEx>
          <w:tblCellMar>
            <w:left w:w="108" w:type="dxa"/>
            <w:right w:w="108" w:type="dxa"/>
          </w:tblCellMar>
        </w:tblPrEx>
        <w:tc>
          <w:tcPr>
            <w:tcW w:w="9639" w:type="dxa"/>
            <w:gridSpan w:val="2"/>
          </w:tcPr>
          <w:p w:rsidR="00D033D3" w:rsidRDefault="00B9555F">
            <w:pPr>
              <w:pStyle w:val="TOC1"/>
              <w:rPr>
                <w:rFonts w:asciiTheme="minorHAnsi" w:eastAsiaTheme="minorEastAsia" w:hAnsiTheme="minorHAnsi" w:cstheme="minorBidi"/>
                <w:noProof/>
                <w:sz w:val="22"/>
                <w:szCs w:val="22"/>
                <w:lang w:eastAsia="en-AU"/>
              </w:rPr>
            </w:pPr>
            <w:r>
              <w:fldChar w:fldCharType="begin"/>
            </w:r>
            <w:r w:rsidR="00D033D3">
              <w:instrText xml:space="preserve"> TOC \o "1-3" \t "Heading 4,4" </w:instrText>
            </w:r>
            <w:r>
              <w:fldChar w:fldCharType="separate"/>
            </w:r>
            <w:r w:rsidR="00D033D3">
              <w:rPr>
                <w:noProof/>
              </w:rPr>
              <w:t>1</w:t>
            </w:r>
            <w:r w:rsidR="00D033D3">
              <w:rPr>
                <w:rFonts w:asciiTheme="minorHAnsi" w:eastAsiaTheme="minorEastAsia" w:hAnsiTheme="minorHAnsi" w:cstheme="minorBidi"/>
                <w:noProof/>
                <w:sz w:val="22"/>
                <w:szCs w:val="22"/>
                <w:lang w:eastAsia="en-AU"/>
              </w:rPr>
              <w:tab/>
            </w:r>
            <w:r w:rsidR="00D033D3">
              <w:rPr>
                <w:noProof/>
              </w:rPr>
              <w:t>EXECUTIVE SUMMARY</w:t>
            </w:r>
            <w:r w:rsidR="00D033D3">
              <w:rPr>
                <w:noProof/>
              </w:rPr>
              <w:tab/>
            </w:r>
            <w:r>
              <w:rPr>
                <w:noProof/>
              </w:rPr>
              <w:fldChar w:fldCharType="begin"/>
            </w:r>
            <w:r w:rsidR="00D033D3">
              <w:rPr>
                <w:noProof/>
              </w:rPr>
              <w:instrText xml:space="preserve"> PAGEREF _Toc279510542 \h </w:instrText>
            </w:r>
            <w:r>
              <w:rPr>
                <w:noProof/>
              </w:rPr>
            </w:r>
            <w:r>
              <w:rPr>
                <w:noProof/>
              </w:rPr>
              <w:fldChar w:fldCharType="separate"/>
            </w:r>
            <w:r w:rsidR="00AE7E3B">
              <w:rPr>
                <w:noProof/>
              </w:rPr>
              <w:t>5</w:t>
            </w:r>
            <w:r>
              <w:rPr>
                <w:noProof/>
              </w:rPr>
              <w:fldChar w:fldCharType="end"/>
            </w:r>
          </w:p>
          <w:p w:rsidR="00D033D3" w:rsidRDefault="00D033D3">
            <w:pPr>
              <w:pStyle w:val="TOC1"/>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INTRODUCTION</w:t>
            </w:r>
            <w:r>
              <w:rPr>
                <w:noProof/>
              </w:rPr>
              <w:tab/>
            </w:r>
            <w:r w:rsidR="00B9555F">
              <w:rPr>
                <w:noProof/>
              </w:rPr>
              <w:fldChar w:fldCharType="begin"/>
            </w:r>
            <w:r>
              <w:rPr>
                <w:noProof/>
              </w:rPr>
              <w:instrText xml:space="preserve"> PAGEREF _Toc279510543 \h </w:instrText>
            </w:r>
            <w:r w:rsidR="00B9555F">
              <w:rPr>
                <w:noProof/>
              </w:rPr>
            </w:r>
            <w:r w:rsidR="00B9555F">
              <w:rPr>
                <w:noProof/>
              </w:rPr>
              <w:fldChar w:fldCharType="separate"/>
            </w:r>
            <w:r w:rsidR="00AE7E3B">
              <w:rPr>
                <w:noProof/>
              </w:rPr>
              <w:t>8</w:t>
            </w:r>
            <w:r w:rsidR="00B9555F">
              <w:rPr>
                <w:noProof/>
              </w:rPr>
              <w:fldChar w:fldCharType="end"/>
            </w:r>
          </w:p>
          <w:p w:rsidR="00D033D3" w:rsidRDefault="00D033D3">
            <w:pPr>
              <w:pStyle w:val="TOC1"/>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DEFINITIONS</w:t>
            </w:r>
            <w:r>
              <w:rPr>
                <w:noProof/>
              </w:rPr>
              <w:tab/>
            </w:r>
            <w:r w:rsidR="00B9555F">
              <w:rPr>
                <w:noProof/>
              </w:rPr>
              <w:fldChar w:fldCharType="begin"/>
            </w:r>
            <w:r>
              <w:rPr>
                <w:noProof/>
              </w:rPr>
              <w:instrText xml:space="preserve"> PAGEREF _Toc279510544 \h </w:instrText>
            </w:r>
            <w:r w:rsidR="00B9555F">
              <w:rPr>
                <w:noProof/>
              </w:rPr>
            </w:r>
            <w:r w:rsidR="00B9555F">
              <w:rPr>
                <w:noProof/>
              </w:rPr>
              <w:fldChar w:fldCharType="separate"/>
            </w:r>
            <w:r w:rsidR="00AE7E3B">
              <w:rPr>
                <w:noProof/>
              </w:rPr>
              <w:t>11</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3.1.1</w:t>
            </w:r>
            <w:r>
              <w:rPr>
                <w:rFonts w:asciiTheme="minorHAnsi" w:eastAsiaTheme="minorEastAsia" w:hAnsiTheme="minorHAnsi" w:cstheme="minorBidi"/>
                <w:noProof/>
                <w:sz w:val="22"/>
                <w:szCs w:val="22"/>
                <w:lang w:eastAsia="en-AU"/>
              </w:rPr>
              <w:tab/>
            </w:r>
            <w:r>
              <w:rPr>
                <w:noProof/>
              </w:rPr>
              <w:t>Consumption</w:t>
            </w:r>
            <w:r>
              <w:rPr>
                <w:noProof/>
              </w:rPr>
              <w:tab/>
            </w:r>
            <w:r w:rsidR="00B9555F">
              <w:rPr>
                <w:noProof/>
              </w:rPr>
              <w:fldChar w:fldCharType="begin"/>
            </w:r>
            <w:r>
              <w:rPr>
                <w:noProof/>
              </w:rPr>
              <w:instrText xml:space="preserve"> PAGEREF _Toc279510545 \h </w:instrText>
            </w:r>
            <w:r w:rsidR="00B9555F">
              <w:rPr>
                <w:noProof/>
              </w:rPr>
            </w:r>
            <w:r w:rsidR="00B9555F">
              <w:rPr>
                <w:noProof/>
              </w:rPr>
              <w:fldChar w:fldCharType="separate"/>
            </w:r>
            <w:r w:rsidR="00AE7E3B">
              <w:rPr>
                <w:noProof/>
              </w:rPr>
              <w:t>6</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3.1.2</w:t>
            </w:r>
            <w:r>
              <w:rPr>
                <w:rFonts w:asciiTheme="minorHAnsi" w:eastAsiaTheme="minorEastAsia" w:hAnsiTheme="minorHAnsi" w:cstheme="minorBidi"/>
                <w:noProof/>
                <w:sz w:val="22"/>
                <w:szCs w:val="22"/>
                <w:lang w:eastAsia="en-AU"/>
              </w:rPr>
              <w:tab/>
            </w:r>
            <w:r>
              <w:rPr>
                <w:noProof/>
              </w:rPr>
              <w:t>Re-use</w:t>
            </w:r>
            <w:r>
              <w:rPr>
                <w:noProof/>
              </w:rPr>
              <w:tab/>
            </w:r>
            <w:r w:rsidR="00B9555F">
              <w:rPr>
                <w:noProof/>
              </w:rPr>
              <w:fldChar w:fldCharType="begin"/>
            </w:r>
            <w:r>
              <w:rPr>
                <w:noProof/>
              </w:rPr>
              <w:instrText xml:space="preserve"> PAGEREF _Toc279510546 \h </w:instrText>
            </w:r>
            <w:r w:rsidR="00B9555F">
              <w:rPr>
                <w:noProof/>
              </w:rPr>
            </w:r>
            <w:r w:rsidR="00B9555F">
              <w:rPr>
                <w:noProof/>
              </w:rPr>
              <w:fldChar w:fldCharType="separate"/>
            </w:r>
            <w:r w:rsidR="00AE7E3B">
              <w:rPr>
                <w:noProof/>
              </w:rPr>
              <w:t>10</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3.1.3</w:t>
            </w:r>
            <w:r>
              <w:rPr>
                <w:rFonts w:asciiTheme="minorHAnsi" w:eastAsiaTheme="minorEastAsia" w:hAnsiTheme="minorHAnsi" w:cstheme="minorBidi"/>
                <w:noProof/>
                <w:sz w:val="22"/>
                <w:szCs w:val="22"/>
                <w:lang w:eastAsia="en-AU"/>
              </w:rPr>
              <w:tab/>
            </w:r>
            <w:r>
              <w:rPr>
                <w:noProof/>
              </w:rPr>
              <w:t>End-of-life</w:t>
            </w:r>
            <w:r>
              <w:rPr>
                <w:noProof/>
              </w:rPr>
              <w:tab/>
            </w:r>
            <w:r w:rsidR="00B9555F">
              <w:rPr>
                <w:noProof/>
              </w:rPr>
              <w:fldChar w:fldCharType="begin"/>
            </w:r>
            <w:r>
              <w:rPr>
                <w:noProof/>
              </w:rPr>
              <w:instrText xml:space="preserve"> PAGEREF _Toc279510547 \h </w:instrText>
            </w:r>
            <w:r w:rsidR="00B9555F">
              <w:rPr>
                <w:noProof/>
              </w:rPr>
            </w:r>
            <w:r w:rsidR="00B9555F">
              <w:rPr>
                <w:noProof/>
              </w:rPr>
              <w:fldChar w:fldCharType="separate"/>
            </w:r>
            <w:r w:rsidR="00AE7E3B">
              <w:rPr>
                <w:noProof/>
              </w:rPr>
              <w:t>10</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3.1.4</w:t>
            </w:r>
            <w:r>
              <w:rPr>
                <w:rFonts w:asciiTheme="minorHAnsi" w:eastAsiaTheme="minorEastAsia" w:hAnsiTheme="minorHAnsi" w:cstheme="minorBidi"/>
                <w:noProof/>
                <w:sz w:val="22"/>
                <w:szCs w:val="22"/>
                <w:lang w:eastAsia="en-AU"/>
              </w:rPr>
              <w:tab/>
            </w:r>
            <w:r>
              <w:rPr>
                <w:noProof/>
              </w:rPr>
              <w:t>Recovery</w:t>
            </w:r>
            <w:r>
              <w:rPr>
                <w:noProof/>
              </w:rPr>
              <w:tab/>
            </w:r>
            <w:r w:rsidR="00B9555F">
              <w:rPr>
                <w:noProof/>
              </w:rPr>
              <w:fldChar w:fldCharType="begin"/>
            </w:r>
            <w:r>
              <w:rPr>
                <w:noProof/>
              </w:rPr>
              <w:instrText xml:space="preserve"> PAGEREF _Toc279510548 \h </w:instrText>
            </w:r>
            <w:r w:rsidR="00B9555F">
              <w:rPr>
                <w:noProof/>
              </w:rPr>
            </w:r>
            <w:r w:rsidR="00B9555F">
              <w:rPr>
                <w:noProof/>
              </w:rPr>
              <w:fldChar w:fldCharType="separate"/>
            </w:r>
            <w:r w:rsidR="00AE7E3B">
              <w:rPr>
                <w:noProof/>
              </w:rPr>
              <w:t>7</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3.1.5</w:t>
            </w:r>
            <w:r>
              <w:rPr>
                <w:rFonts w:asciiTheme="minorHAnsi" w:eastAsiaTheme="minorEastAsia" w:hAnsiTheme="minorHAnsi" w:cstheme="minorBidi"/>
                <w:noProof/>
                <w:sz w:val="22"/>
                <w:szCs w:val="22"/>
                <w:lang w:eastAsia="en-AU"/>
              </w:rPr>
              <w:tab/>
            </w:r>
            <w:r>
              <w:rPr>
                <w:noProof/>
              </w:rPr>
              <w:t>Recycling</w:t>
            </w:r>
            <w:r>
              <w:rPr>
                <w:noProof/>
              </w:rPr>
              <w:tab/>
            </w:r>
            <w:r w:rsidR="00B9555F">
              <w:rPr>
                <w:noProof/>
              </w:rPr>
              <w:fldChar w:fldCharType="begin"/>
            </w:r>
            <w:r>
              <w:rPr>
                <w:noProof/>
              </w:rPr>
              <w:instrText xml:space="preserve"> PAGEREF _Toc279510549 \h </w:instrText>
            </w:r>
            <w:r w:rsidR="00B9555F">
              <w:rPr>
                <w:noProof/>
              </w:rPr>
            </w:r>
            <w:r w:rsidR="00B9555F">
              <w:rPr>
                <w:noProof/>
              </w:rPr>
              <w:fldChar w:fldCharType="separate"/>
            </w:r>
            <w:r w:rsidR="00AE7E3B">
              <w:rPr>
                <w:noProof/>
              </w:rPr>
              <w:t>10</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3.1.6</w:t>
            </w:r>
            <w:r>
              <w:rPr>
                <w:rFonts w:asciiTheme="minorHAnsi" w:eastAsiaTheme="minorEastAsia" w:hAnsiTheme="minorHAnsi" w:cstheme="minorBidi"/>
                <w:noProof/>
                <w:sz w:val="22"/>
                <w:szCs w:val="22"/>
                <w:lang w:eastAsia="en-AU"/>
              </w:rPr>
              <w:tab/>
            </w:r>
            <w:r>
              <w:rPr>
                <w:noProof/>
              </w:rPr>
              <w:t>Energy recovery</w:t>
            </w:r>
            <w:r>
              <w:rPr>
                <w:noProof/>
              </w:rPr>
              <w:tab/>
            </w:r>
            <w:r w:rsidR="00B9555F">
              <w:rPr>
                <w:noProof/>
              </w:rPr>
              <w:fldChar w:fldCharType="begin"/>
            </w:r>
            <w:r>
              <w:rPr>
                <w:noProof/>
              </w:rPr>
              <w:instrText xml:space="preserve"> PAGEREF _Toc279510550 \h </w:instrText>
            </w:r>
            <w:r w:rsidR="00B9555F">
              <w:rPr>
                <w:noProof/>
              </w:rPr>
            </w:r>
            <w:r w:rsidR="00B9555F">
              <w:rPr>
                <w:noProof/>
              </w:rPr>
              <w:fldChar w:fldCharType="separate"/>
            </w:r>
            <w:r w:rsidR="00AE7E3B">
              <w:rPr>
                <w:noProof/>
              </w:rPr>
              <w:t>8</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3.1.7</w:t>
            </w:r>
            <w:r>
              <w:rPr>
                <w:rFonts w:asciiTheme="minorHAnsi" w:eastAsiaTheme="minorEastAsia" w:hAnsiTheme="minorHAnsi" w:cstheme="minorBidi"/>
                <w:noProof/>
                <w:sz w:val="22"/>
                <w:szCs w:val="22"/>
                <w:lang w:eastAsia="en-AU"/>
              </w:rPr>
              <w:tab/>
            </w:r>
            <w:r>
              <w:rPr>
                <w:noProof/>
              </w:rPr>
              <w:t>Landfill</w:t>
            </w:r>
            <w:r>
              <w:rPr>
                <w:noProof/>
              </w:rPr>
              <w:tab/>
            </w:r>
            <w:r w:rsidR="00B9555F">
              <w:rPr>
                <w:noProof/>
              </w:rPr>
              <w:fldChar w:fldCharType="begin"/>
            </w:r>
            <w:r>
              <w:rPr>
                <w:noProof/>
              </w:rPr>
              <w:instrText xml:space="preserve"> PAGEREF _Toc279510551 \h </w:instrText>
            </w:r>
            <w:r w:rsidR="00B9555F">
              <w:rPr>
                <w:noProof/>
              </w:rPr>
            </w:r>
            <w:r w:rsidR="00B9555F">
              <w:rPr>
                <w:noProof/>
              </w:rPr>
              <w:fldChar w:fldCharType="separate"/>
            </w:r>
            <w:r w:rsidR="00AE7E3B">
              <w:rPr>
                <w:noProof/>
              </w:rPr>
              <w:t>10</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3.1.8</w:t>
            </w:r>
            <w:r>
              <w:rPr>
                <w:rFonts w:asciiTheme="minorHAnsi" w:eastAsiaTheme="minorEastAsia" w:hAnsiTheme="minorHAnsi" w:cstheme="minorBidi"/>
                <w:noProof/>
                <w:sz w:val="22"/>
                <w:szCs w:val="22"/>
                <w:lang w:eastAsia="en-AU"/>
              </w:rPr>
              <w:tab/>
            </w:r>
            <w:r>
              <w:rPr>
                <w:noProof/>
              </w:rPr>
              <w:t>Disposal</w:t>
            </w:r>
            <w:r>
              <w:rPr>
                <w:noProof/>
              </w:rPr>
              <w:tab/>
            </w:r>
            <w:r w:rsidR="00B9555F">
              <w:rPr>
                <w:noProof/>
              </w:rPr>
              <w:fldChar w:fldCharType="begin"/>
            </w:r>
            <w:r>
              <w:rPr>
                <w:noProof/>
              </w:rPr>
              <w:instrText xml:space="preserve"> PAGEREF _Toc279510552 \h </w:instrText>
            </w:r>
            <w:r w:rsidR="00B9555F">
              <w:rPr>
                <w:noProof/>
              </w:rPr>
            </w:r>
            <w:r w:rsidR="00B9555F">
              <w:rPr>
                <w:noProof/>
              </w:rPr>
              <w:fldChar w:fldCharType="separate"/>
            </w:r>
            <w:r w:rsidR="00AE7E3B">
              <w:rPr>
                <w:noProof/>
              </w:rPr>
              <w:t>10</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3.1.9</w:t>
            </w:r>
            <w:r>
              <w:rPr>
                <w:rFonts w:asciiTheme="minorHAnsi" w:eastAsiaTheme="minorEastAsia" w:hAnsiTheme="minorHAnsi" w:cstheme="minorBidi"/>
                <w:noProof/>
                <w:sz w:val="22"/>
                <w:szCs w:val="22"/>
                <w:lang w:eastAsia="en-AU"/>
              </w:rPr>
              <w:tab/>
            </w:r>
            <w:r>
              <w:rPr>
                <w:noProof/>
              </w:rPr>
              <w:t>Recycling rate and recovery rate</w:t>
            </w:r>
            <w:r>
              <w:rPr>
                <w:noProof/>
              </w:rPr>
              <w:tab/>
            </w:r>
            <w:r w:rsidR="00B9555F">
              <w:rPr>
                <w:noProof/>
              </w:rPr>
              <w:fldChar w:fldCharType="begin"/>
            </w:r>
            <w:r>
              <w:rPr>
                <w:noProof/>
              </w:rPr>
              <w:instrText xml:space="preserve"> PAGEREF _Toc279510553 \h </w:instrText>
            </w:r>
            <w:r w:rsidR="00B9555F">
              <w:rPr>
                <w:noProof/>
              </w:rPr>
            </w:r>
            <w:r w:rsidR="00B9555F">
              <w:rPr>
                <w:noProof/>
              </w:rPr>
              <w:fldChar w:fldCharType="separate"/>
            </w:r>
            <w:r w:rsidR="00AE7E3B">
              <w:rPr>
                <w:noProof/>
              </w:rPr>
              <w:t>9</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3.1.10</w:t>
            </w:r>
            <w:r>
              <w:rPr>
                <w:rFonts w:asciiTheme="minorHAnsi" w:eastAsiaTheme="minorEastAsia" w:hAnsiTheme="minorHAnsi" w:cstheme="minorBidi"/>
                <w:noProof/>
                <w:sz w:val="22"/>
                <w:szCs w:val="22"/>
                <w:lang w:eastAsia="en-AU"/>
              </w:rPr>
              <w:tab/>
            </w:r>
            <w:r>
              <w:rPr>
                <w:noProof/>
              </w:rPr>
              <w:t>Solid waste</w:t>
            </w:r>
            <w:r>
              <w:rPr>
                <w:noProof/>
              </w:rPr>
              <w:tab/>
            </w:r>
            <w:r w:rsidR="00B9555F">
              <w:rPr>
                <w:noProof/>
              </w:rPr>
              <w:fldChar w:fldCharType="begin"/>
            </w:r>
            <w:r>
              <w:rPr>
                <w:noProof/>
              </w:rPr>
              <w:instrText xml:space="preserve"> PAGEREF _Toc279510554 \h </w:instrText>
            </w:r>
            <w:r w:rsidR="00B9555F">
              <w:rPr>
                <w:noProof/>
              </w:rPr>
            </w:r>
            <w:r w:rsidR="00B9555F">
              <w:rPr>
                <w:noProof/>
              </w:rPr>
              <w:fldChar w:fldCharType="separate"/>
            </w:r>
            <w:r w:rsidR="00AE7E3B">
              <w:rPr>
                <w:noProof/>
              </w:rPr>
              <w:t>10</w:t>
            </w:r>
            <w:r w:rsidR="00B9555F">
              <w:rPr>
                <w:noProof/>
              </w:rPr>
              <w:fldChar w:fldCharType="end"/>
            </w:r>
          </w:p>
          <w:p w:rsidR="00D033D3" w:rsidRDefault="00D033D3">
            <w:pPr>
              <w:pStyle w:val="TOC1"/>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A MORE UNIFORM APPROACH TO DATA</w:t>
            </w:r>
            <w:r>
              <w:rPr>
                <w:noProof/>
              </w:rPr>
              <w:tab/>
            </w:r>
            <w:r w:rsidR="00B9555F">
              <w:rPr>
                <w:noProof/>
              </w:rPr>
              <w:fldChar w:fldCharType="begin"/>
            </w:r>
            <w:r>
              <w:rPr>
                <w:noProof/>
              </w:rPr>
              <w:instrText xml:space="preserve"> PAGEREF _Toc279510555 \h </w:instrText>
            </w:r>
            <w:r w:rsidR="00B9555F">
              <w:rPr>
                <w:noProof/>
              </w:rPr>
            </w:r>
            <w:r w:rsidR="00B9555F">
              <w:rPr>
                <w:noProof/>
              </w:rPr>
              <w:fldChar w:fldCharType="separate"/>
            </w:r>
            <w:r w:rsidR="00AE7E3B">
              <w:rPr>
                <w:noProof/>
              </w:rPr>
              <w:t>10</w:t>
            </w:r>
            <w:r w:rsidR="00B9555F">
              <w:rPr>
                <w:noProof/>
              </w:rPr>
              <w:fldChar w:fldCharType="end"/>
            </w:r>
          </w:p>
          <w:p w:rsidR="00D033D3" w:rsidRDefault="00D033D3">
            <w:pPr>
              <w:pStyle w:val="TOC2"/>
              <w:rPr>
                <w:rFonts w:asciiTheme="minorHAnsi" w:eastAsiaTheme="minorEastAsia" w:hAnsiTheme="minorHAnsi" w:cstheme="minorBidi"/>
                <w:noProof/>
                <w:sz w:val="22"/>
                <w:szCs w:val="22"/>
                <w:lang w:eastAsia="en-AU"/>
              </w:rPr>
            </w:pPr>
            <w:r>
              <w:rPr>
                <w:noProof/>
                <w:lang w:eastAsia="en-AU"/>
              </w:rPr>
              <w:t>4.1</w:t>
            </w:r>
            <w:r>
              <w:rPr>
                <w:rFonts w:asciiTheme="minorHAnsi" w:eastAsiaTheme="minorEastAsia" w:hAnsiTheme="minorHAnsi" w:cstheme="minorBidi"/>
                <w:noProof/>
                <w:sz w:val="22"/>
                <w:szCs w:val="22"/>
                <w:lang w:eastAsia="en-AU"/>
              </w:rPr>
              <w:tab/>
            </w:r>
            <w:r>
              <w:rPr>
                <w:noProof/>
                <w:lang w:eastAsia="en-AU"/>
              </w:rPr>
              <w:t>General considerations</w:t>
            </w:r>
            <w:r>
              <w:rPr>
                <w:noProof/>
              </w:rPr>
              <w:tab/>
            </w:r>
            <w:r w:rsidR="00B9555F">
              <w:rPr>
                <w:noProof/>
              </w:rPr>
              <w:fldChar w:fldCharType="begin"/>
            </w:r>
            <w:r>
              <w:rPr>
                <w:noProof/>
              </w:rPr>
              <w:instrText xml:space="preserve"> PAGEREF _Toc279510556 \h </w:instrText>
            </w:r>
            <w:r w:rsidR="00B9555F">
              <w:rPr>
                <w:noProof/>
              </w:rPr>
            </w:r>
            <w:r w:rsidR="00B9555F">
              <w:rPr>
                <w:noProof/>
              </w:rPr>
              <w:fldChar w:fldCharType="separate"/>
            </w:r>
            <w:r w:rsidR="00AE7E3B">
              <w:rPr>
                <w:noProof/>
              </w:rPr>
              <w:t>14</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4.1.1</w:t>
            </w:r>
            <w:r>
              <w:rPr>
                <w:rFonts w:asciiTheme="minorHAnsi" w:eastAsiaTheme="minorEastAsia" w:hAnsiTheme="minorHAnsi" w:cstheme="minorBidi"/>
                <w:noProof/>
                <w:sz w:val="22"/>
                <w:szCs w:val="22"/>
                <w:lang w:eastAsia="en-AU"/>
              </w:rPr>
              <w:tab/>
            </w:r>
            <w:r>
              <w:rPr>
                <w:noProof/>
              </w:rPr>
              <w:t>Re-use</w:t>
            </w:r>
            <w:r>
              <w:rPr>
                <w:noProof/>
              </w:rPr>
              <w:tab/>
            </w:r>
            <w:r w:rsidR="00B9555F">
              <w:rPr>
                <w:noProof/>
              </w:rPr>
              <w:fldChar w:fldCharType="begin"/>
            </w:r>
            <w:r>
              <w:rPr>
                <w:noProof/>
              </w:rPr>
              <w:instrText xml:space="preserve"> PAGEREF _Toc279510557 \h </w:instrText>
            </w:r>
            <w:r w:rsidR="00B9555F">
              <w:rPr>
                <w:noProof/>
              </w:rPr>
            </w:r>
            <w:r w:rsidR="00B9555F">
              <w:rPr>
                <w:noProof/>
              </w:rPr>
              <w:fldChar w:fldCharType="separate"/>
            </w:r>
            <w:r w:rsidR="00AE7E3B">
              <w:rPr>
                <w:noProof/>
              </w:rPr>
              <w:t>16</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4.1.2</w:t>
            </w:r>
            <w:r>
              <w:rPr>
                <w:rFonts w:asciiTheme="minorHAnsi" w:eastAsiaTheme="minorEastAsia" w:hAnsiTheme="minorHAnsi" w:cstheme="minorBidi"/>
                <w:noProof/>
                <w:sz w:val="22"/>
                <w:szCs w:val="22"/>
                <w:lang w:eastAsia="en-AU"/>
              </w:rPr>
              <w:tab/>
            </w:r>
            <w:r>
              <w:rPr>
                <w:noProof/>
              </w:rPr>
              <w:t>Waste generation and disposal</w:t>
            </w:r>
            <w:r>
              <w:rPr>
                <w:noProof/>
              </w:rPr>
              <w:tab/>
            </w:r>
            <w:r w:rsidR="00B9555F">
              <w:rPr>
                <w:noProof/>
              </w:rPr>
              <w:fldChar w:fldCharType="begin"/>
            </w:r>
            <w:r>
              <w:rPr>
                <w:noProof/>
              </w:rPr>
              <w:instrText xml:space="preserve"> PAGEREF _Toc279510558 \h </w:instrText>
            </w:r>
            <w:r w:rsidR="00B9555F">
              <w:rPr>
                <w:noProof/>
              </w:rPr>
            </w:r>
            <w:r w:rsidR="00B9555F">
              <w:rPr>
                <w:noProof/>
              </w:rPr>
              <w:fldChar w:fldCharType="separate"/>
            </w:r>
            <w:r w:rsidR="00AE7E3B">
              <w:rPr>
                <w:noProof/>
              </w:rPr>
              <w:t>16</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lang w:eastAsia="en-AU"/>
              </w:rPr>
              <w:t>4.1.3</w:t>
            </w:r>
            <w:r>
              <w:rPr>
                <w:rFonts w:asciiTheme="minorHAnsi" w:eastAsiaTheme="minorEastAsia" w:hAnsiTheme="minorHAnsi" w:cstheme="minorBidi"/>
                <w:noProof/>
                <w:sz w:val="22"/>
                <w:szCs w:val="22"/>
                <w:lang w:eastAsia="en-AU"/>
              </w:rPr>
              <w:tab/>
            </w:r>
            <w:r>
              <w:rPr>
                <w:noProof/>
                <w:lang w:eastAsia="en-AU"/>
              </w:rPr>
              <w:t>Liquid and gaseous wastes</w:t>
            </w:r>
            <w:r>
              <w:rPr>
                <w:noProof/>
              </w:rPr>
              <w:tab/>
            </w:r>
            <w:r w:rsidR="00B9555F">
              <w:rPr>
                <w:noProof/>
              </w:rPr>
              <w:fldChar w:fldCharType="begin"/>
            </w:r>
            <w:r>
              <w:rPr>
                <w:noProof/>
              </w:rPr>
              <w:instrText xml:space="preserve"> PAGEREF _Toc279510559 \h </w:instrText>
            </w:r>
            <w:r w:rsidR="00B9555F">
              <w:rPr>
                <w:noProof/>
              </w:rPr>
            </w:r>
            <w:r w:rsidR="00B9555F">
              <w:rPr>
                <w:noProof/>
              </w:rPr>
              <w:fldChar w:fldCharType="separate"/>
            </w:r>
            <w:r w:rsidR="00AE7E3B">
              <w:rPr>
                <w:noProof/>
              </w:rPr>
              <w:t>15</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sidRPr="005C63A4">
              <w:rPr>
                <w:rFonts w:ascii="Helvetica" w:hAnsi="Helvetica" w:cs="Helvetica"/>
                <w:noProof/>
                <w:lang w:eastAsia="en-AU"/>
              </w:rPr>
              <w:t>4.1.4</w:t>
            </w:r>
            <w:r>
              <w:rPr>
                <w:rFonts w:asciiTheme="minorHAnsi" w:eastAsiaTheme="minorEastAsia" w:hAnsiTheme="minorHAnsi" w:cstheme="minorBidi"/>
                <w:noProof/>
                <w:sz w:val="22"/>
                <w:szCs w:val="22"/>
                <w:lang w:eastAsia="en-AU"/>
              </w:rPr>
              <w:tab/>
            </w:r>
            <w:r w:rsidRPr="005C63A4">
              <w:rPr>
                <w:rFonts w:ascii="Helvetica" w:hAnsi="Helvetica" w:cs="Helvetica"/>
                <w:noProof/>
                <w:lang w:eastAsia="en-AU"/>
              </w:rPr>
              <w:t>Waste generation data reporting on a per capita basis</w:t>
            </w:r>
            <w:r>
              <w:rPr>
                <w:noProof/>
              </w:rPr>
              <w:tab/>
            </w:r>
            <w:r w:rsidR="00B9555F">
              <w:rPr>
                <w:noProof/>
              </w:rPr>
              <w:fldChar w:fldCharType="begin"/>
            </w:r>
            <w:r>
              <w:rPr>
                <w:noProof/>
              </w:rPr>
              <w:instrText xml:space="preserve"> PAGEREF _Toc279510560 \h </w:instrText>
            </w:r>
            <w:r w:rsidR="00B9555F">
              <w:rPr>
                <w:noProof/>
              </w:rPr>
            </w:r>
            <w:r w:rsidR="00B9555F">
              <w:rPr>
                <w:noProof/>
              </w:rPr>
              <w:fldChar w:fldCharType="separate"/>
            </w:r>
            <w:r w:rsidR="00AE7E3B">
              <w:rPr>
                <w:noProof/>
              </w:rPr>
              <w:t>16</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lang w:eastAsia="en-AU"/>
              </w:rPr>
              <w:t>4.1.5</w:t>
            </w:r>
            <w:r>
              <w:rPr>
                <w:rFonts w:asciiTheme="minorHAnsi" w:eastAsiaTheme="minorEastAsia" w:hAnsiTheme="minorHAnsi" w:cstheme="minorBidi"/>
                <w:noProof/>
                <w:sz w:val="22"/>
                <w:szCs w:val="22"/>
                <w:lang w:eastAsia="en-AU"/>
              </w:rPr>
              <w:tab/>
            </w:r>
            <w:r>
              <w:rPr>
                <w:noProof/>
                <w:lang w:eastAsia="en-AU"/>
              </w:rPr>
              <w:t>Reporting by weight</w:t>
            </w:r>
            <w:r>
              <w:rPr>
                <w:noProof/>
              </w:rPr>
              <w:tab/>
            </w:r>
            <w:r w:rsidR="00B9555F">
              <w:rPr>
                <w:noProof/>
              </w:rPr>
              <w:fldChar w:fldCharType="begin"/>
            </w:r>
            <w:r>
              <w:rPr>
                <w:noProof/>
              </w:rPr>
              <w:instrText xml:space="preserve"> PAGEREF _Toc279510561 \h </w:instrText>
            </w:r>
            <w:r w:rsidR="00B9555F">
              <w:rPr>
                <w:noProof/>
              </w:rPr>
            </w:r>
            <w:r w:rsidR="00B9555F">
              <w:rPr>
                <w:noProof/>
              </w:rPr>
              <w:fldChar w:fldCharType="separate"/>
            </w:r>
            <w:r w:rsidR="00AE7E3B">
              <w:rPr>
                <w:noProof/>
              </w:rPr>
              <w:t>17</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4.1.6</w:t>
            </w:r>
            <w:r>
              <w:rPr>
                <w:rFonts w:asciiTheme="minorHAnsi" w:eastAsiaTheme="minorEastAsia" w:hAnsiTheme="minorHAnsi" w:cstheme="minorBidi"/>
                <w:noProof/>
                <w:sz w:val="22"/>
                <w:szCs w:val="22"/>
                <w:lang w:eastAsia="en-AU"/>
              </w:rPr>
              <w:tab/>
            </w:r>
            <w:r>
              <w:rPr>
                <w:noProof/>
              </w:rPr>
              <w:t>Waste to energy</w:t>
            </w:r>
            <w:r>
              <w:rPr>
                <w:noProof/>
              </w:rPr>
              <w:tab/>
            </w:r>
            <w:r w:rsidR="00B9555F">
              <w:rPr>
                <w:noProof/>
              </w:rPr>
              <w:fldChar w:fldCharType="begin"/>
            </w:r>
            <w:r>
              <w:rPr>
                <w:noProof/>
              </w:rPr>
              <w:instrText xml:space="preserve"> PAGEREF _Toc279510562 \h </w:instrText>
            </w:r>
            <w:r w:rsidR="00B9555F">
              <w:rPr>
                <w:noProof/>
              </w:rPr>
            </w:r>
            <w:r w:rsidR="00B9555F">
              <w:rPr>
                <w:noProof/>
              </w:rPr>
              <w:fldChar w:fldCharType="separate"/>
            </w:r>
            <w:r w:rsidR="00AE7E3B">
              <w:rPr>
                <w:noProof/>
              </w:rPr>
              <w:t>17</w:t>
            </w:r>
            <w:r w:rsidR="00B9555F">
              <w:rPr>
                <w:noProof/>
              </w:rPr>
              <w:fldChar w:fldCharType="end"/>
            </w:r>
          </w:p>
          <w:p w:rsidR="00D033D3" w:rsidRDefault="00D033D3">
            <w:pPr>
              <w:pStyle w:val="TOC2"/>
              <w:rPr>
                <w:rFonts w:asciiTheme="minorHAnsi" w:eastAsiaTheme="minorEastAsia" w:hAnsiTheme="minorHAnsi" w:cstheme="minorBidi"/>
                <w:noProof/>
                <w:sz w:val="22"/>
                <w:szCs w:val="22"/>
                <w:lang w:eastAsia="en-AU"/>
              </w:rPr>
            </w:pPr>
            <w:r>
              <w:rPr>
                <w:noProof/>
                <w:lang w:eastAsia="en-AU"/>
              </w:rPr>
              <w:t>4.2</w:t>
            </w:r>
            <w:r>
              <w:rPr>
                <w:rFonts w:asciiTheme="minorHAnsi" w:eastAsiaTheme="minorEastAsia" w:hAnsiTheme="minorHAnsi" w:cstheme="minorBidi"/>
                <w:noProof/>
                <w:sz w:val="22"/>
                <w:szCs w:val="22"/>
                <w:lang w:eastAsia="en-AU"/>
              </w:rPr>
              <w:tab/>
            </w:r>
            <w:r>
              <w:rPr>
                <w:noProof/>
                <w:lang w:eastAsia="en-AU"/>
              </w:rPr>
              <w:t>Waste streams</w:t>
            </w:r>
            <w:r>
              <w:rPr>
                <w:noProof/>
              </w:rPr>
              <w:tab/>
            </w:r>
            <w:r w:rsidR="00B9555F">
              <w:rPr>
                <w:noProof/>
              </w:rPr>
              <w:fldChar w:fldCharType="begin"/>
            </w:r>
            <w:r>
              <w:rPr>
                <w:noProof/>
              </w:rPr>
              <w:instrText xml:space="preserve"> PAGEREF _Toc279510563 \h </w:instrText>
            </w:r>
            <w:r w:rsidR="00B9555F">
              <w:rPr>
                <w:noProof/>
              </w:rPr>
            </w:r>
            <w:r w:rsidR="00B9555F">
              <w:rPr>
                <w:noProof/>
              </w:rPr>
              <w:fldChar w:fldCharType="separate"/>
            </w:r>
            <w:r w:rsidR="00AE7E3B">
              <w:rPr>
                <w:noProof/>
              </w:rPr>
              <w:t>21</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lang w:eastAsia="en-AU"/>
              </w:rPr>
              <w:t>4.2.1</w:t>
            </w:r>
            <w:r>
              <w:rPr>
                <w:rFonts w:asciiTheme="minorHAnsi" w:eastAsiaTheme="minorEastAsia" w:hAnsiTheme="minorHAnsi" w:cstheme="minorBidi"/>
                <w:noProof/>
                <w:sz w:val="22"/>
                <w:szCs w:val="22"/>
                <w:lang w:eastAsia="en-AU"/>
              </w:rPr>
              <w:tab/>
            </w:r>
            <w:r>
              <w:rPr>
                <w:noProof/>
                <w:lang w:eastAsia="en-AU"/>
              </w:rPr>
              <w:t>Primary production wastes</w:t>
            </w:r>
            <w:r>
              <w:rPr>
                <w:noProof/>
              </w:rPr>
              <w:tab/>
            </w:r>
            <w:r w:rsidR="00B9555F">
              <w:rPr>
                <w:noProof/>
              </w:rPr>
              <w:fldChar w:fldCharType="begin"/>
            </w:r>
            <w:r>
              <w:rPr>
                <w:noProof/>
              </w:rPr>
              <w:instrText xml:space="preserve"> PAGEREF _Toc279510564 \h </w:instrText>
            </w:r>
            <w:r w:rsidR="00B9555F">
              <w:rPr>
                <w:noProof/>
              </w:rPr>
            </w:r>
            <w:r w:rsidR="00B9555F">
              <w:rPr>
                <w:noProof/>
              </w:rPr>
              <w:fldChar w:fldCharType="separate"/>
            </w:r>
            <w:r w:rsidR="00AE7E3B">
              <w:rPr>
                <w:noProof/>
              </w:rPr>
              <w:t>22</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lang w:eastAsia="en-AU"/>
              </w:rPr>
              <w:t>4.2.2</w:t>
            </w:r>
            <w:r>
              <w:rPr>
                <w:rFonts w:asciiTheme="minorHAnsi" w:eastAsiaTheme="minorEastAsia" w:hAnsiTheme="minorHAnsi" w:cstheme="minorBidi"/>
                <w:noProof/>
                <w:sz w:val="22"/>
                <w:szCs w:val="22"/>
                <w:lang w:eastAsia="en-AU"/>
              </w:rPr>
              <w:tab/>
            </w:r>
            <w:r>
              <w:rPr>
                <w:noProof/>
                <w:lang w:eastAsia="en-AU"/>
              </w:rPr>
              <w:t>Pre-consumer wastes</w:t>
            </w:r>
            <w:r>
              <w:rPr>
                <w:noProof/>
              </w:rPr>
              <w:tab/>
            </w:r>
            <w:r w:rsidR="00B9555F">
              <w:rPr>
                <w:noProof/>
              </w:rPr>
              <w:fldChar w:fldCharType="begin"/>
            </w:r>
            <w:r>
              <w:rPr>
                <w:noProof/>
              </w:rPr>
              <w:instrText xml:space="preserve"> PAGEREF _Toc279510565 \h </w:instrText>
            </w:r>
            <w:r w:rsidR="00B9555F">
              <w:rPr>
                <w:noProof/>
              </w:rPr>
            </w:r>
            <w:r w:rsidR="00B9555F">
              <w:rPr>
                <w:noProof/>
              </w:rPr>
              <w:fldChar w:fldCharType="separate"/>
            </w:r>
            <w:r w:rsidR="00AE7E3B">
              <w:rPr>
                <w:noProof/>
              </w:rPr>
              <w:t>23</w:t>
            </w:r>
            <w:r w:rsidR="00B9555F">
              <w:rPr>
                <w:noProof/>
              </w:rPr>
              <w:fldChar w:fldCharType="end"/>
            </w:r>
          </w:p>
          <w:p w:rsidR="00D033D3" w:rsidRDefault="00D033D3" w:rsidP="00D033D3">
            <w:pPr>
              <w:pStyle w:val="TOC30"/>
              <w:ind w:right="2585"/>
              <w:rPr>
                <w:rFonts w:asciiTheme="minorHAnsi" w:eastAsiaTheme="minorEastAsia" w:hAnsiTheme="minorHAnsi" w:cstheme="minorBidi"/>
                <w:noProof/>
                <w:sz w:val="22"/>
                <w:szCs w:val="22"/>
                <w:lang w:eastAsia="en-AU"/>
              </w:rPr>
            </w:pPr>
            <w:r>
              <w:rPr>
                <w:noProof/>
              </w:rPr>
              <w:t>4.2.3</w:t>
            </w:r>
            <w:r>
              <w:rPr>
                <w:rFonts w:asciiTheme="minorHAnsi" w:eastAsiaTheme="minorEastAsia" w:hAnsiTheme="minorHAnsi" w:cstheme="minorBidi"/>
                <w:noProof/>
                <w:sz w:val="22"/>
                <w:szCs w:val="22"/>
                <w:lang w:eastAsia="en-AU"/>
              </w:rPr>
              <w:tab/>
            </w:r>
            <w:r>
              <w:rPr>
                <w:noProof/>
              </w:rPr>
              <w:t>Bark and sawdust from forestry operations, and mining and mineral processing wastes</w:t>
            </w:r>
            <w:r>
              <w:rPr>
                <w:noProof/>
              </w:rPr>
              <w:tab/>
            </w:r>
            <w:r w:rsidR="00B9555F">
              <w:rPr>
                <w:noProof/>
              </w:rPr>
              <w:fldChar w:fldCharType="begin"/>
            </w:r>
            <w:r>
              <w:rPr>
                <w:noProof/>
              </w:rPr>
              <w:instrText xml:space="preserve"> PAGEREF _Toc279510566 \h </w:instrText>
            </w:r>
            <w:r w:rsidR="00B9555F">
              <w:rPr>
                <w:noProof/>
              </w:rPr>
            </w:r>
            <w:r w:rsidR="00B9555F">
              <w:rPr>
                <w:noProof/>
              </w:rPr>
              <w:fldChar w:fldCharType="separate"/>
            </w:r>
            <w:r w:rsidR="00AE7E3B">
              <w:rPr>
                <w:noProof/>
              </w:rPr>
              <w:t>24</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4.2.4</w:t>
            </w:r>
            <w:r>
              <w:rPr>
                <w:rFonts w:asciiTheme="minorHAnsi" w:eastAsiaTheme="minorEastAsia" w:hAnsiTheme="minorHAnsi" w:cstheme="minorBidi"/>
                <w:noProof/>
                <w:sz w:val="22"/>
                <w:szCs w:val="22"/>
                <w:lang w:eastAsia="en-AU"/>
              </w:rPr>
              <w:tab/>
            </w:r>
            <w:r>
              <w:rPr>
                <w:noProof/>
              </w:rPr>
              <w:t>Agricultural wastes</w:t>
            </w:r>
            <w:r>
              <w:rPr>
                <w:noProof/>
              </w:rPr>
              <w:tab/>
            </w:r>
            <w:r w:rsidR="00B9555F">
              <w:rPr>
                <w:noProof/>
              </w:rPr>
              <w:fldChar w:fldCharType="begin"/>
            </w:r>
            <w:r>
              <w:rPr>
                <w:noProof/>
              </w:rPr>
              <w:instrText xml:space="preserve"> PAGEREF _Toc279510567 \h </w:instrText>
            </w:r>
            <w:r w:rsidR="00B9555F">
              <w:rPr>
                <w:noProof/>
              </w:rPr>
            </w:r>
            <w:r w:rsidR="00B9555F">
              <w:rPr>
                <w:noProof/>
              </w:rPr>
              <w:fldChar w:fldCharType="separate"/>
            </w:r>
            <w:r w:rsidR="00AE7E3B">
              <w:rPr>
                <w:noProof/>
              </w:rPr>
              <w:t>25</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4.2.5</w:t>
            </w:r>
            <w:r>
              <w:rPr>
                <w:rFonts w:asciiTheme="minorHAnsi" w:eastAsiaTheme="minorEastAsia" w:hAnsiTheme="minorHAnsi" w:cstheme="minorBidi"/>
                <w:noProof/>
                <w:sz w:val="22"/>
                <w:szCs w:val="22"/>
                <w:lang w:eastAsia="en-AU"/>
              </w:rPr>
              <w:tab/>
            </w:r>
            <w:r>
              <w:rPr>
                <w:noProof/>
              </w:rPr>
              <w:t>Soil, sand and rock</w:t>
            </w:r>
            <w:r>
              <w:rPr>
                <w:noProof/>
              </w:rPr>
              <w:tab/>
            </w:r>
            <w:r w:rsidR="00B9555F">
              <w:rPr>
                <w:noProof/>
              </w:rPr>
              <w:fldChar w:fldCharType="begin"/>
            </w:r>
            <w:r>
              <w:rPr>
                <w:noProof/>
              </w:rPr>
              <w:instrText xml:space="preserve"> PAGEREF _Toc279510568 \h </w:instrText>
            </w:r>
            <w:r w:rsidR="00B9555F">
              <w:rPr>
                <w:noProof/>
              </w:rPr>
            </w:r>
            <w:r w:rsidR="00B9555F">
              <w:rPr>
                <w:noProof/>
              </w:rPr>
              <w:fldChar w:fldCharType="separate"/>
            </w:r>
            <w:r w:rsidR="00AE7E3B">
              <w:rPr>
                <w:noProof/>
              </w:rPr>
              <w:t>24</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lang w:eastAsia="en-AU"/>
              </w:rPr>
              <w:t>4.2.6</w:t>
            </w:r>
            <w:r>
              <w:rPr>
                <w:rFonts w:asciiTheme="minorHAnsi" w:eastAsiaTheme="minorEastAsia" w:hAnsiTheme="minorHAnsi" w:cstheme="minorBidi"/>
                <w:noProof/>
                <w:sz w:val="22"/>
                <w:szCs w:val="22"/>
                <w:lang w:eastAsia="en-AU"/>
              </w:rPr>
              <w:tab/>
            </w:r>
            <w:r>
              <w:rPr>
                <w:noProof/>
              </w:rPr>
              <w:t>Daily and intermediate landfill cover</w:t>
            </w:r>
            <w:r>
              <w:rPr>
                <w:noProof/>
              </w:rPr>
              <w:tab/>
            </w:r>
            <w:r w:rsidR="00B9555F">
              <w:rPr>
                <w:noProof/>
              </w:rPr>
              <w:fldChar w:fldCharType="begin"/>
            </w:r>
            <w:r>
              <w:rPr>
                <w:noProof/>
              </w:rPr>
              <w:instrText xml:space="preserve"> PAGEREF _Toc279510569 \h </w:instrText>
            </w:r>
            <w:r w:rsidR="00B9555F">
              <w:rPr>
                <w:noProof/>
              </w:rPr>
            </w:r>
            <w:r w:rsidR="00B9555F">
              <w:rPr>
                <w:noProof/>
              </w:rPr>
              <w:fldChar w:fldCharType="separate"/>
            </w:r>
            <w:r w:rsidR="00AE7E3B">
              <w:rPr>
                <w:noProof/>
              </w:rPr>
              <w:t>26</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4.2.7</w:t>
            </w:r>
            <w:r>
              <w:rPr>
                <w:rFonts w:asciiTheme="minorHAnsi" w:eastAsiaTheme="minorEastAsia" w:hAnsiTheme="minorHAnsi" w:cstheme="minorBidi"/>
                <w:noProof/>
                <w:sz w:val="22"/>
                <w:szCs w:val="22"/>
                <w:lang w:eastAsia="en-AU"/>
              </w:rPr>
              <w:tab/>
            </w:r>
            <w:r>
              <w:rPr>
                <w:noProof/>
              </w:rPr>
              <w:t>Fly ash</w:t>
            </w:r>
            <w:r>
              <w:rPr>
                <w:noProof/>
              </w:rPr>
              <w:tab/>
            </w:r>
            <w:r w:rsidR="00B9555F">
              <w:rPr>
                <w:noProof/>
              </w:rPr>
              <w:fldChar w:fldCharType="begin"/>
            </w:r>
            <w:r>
              <w:rPr>
                <w:noProof/>
              </w:rPr>
              <w:instrText xml:space="preserve"> PAGEREF _Toc279510570 \h </w:instrText>
            </w:r>
            <w:r w:rsidR="00B9555F">
              <w:rPr>
                <w:noProof/>
              </w:rPr>
            </w:r>
            <w:r w:rsidR="00B9555F">
              <w:rPr>
                <w:noProof/>
              </w:rPr>
              <w:fldChar w:fldCharType="separate"/>
            </w:r>
            <w:r w:rsidR="00AE7E3B">
              <w:rPr>
                <w:noProof/>
              </w:rPr>
              <w:t>27</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4.2.8</w:t>
            </w:r>
            <w:r>
              <w:rPr>
                <w:rFonts w:asciiTheme="minorHAnsi" w:eastAsiaTheme="minorEastAsia" w:hAnsiTheme="minorHAnsi" w:cstheme="minorBidi"/>
                <w:noProof/>
                <w:sz w:val="22"/>
                <w:szCs w:val="22"/>
                <w:lang w:eastAsia="en-AU"/>
              </w:rPr>
              <w:tab/>
            </w:r>
            <w:r>
              <w:rPr>
                <w:noProof/>
              </w:rPr>
              <w:t>Biosolids</w:t>
            </w:r>
            <w:r>
              <w:rPr>
                <w:noProof/>
              </w:rPr>
              <w:tab/>
            </w:r>
            <w:r w:rsidR="00B9555F">
              <w:rPr>
                <w:noProof/>
              </w:rPr>
              <w:fldChar w:fldCharType="begin"/>
            </w:r>
            <w:r>
              <w:rPr>
                <w:noProof/>
              </w:rPr>
              <w:instrText xml:space="preserve"> PAGEREF _Toc279510571 \h </w:instrText>
            </w:r>
            <w:r w:rsidR="00B9555F">
              <w:rPr>
                <w:noProof/>
              </w:rPr>
            </w:r>
            <w:r w:rsidR="00B9555F">
              <w:rPr>
                <w:noProof/>
              </w:rPr>
              <w:fldChar w:fldCharType="separate"/>
            </w:r>
            <w:r w:rsidR="00AE7E3B">
              <w:rPr>
                <w:noProof/>
              </w:rPr>
              <w:t>27</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4.2.9</w:t>
            </w:r>
            <w:r>
              <w:rPr>
                <w:rFonts w:asciiTheme="minorHAnsi" w:eastAsiaTheme="minorEastAsia" w:hAnsiTheme="minorHAnsi" w:cstheme="minorBidi"/>
                <w:noProof/>
                <w:sz w:val="22"/>
                <w:szCs w:val="22"/>
                <w:lang w:eastAsia="en-AU"/>
              </w:rPr>
              <w:tab/>
            </w:r>
            <w:r>
              <w:rPr>
                <w:noProof/>
              </w:rPr>
              <w:t>Hazardous, prescribed or clinical wastes</w:t>
            </w:r>
            <w:r>
              <w:rPr>
                <w:noProof/>
              </w:rPr>
              <w:tab/>
            </w:r>
            <w:r w:rsidR="00B9555F">
              <w:rPr>
                <w:noProof/>
              </w:rPr>
              <w:fldChar w:fldCharType="begin"/>
            </w:r>
            <w:r>
              <w:rPr>
                <w:noProof/>
              </w:rPr>
              <w:instrText xml:space="preserve"> PAGEREF _Toc279510572 \h </w:instrText>
            </w:r>
            <w:r w:rsidR="00B9555F">
              <w:rPr>
                <w:noProof/>
              </w:rPr>
            </w:r>
            <w:r w:rsidR="00B9555F">
              <w:rPr>
                <w:noProof/>
              </w:rPr>
              <w:fldChar w:fldCharType="separate"/>
            </w:r>
            <w:r w:rsidR="00AE7E3B">
              <w:rPr>
                <w:noProof/>
              </w:rPr>
              <w:t>28</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4.2.10</w:t>
            </w:r>
            <w:r>
              <w:rPr>
                <w:rFonts w:asciiTheme="minorHAnsi" w:eastAsiaTheme="minorEastAsia" w:hAnsiTheme="minorHAnsi" w:cstheme="minorBidi"/>
                <w:noProof/>
                <w:sz w:val="22"/>
                <w:szCs w:val="22"/>
                <w:lang w:eastAsia="en-AU"/>
              </w:rPr>
              <w:tab/>
            </w:r>
            <w:r>
              <w:rPr>
                <w:noProof/>
              </w:rPr>
              <w:t>Quarantine waste from ships</w:t>
            </w:r>
            <w:r>
              <w:rPr>
                <w:noProof/>
              </w:rPr>
              <w:tab/>
            </w:r>
            <w:r w:rsidR="00B9555F">
              <w:rPr>
                <w:noProof/>
              </w:rPr>
              <w:fldChar w:fldCharType="begin"/>
            </w:r>
            <w:r>
              <w:rPr>
                <w:noProof/>
              </w:rPr>
              <w:instrText xml:space="preserve"> PAGEREF _Toc279510573 \h </w:instrText>
            </w:r>
            <w:r w:rsidR="00B9555F">
              <w:rPr>
                <w:noProof/>
              </w:rPr>
            </w:r>
            <w:r w:rsidR="00B9555F">
              <w:rPr>
                <w:noProof/>
              </w:rPr>
              <w:fldChar w:fldCharType="separate"/>
            </w:r>
            <w:r w:rsidR="00AE7E3B">
              <w:rPr>
                <w:noProof/>
              </w:rPr>
              <w:t>29</w:t>
            </w:r>
            <w:r w:rsidR="00B9555F">
              <w:rPr>
                <w:noProof/>
              </w:rPr>
              <w:fldChar w:fldCharType="end"/>
            </w:r>
          </w:p>
          <w:p w:rsidR="00D033D3" w:rsidRDefault="00D033D3">
            <w:pPr>
              <w:pStyle w:val="TOC2"/>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Measurement</w:t>
            </w:r>
            <w:r>
              <w:rPr>
                <w:noProof/>
              </w:rPr>
              <w:tab/>
            </w:r>
            <w:r w:rsidR="00B9555F">
              <w:rPr>
                <w:noProof/>
              </w:rPr>
              <w:fldChar w:fldCharType="begin"/>
            </w:r>
            <w:r>
              <w:rPr>
                <w:noProof/>
              </w:rPr>
              <w:instrText xml:space="preserve"> PAGEREF _Toc279510574 \h </w:instrText>
            </w:r>
            <w:r w:rsidR="00B9555F">
              <w:rPr>
                <w:noProof/>
              </w:rPr>
            </w:r>
            <w:r w:rsidR="00B9555F">
              <w:rPr>
                <w:noProof/>
              </w:rPr>
              <w:fldChar w:fldCharType="separate"/>
            </w:r>
            <w:r w:rsidR="00AE7E3B">
              <w:rPr>
                <w:noProof/>
              </w:rPr>
              <w:t>30</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4.3.1</w:t>
            </w:r>
            <w:r>
              <w:rPr>
                <w:rFonts w:asciiTheme="minorHAnsi" w:eastAsiaTheme="minorEastAsia" w:hAnsiTheme="minorHAnsi" w:cstheme="minorBidi"/>
                <w:noProof/>
                <w:sz w:val="22"/>
                <w:szCs w:val="22"/>
                <w:lang w:eastAsia="en-AU"/>
              </w:rPr>
              <w:tab/>
            </w:r>
            <w:r>
              <w:rPr>
                <w:noProof/>
              </w:rPr>
              <w:t>Composition of waste streams</w:t>
            </w:r>
            <w:r>
              <w:rPr>
                <w:noProof/>
              </w:rPr>
              <w:tab/>
            </w:r>
            <w:r w:rsidR="00B9555F">
              <w:rPr>
                <w:noProof/>
              </w:rPr>
              <w:fldChar w:fldCharType="begin"/>
            </w:r>
            <w:r>
              <w:rPr>
                <w:noProof/>
              </w:rPr>
              <w:instrText xml:space="preserve"> PAGEREF _Toc279510575 \h </w:instrText>
            </w:r>
            <w:r w:rsidR="00B9555F">
              <w:rPr>
                <w:noProof/>
              </w:rPr>
            </w:r>
            <w:r w:rsidR="00B9555F">
              <w:rPr>
                <w:noProof/>
              </w:rPr>
              <w:fldChar w:fldCharType="separate"/>
            </w:r>
            <w:r w:rsidR="00AE7E3B">
              <w:rPr>
                <w:noProof/>
              </w:rPr>
              <w:t>30</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4.3.2</w:t>
            </w:r>
            <w:r>
              <w:rPr>
                <w:rFonts w:asciiTheme="minorHAnsi" w:eastAsiaTheme="minorEastAsia" w:hAnsiTheme="minorHAnsi" w:cstheme="minorBidi"/>
                <w:noProof/>
                <w:sz w:val="22"/>
                <w:szCs w:val="22"/>
                <w:lang w:eastAsia="en-AU"/>
              </w:rPr>
              <w:tab/>
            </w:r>
            <w:r>
              <w:rPr>
                <w:noProof/>
              </w:rPr>
              <w:t>Waste collected in a different stream to the source</w:t>
            </w:r>
            <w:r>
              <w:rPr>
                <w:noProof/>
              </w:rPr>
              <w:tab/>
            </w:r>
            <w:r w:rsidR="00B9555F">
              <w:rPr>
                <w:noProof/>
              </w:rPr>
              <w:fldChar w:fldCharType="begin"/>
            </w:r>
            <w:r>
              <w:rPr>
                <w:noProof/>
              </w:rPr>
              <w:instrText xml:space="preserve"> PAGEREF _Toc279510576 \h </w:instrText>
            </w:r>
            <w:r w:rsidR="00B9555F">
              <w:rPr>
                <w:noProof/>
              </w:rPr>
            </w:r>
            <w:r w:rsidR="00B9555F">
              <w:rPr>
                <w:noProof/>
              </w:rPr>
              <w:fldChar w:fldCharType="separate"/>
            </w:r>
            <w:r w:rsidR="00AE7E3B">
              <w:rPr>
                <w:noProof/>
              </w:rPr>
              <w:t>33</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lang w:eastAsia="en-AU"/>
              </w:rPr>
              <w:t>4.3.3</w:t>
            </w:r>
            <w:r>
              <w:rPr>
                <w:rFonts w:asciiTheme="minorHAnsi" w:eastAsiaTheme="minorEastAsia" w:hAnsiTheme="minorHAnsi" w:cstheme="minorBidi"/>
                <w:noProof/>
                <w:sz w:val="22"/>
                <w:szCs w:val="22"/>
                <w:lang w:eastAsia="en-AU"/>
              </w:rPr>
              <w:tab/>
            </w:r>
            <w:r>
              <w:rPr>
                <w:noProof/>
                <w:lang w:eastAsia="en-AU"/>
              </w:rPr>
              <w:t>Conversion factors</w:t>
            </w:r>
            <w:r>
              <w:rPr>
                <w:noProof/>
              </w:rPr>
              <w:tab/>
            </w:r>
            <w:r w:rsidR="00B9555F">
              <w:rPr>
                <w:noProof/>
              </w:rPr>
              <w:fldChar w:fldCharType="begin"/>
            </w:r>
            <w:r>
              <w:rPr>
                <w:noProof/>
              </w:rPr>
              <w:instrText xml:space="preserve"> PAGEREF _Toc279510577 \h </w:instrText>
            </w:r>
            <w:r w:rsidR="00B9555F">
              <w:rPr>
                <w:noProof/>
              </w:rPr>
            </w:r>
            <w:r w:rsidR="00B9555F">
              <w:rPr>
                <w:noProof/>
              </w:rPr>
              <w:fldChar w:fldCharType="separate"/>
            </w:r>
            <w:r w:rsidR="00AE7E3B">
              <w:rPr>
                <w:noProof/>
              </w:rPr>
              <w:t>34</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4.3.4</w:t>
            </w:r>
            <w:r>
              <w:rPr>
                <w:rFonts w:asciiTheme="minorHAnsi" w:eastAsiaTheme="minorEastAsia" w:hAnsiTheme="minorHAnsi" w:cstheme="minorBidi"/>
                <w:noProof/>
                <w:sz w:val="22"/>
                <w:szCs w:val="22"/>
                <w:lang w:eastAsia="en-AU"/>
              </w:rPr>
              <w:tab/>
            </w:r>
            <w:r>
              <w:rPr>
                <w:noProof/>
              </w:rPr>
              <w:t>Residual material</w:t>
            </w:r>
            <w:r>
              <w:rPr>
                <w:noProof/>
              </w:rPr>
              <w:tab/>
            </w:r>
            <w:r w:rsidR="00B9555F">
              <w:rPr>
                <w:noProof/>
              </w:rPr>
              <w:fldChar w:fldCharType="begin"/>
            </w:r>
            <w:r>
              <w:rPr>
                <w:noProof/>
              </w:rPr>
              <w:instrText xml:space="preserve"> PAGEREF _Toc279510578 \h </w:instrText>
            </w:r>
            <w:r w:rsidR="00B9555F">
              <w:rPr>
                <w:noProof/>
              </w:rPr>
            </w:r>
            <w:r w:rsidR="00B9555F">
              <w:rPr>
                <w:noProof/>
              </w:rPr>
              <w:fldChar w:fldCharType="separate"/>
            </w:r>
            <w:r w:rsidR="00AE7E3B">
              <w:rPr>
                <w:noProof/>
              </w:rPr>
              <w:t>34</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lang w:eastAsia="en-AU"/>
              </w:rPr>
              <w:t>4.3.5</w:t>
            </w:r>
            <w:r>
              <w:rPr>
                <w:rFonts w:asciiTheme="minorHAnsi" w:eastAsiaTheme="minorEastAsia" w:hAnsiTheme="minorHAnsi" w:cstheme="minorBidi"/>
                <w:noProof/>
                <w:sz w:val="22"/>
                <w:szCs w:val="22"/>
                <w:lang w:eastAsia="en-AU"/>
              </w:rPr>
              <w:tab/>
            </w:r>
            <w:r>
              <w:rPr>
                <w:noProof/>
                <w:lang w:eastAsia="en-AU"/>
              </w:rPr>
              <w:t>Input or output</w:t>
            </w:r>
            <w:r>
              <w:rPr>
                <w:noProof/>
              </w:rPr>
              <w:tab/>
            </w:r>
            <w:r w:rsidR="00B9555F">
              <w:rPr>
                <w:noProof/>
              </w:rPr>
              <w:fldChar w:fldCharType="begin"/>
            </w:r>
            <w:r>
              <w:rPr>
                <w:noProof/>
              </w:rPr>
              <w:instrText xml:space="preserve"> PAGEREF _Toc279510579 \h </w:instrText>
            </w:r>
            <w:r w:rsidR="00B9555F">
              <w:rPr>
                <w:noProof/>
              </w:rPr>
            </w:r>
            <w:r w:rsidR="00B9555F">
              <w:rPr>
                <w:noProof/>
              </w:rPr>
              <w:fldChar w:fldCharType="separate"/>
            </w:r>
            <w:r w:rsidR="00AE7E3B">
              <w:rPr>
                <w:noProof/>
              </w:rPr>
              <w:t>35</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4.3.6</w:t>
            </w:r>
            <w:r>
              <w:rPr>
                <w:rFonts w:asciiTheme="minorHAnsi" w:eastAsiaTheme="minorEastAsia" w:hAnsiTheme="minorHAnsi" w:cstheme="minorBidi"/>
                <w:noProof/>
                <w:sz w:val="22"/>
                <w:szCs w:val="22"/>
                <w:lang w:eastAsia="en-AU"/>
              </w:rPr>
              <w:tab/>
            </w:r>
            <w:r>
              <w:rPr>
                <w:noProof/>
              </w:rPr>
              <w:t>Interstate and international movement</w:t>
            </w:r>
            <w:r>
              <w:rPr>
                <w:noProof/>
              </w:rPr>
              <w:tab/>
            </w:r>
            <w:r w:rsidR="00B9555F">
              <w:rPr>
                <w:noProof/>
              </w:rPr>
              <w:fldChar w:fldCharType="begin"/>
            </w:r>
            <w:r>
              <w:rPr>
                <w:noProof/>
              </w:rPr>
              <w:instrText xml:space="preserve"> PAGEREF _Toc279510580 \h </w:instrText>
            </w:r>
            <w:r w:rsidR="00B9555F">
              <w:rPr>
                <w:noProof/>
              </w:rPr>
            </w:r>
            <w:r w:rsidR="00B9555F">
              <w:rPr>
                <w:noProof/>
              </w:rPr>
              <w:fldChar w:fldCharType="separate"/>
            </w:r>
            <w:r w:rsidR="00AE7E3B">
              <w:rPr>
                <w:noProof/>
              </w:rPr>
              <w:t>35</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rPr>
              <w:t>4.3.7</w:t>
            </w:r>
            <w:r>
              <w:rPr>
                <w:rFonts w:asciiTheme="minorHAnsi" w:eastAsiaTheme="minorEastAsia" w:hAnsiTheme="minorHAnsi" w:cstheme="minorBidi"/>
                <w:noProof/>
                <w:sz w:val="22"/>
                <w:szCs w:val="22"/>
                <w:lang w:eastAsia="en-AU"/>
              </w:rPr>
              <w:tab/>
            </w:r>
            <w:r>
              <w:rPr>
                <w:noProof/>
              </w:rPr>
              <w:t>Stockpiling</w:t>
            </w:r>
            <w:r>
              <w:rPr>
                <w:noProof/>
              </w:rPr>
              <w:tab/>
            </w:r>
            <w:r w:rsidR="00B9555F">
              <w:rPr>
                <w:noProof/>
              </w:rPr>
              <w:fldChar w:fldCharType="begin"/>
            </w:r>
            <w:r>
              <w:rPr>
                <w:noProof/>
              </w:rPr>
              <w:instrText xml:space="preserve"> PAGEREF _Toc279510581 \h </w:instrText>
            </w:r>
            <w:r w:rsidR="00B9555F">
              <w:rPr>
                <w:noProof/>
              </w:rPr>
            </w:r>
            <w:r w:rsidR="00B9555F">
              <w:rPr>
                <w:noProof/>
              </w:rPr>
              <w:fldChar w:fldCharType="separate"/>
            </w:r>
            <w:r w:rsidR="00AE7E3B">
              <w:rPr>
                <w:noProof/>
              </w:rPr>
              <w:t>36</w:t>
            </w:r>
            <w:r w:rsidR="00B9555F">
              <w:rPr>
                <w:noProof/>
              </w:rPr>
              <w:fldChar w:fldCharType="end"/>
            </w:r>
          </w:p>
          <w:p w:rsidR="00D033D3" w:rsidRDefault="00D033D3">
            <w:pPr>
              <w:pStyle w:val="TOC30"/>
              <w:rPr>
                <w:rFonts w:asciiTheme="minorHAnsi" w:eastAsiaTheme="minorEastAsia" w:hAnsiTheme="minorHAnsi" w:cstheme="minorBidi"/>
                <w:noProof/>
                <w:sz w:val="22"/>
                <w:szCs w:val="22"/>
                <w:lang w:eastAsia="en-AU"/>
              </w:rPr>
            </w:pPr>
            <w:r>
              <w:rPr>
                <w:noProof/>
                <w:lang w:eastAsia="en-AU"/>
              </w:rPr>
              <w:t>4.3.8</w:t>
            </w:r>
            <w:r>
              <w:rPr>
                <w:rFonts w:asciiTheme="minorHAnsi" w:eastAsiaTheme="minorEastAsia" w:hAnsiTheme="minorHAnsi" w:cstheme="minorBidi"/>
                <w:noProof/>
                <w:sz w:val="22"/>
                <w:szCs w:val="22"/>
                <w:lang w:eastAsia="en-AU"/>
              </w:rPr>
              <w:tab/>
            </w:r>
            <w:r>
              <w:rPr>
                <w:noProof/>
                <w:lang w:eastAsia="en-AU"/>
              </w:rPr>
              <w:t>Reporting delay</w:t>
            </w:r>
            <w:r>
              <w:rPr>
                <w:noProof/>
              </w:rPr>
              <w:tab/>
            </w:r>
            <w:r w:rsidR="00B9555F">
              <w:rPr>
                <w:noProof/>
              </w:rPr>
              <w:fldChar w:fldCharType="begin"/>
            </w:r>
            <w:r>
              <w:rPr>
                <w:noProof/>
              </w:rPr>
              <w:instrText xml:space="preserve"> PAGEREF _Toc279510582 \h </w:instrText>
            </w:r>
            <w:r w:rsidR="00B9555F">
              <w:rPr>
                <w:noProof/>
              </w:rPr>
            </w:r>
            <w:r w:rsidR="00B9555F">
              <w:rPr>
                <w:noProof/>
              </w:rPr>
              <w:fldChar w:fldCharType="separate"/>
            </w:r>
            <w:r w:rsidR="00AE7E3B">
              <w:rPr>
                <w:noProof/>
              </w:rPr>
              <w:t>37</w:t>
            </w:r>
            <w:r w:rsidR="00B9555F">
              <w:rPr>
                <w:noProof/>
              </w:rPr>
              <w:fldChar w:fldCharType="end"/>
            </w:r>
          </w:p>
          <w:p w:rsidR="00D033D3" w:rsidRDefault="00D033D3">
            <w:pPr>
              <w:pStyle w:val="TOC1"/>
              <w:rPr>
                <w:rFonts w:asciiTheme="minorHAnsi" w:eastAsiaTheme="minorEastAsia" w:hAnsiTheme="minorHAnsi" w:cstheme="minorBidi"/>
                <w:noProof/>
                <w:sz w:val="22"/>
                <w:szCs w:val="22"/>
                <w:lang w:eastAsia="en-AU"/>
              </w:rPr>
            </w:pPr>
            <w:r>
              <w:rPr>
                <w:noProof/>
              </w:rPr>
              <w:t>Appendix 1: DATA SOURCES</w:t>
            </w:r>
            <w:r>
              <w:rPr>
                <w:noProof/>
              </w:rPr>
              <w:tab/>
            </w:r>
            <w:r w:rsidR="00B9555F">
              <w:rPr>
                <w:noProof/>
              </w:rPr>
              <w:fldChar w:fldCharType="begin"/>
            </w:r>
            <w:r>
              <w:rPr>
                <w:noProof/>
              </w:rPr>
              <w:instrText xml:space="preserve"> PAGEREF _Toc279510583 \h </w:instrText>
            </w:r>
            <w:r w:rsidR="00B9555F">
              <w:rPr>
                <w:noProof/>
              </w:rPr>
            </w:r>
            <w:r w:rsidR="00B9555F">
              <w:rPr>
                <w:noProof/>
              </w:rPr>
              <w:fldChar w:fldCharType="separate"/>
            </w:r>
            <w:r w:rsidR="00AE7E3B">
              <w:rPr>
                <w:noProof/>
              </w:rPr>
              <w:t>37</w:t>
            </w:r>
            <w:r w:rsidR="00B9555F">
              <w:rPr>
                <w:noProof/>
              </w:rPr>
              <w:fldChar w:fldCharType="end"/>
            </w:r>
          </w:p>
          <w:p w:rsidR="00D033D3" w:rsidRPr="0036689C" w:rsidRDefault="00D033D3" w:rsidP="00D033D3">
            <w:pPr>
              <w:pStyle w:val="TOC1"/>
            </w:pPr>
            <w:r>
              <w:rPr>
                <w:noProof/>
              </w:rPr>
              <w:t>Appendix 2: REFERENCES</w:t>
            </w:r>
            <w:r>
              <w:rPr>
                <w:noProof/>
              </w:rPr>
              <w:tab/>
            </w:r>
            <w:r w:rsidR="00B9555F">
              <w:rPr>
                <w:noProof/>
              </w:rPr>
              <w:fldChar w:fldCharType="begin"/>
            </w:r>
            <w:r>
              <w:rPr>
                <w:noProof/>
              </w:rPr>
              <w:instrText xml:space="preserve"> PAGEREF _Toc279510584 \h </w:instrText>
            </w:r>
            <w:r w:rsidR="00B9555F">
              <w:rPr>
                <w:noProof/>
              </w:rPr>
            </w:r>
            <w:r w:rsidR="00B9555F">
              <w:rPr>
                <w:noProof/>
              </w:rPr>
              <w:fldChar w:fldCharType="separate"/>
            </w:r>
            <w:r w:rsidR="00AE7E3B">
              <w:rPr>
                <w:noProof/>
              </w:rPr>
              <w:t>41</w:t>
            </w:r>
            <w:r w:rsidR="00B9555F">
              <w:rPr>
                <w:noProof/>
              </w:rPr>
              <w:fldChar w:fldCharType="end"/>
            </w:r>
            <w:r w:rsidR="00B9555F">
              <w:fldChar w:fldCharType="end"/>
            </w:r>
          </w:p>
        </w:tc>
      </w:tr>
    </w:tbl>
    <w:p w:rsidR="00D033D3" w:rsidRPr="0036689C" w:rsidRDefault="00D033D3" w:rsidP="00737A4B">
      <w:pPr>
        <w:pStyle w:val="ParaMargin"/>
        <w:sectPr w:rsidR="00D033D3" w:rsidRPr="0036689C" w:rsidSect="00860B52">
          <w:headerReference w:type="even" r:id="rId84"/>
          <w:headerReference w:type="default" r:id="rId85"/>
          <w:footerReference w:type="default" r:id="rId86"/>
          <w:headerReference w:type="first" r:id="rId87"/>
          <w:type w:val="evenPage"/>
          <w:pgSz w:w="11907" w:h="16840" w:code="9"/>
          <w:pgMar w:top="1134" w:right="1134" w:bottom="1134" w:left="1134" w:header="567" w:footer="567" w:gutter="0"/>
          <w:pgNumType w:fmt="lowerRoman" w:start="1"/>
          <w:cols w:space="708"/>
          <w:docGrid w:linePitch="360"/>
        </w:sectPr>
      </w:pPr>
    </w:p>
    <w:p w:rsidR="00D033D3" w:rsidRDefault="00D033D3">
      <w:pPr>
        <w:spacing w:after="0" w:line="240" w:lineRule="auto"/>
        <w:ind w:left="0"/>
        <w:rPr>
          <w:rFonts w:cs="Arial"/>
          <w:caps/>
          <w:color w:val="495F70"/>
          <w:kern w:val="28"/>
          <w:sz w:val="40"/>
        </w:rPr>
      </w:pPr>
      <w:bookmarkStart w:id="307" w:name="_Toc264981514"/>
      <w:bookmarkStart w:id="308" w:name="_Toc279510542"/>
      <w:r>
        <w:br w:type="page"/>
      </w:r>
    </w:p>
    <w:p w:rsidR="00D033D3" w:rsidRDefault="00D033D3" w:rsidP="003673B6">
      <w:pPr>
        <w:pStyle w:val="Heading1"/>
        <w:numPr>
          <w:ilvl w:val="0"/>
          <w:numId w:val="50"/>
        </w:numPr>
      </w:pPr>
      <w:r>
        <w:t>EXECUTIVE SUMMARY</w:t>
      </w:r>
      <w:bookmarkEnd w:id="307"/>
      <w:bookmarkEnd w:id="308"/>
    </w:p>
    <w:p w:rsidR="00D033D3" w:rsidRPr="004D6405" w:rsidRDefault="00D033D3" w:rsidP="00D033D3">
      <w:pPr>
        <w:pStyle w:val="ParaIndent"/>
      </w:pPr>
      <w:r>
        <w:t>Previous national waste and recycling reports have noted a</w:t>
      </w:r>
      <w:r w:rsidRPr="004D6405">
        <w:t xml:space="preserve"> “lack of consistency between the material inclusions and definitions used for disposal and recycling in reports produced by differ</w:t>
      </w:r>
      <w:r>
        <w:t>ent states/territories” (</w:t>
      </w:r>
      <w:r w:rsidRPr="004D6405">
        <w:t xml:space="preserve">Waste </w:t>
      </w:r>
      <w:r>
        <w:t>and Recycling in Australia 2009, Hyder).</w:t>
      </w:r>
    </w:p>
    <w:p w:rsidR="00D033D3" w:rsidRDefault="00D033D3" w:rsidP="00D033D3">
      <w:pPr>
        <w:pStyle w:val="ParaIndent"/>
      </w:pPr>
      <w:r>
        <w:t>This is reflective of the different approaches of states and territories to collecting and reporting waste and recycling data. It is also reflective of the difficulty in defining what should be considered within the scope of waste and recycling reporting.</w:t>
      </w:r>
    </w:p>
    <w:p w:rsidR="00D033D3" w:rsidRDefault="00D033D3" w:rsidP="00D033D3">
      <w:pPr>
        <w:pStyle w:val="ParaIndent"/>
      </w:pPr>
      <w:r>
        <w:t>This report makes recommendations for a</w:t>
      </w:r>
      <w:r w:rsidRPr="004D6405">
        <w:t xml:space="preserve"> more consistent interpretation of </w:t>
      </w:r>
      <w:r>
        <w:t>these datasets</w:t>
      </w:r>
      <w:r w:rsidRPr="004D6405">
        <w:t xml:space="preserve"> for </w:t>
      </w:r>
      <w:r>
        <w:t xml:space="preserve">use in future national waste and recycling reporting (see </w:t>
      </w:r>
      <w:r w:rsidR="00B9555F">
        <w:fldChar w:fldCharType="begin"/>
      </w:r>
      <w:r>
        <w:instrText xml:space="preserve"> REF _Ref272241859 \h </w:instrText>
      </w:r>
      <w:r w:rsidR="00B9555F">
        <w:fldChar w:fldCharType="separate"/>
      </w:r>
      <w:r w:rsidR="00AE7E3B">
        <w:t xml:space="preserve">Table </w:t>
      </w:r>
      <w:r w:rsidR="00AE7E3B">
        <w:rPr>
          <w:noProof/>
        </w:rPr>
        <w:t>67</w:t>
      </w:r>
      <w:r w:rsidR="00B9555F">
        <w:fldChar w:fldCharType="end"/>
      </w:r>
      <w:r>
        <w:t xml:space="preserve">). These recommendations deal with some fundamental principles of the scope of waste and recycling reporting, some known issues of difference, and some issues regarding the measurement and recording of waste and recycling. These recommendations were informed by an appraisal of the definitions of key terms used in waste and recycling reporting, and an assessment </w:t>
      </w:r>
      <w:r w:rsidRPr="004D6405">
        <w:t>of waste and</w:t>
      </w:r>
      <w:r>
        <w:t xml:space="preserve"> recycling datasets produced nationally.</w:t>
      </w:r>
    </w:p>
    <w:p w:rsidR="00D033D3" w:rsidRDefault="00D033D3" w:rsidP="00D033D3">
      <w:pPr>
        <w:pStyle w:val="ParaIndent"/>
      </w:pPr>
      <w:r>
        <w:t>This exercise is important for future national waste and recycling reporting in that it addresses the need to, and the reasons for, setting boundaries around national waste and recycling reporting. As is discussed at various points in this report, what constitutes a waste, and what should be considered to be within the scope of waste and recycling reporting is not clearly agreed and depends on the environmental, economic and social context.</w:t>
      </w:r>
    </w:p>
    <w:p w:rsidR="00D033D3" w:rsidRDefault="00D033D3" w:rsidP="00D033D3">
      <w:pPr>
        <w:pStyle w:val="ParaIndent"/>
      </w:pPr>
    </w:p>
    <w:p w:rsidR="00D033D3" w:rsidRPr="00B15CEC" w:rsidRDefault="00D033D3" w:rsidP="00D033D3">
      <w:pPr>
        <w:pStyle w:val="TableHeading"/>
        <w:spacing w:after="180"/>
      </w:pPr>
      <w:r>
        <w:tab/>
      </w:r>
      <w:r>
        <w:tab/>
      </w:r>
      <w:r>
        <w:tab/>
      </w:r>
      <w:r w:rsidRPr="00E32E46">
        <w:t xml:space="preserve">Figure </w:t>
      </w:r>
      <w:r w:rsidR="00B9555F">
        <w:fldChar w:fldCharType="begin"/>
      </w:r>
      <w:r w:rsidR="000C6B88">
        <w:instrText xml:space="preserve"> SEQ Figure \* ARABIC </w:instrText>
      </w:r>
      <w:r w:rsidR="00B9555F">
        <w:fldChar w:fldCharType="separate"/>
      </w:r>
      <w:r w:rsidR="00AE7E3B">
        <w:rPr>
          <w:noProof/>
        </w:rPr>
        <w:t>31</w:t>
      </w:r>
      <w:r w:rsidR="00B9555F">
        <w:rPr>
          <w:noProof/>
        </w:rPr>
        <w:fldChar w:fldCharType="end"/>
      </w:r>
      <w:r w:rsidRPr="00E32E46">
        <w:t xml:space="preserve">: </w:t>
      </w:r>
      <w:r>
        <w:t>Overview of the r</w:t>
      </w:r>
      <w:r w:rsidRPr="00E32E46">
        <w:t>ecommended scope of future national waste and recycling reporting</w:t>
      </w:r>
    </w:p>
    <w:p w:rsidR="00D033D3" w:rsidRDefault="00D033D3" w:rsidP="00D033D3">
      <w:pPr>
        <w:pStyle w:val="ParaIndent"/>
      </w:pPr>
      <w:r>
        <w:rPr>
          <w:noProof/>
          <w:lang w:eastAsia="en-AU"/>
        </w:rPr>
        <w:drawing>
          <wp:inline distT="0" distB="0" distL="0" distR="0">
            <wp:extent cx="5241852" cy="333238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approach.emf"/>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064" cy="3336335"/>
                    </a:xfrm>
                    <a:prstGeom prst="rect">
                      <a:avLst/>
                    </a:prstGeom>
                  </pic:spPr>
                </pic:pic>
              </a:graphicData>
            </a:graphic>
          </wp:inline>
        </w:drawing>
      </w:r>
    </w:p>
    <w:p w:rsidR="00D033D3" w:rsidRDefault="00D033D3" w:rsidP="00D033D3">
      <w:pPr>
        <w:pStyle w:val="ParaIndent"/>
      </w:pPr>
    </w:p>
    <w:p w:rsidR="00D033D3" w:rsidRDefault="00D033D3">
      <w:pPr>
        <w:spacing w:after="0" w:line="240" w:lineRule="auto"/>
        <w:rPr>
          <w:b/>
          <w:color w:val="495F70"/>
          <w:sz w:val="18"/>
        </w:rPr>
      </w:pPr>
      <w:r>
        <w:br w:type="page"/>
      </w:r>
    </w:p>
    <w:p w:rsidR="00D033D3" w:rsidRDefault="00D033D3" w:rsidP="00D033D3">
      <w:pPr>
        <w:pStyle w:val="TableHeading"/>
        <w:spacing w:after="120"/>
      </w:pPr>
      <w:r>
        <w:tab/>
      </w:r>
      <w:r>
        <w:tab/>
      </w:r>
      <w:r>
        <w:tab/>
      </w:r>
      <w:bookmarkStart w:id="309" w:name="_Ref272241859"/>
      <w:r>
        <w:t xml:space="preserve">Table </w:t>
      </w:r>
      <w:r w:rsidR="00B9555F">
        <w:fldChar w:fldCharType="begin"/>
      </w:r>
      <w:r w:rsidR="000C6B88">
        <w:instrText xml:space="preserve"> SEQ Table \* ARABIC </w:instrText>
      </w:r>
      <w:r w:rsidR="00B9555F">
        <w:fldChar w:fldCharType="separate"/>
      </w:r>
      <w:r w:rsidR="00AE7E3B">
        <w:rPr>
          <w:noProof/>
        </w:rPr>
        <w:t>67</w:t>
      </w:r>
      <w:r w:rsidR="00B9555F">
        <w:rPr>
          <w:noProof/>
        </w:rPr>
        <w:fldChar w:fldCharType="end"/>
      </w:r>
      <w:bookmarkEnd w:id="309"/>
      <w:r>
        <w:t>: Recommendations for a more uniform approach to data</w:t>
      </w:r>
    </w:p>
    <w:p w:rsidR="004B221A" w:rsidRDefault="00B9555F">
      <w:pPr>
        <w:pStyle w:val="TableofFigures"/>
        <w:rPr>
          <w:rFonts w:asciiTheme="minorHAnsi" w:eastAsiaTheme="minorEastAsia" w:hAnsiTheme="minorHAnsi" w:cstheme="minorBidi"/>
          <w:sz w:val="22"/>
          <w:szCs w:val="22"/>
          <w:lang w:eastAsia="en-AU"/>
        </w:rPr>
      </w:pPr>
      <w:r w:rsidRPr="00B9555F">
        <w:fldChar w:fldCharType="begin"/>
      </w:r>
      <w:r w:rsidR="00D033D3" w:rsidRPr="00DF7A0F">
        <w:instrText xml:space="preserve"> TOC \n \h \z \c "Recommendation" </w:instrText>
      </w:r>
      <w:r w:rsidRPr="00B9555F">
        <w:fldChar w:fldCharType="separate"/>
      </w:r>
      <w:hyperlink w:anchor="_Toc333908392" w:history="1">
        <w:r w:rsidR="004B221A" w:rsidRPr="00C50F98">
          <w:rPr>
            <w:rStyle w:val="Hyperlink"/>
          </w:rPr>
          <w:t>Recommendation 1 (from the method report): the scope should be limited to waste material that is recycled, recovered for energy and disposed. Re-use is excluded from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393" w:history="1">
        <w:r w:rsidR="004B221A" w:rsidRPr="00C50F98">
          <w:rPr>
            <w:rStyle w:val="Hyperlink"/>
          </w:rPr>
          <w:t>Recommendation 2: Waste generation and waste disposal quantities should be reported, as well as recycling and recovery rates.</w:t>
        </w:r>
      </w:hyperlink>
    </w:p>
    <w:p w:rsidR="004B221A" w:rsidRDefault="00B9555F">
      <w:pPr>
        <w:pStyle w:val="TableofFigures"/>
        <w:rPr>
          <w:rFonts w:asciiTheme="minorHAnsi" w:eastAsiaTheme="minorEastAsia" w:hAnsiTheme="minorHAnsi" w:cstheme="minorBidi"/>
          <w:sz w:val="22"/>
          <w:szCs w:val="22"/>
          <w:lang w:eastAsia="en-AU"/>
        </w:rPr>
      </w:pPr>
      <w:hyperlink w:anchor="_Toc333908394" w:history="1">
        <w:r w:rsidR="004B221A" w:rsidRPr="00C50F98">
          <w:rPr>
            <w:rStyle w:val="Hyperlink"/>
            <w:rFonts w:cs="Arial"/>
          </w:rPr>
          <w:t>Recommendation 1: The scope should be limited to waste material that is collected for recycling, energy recovery and disposal, and re-use is excluded from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395" w:history="1">
        <w:r w:rsidR="004B221A" w:rsidRPr="00C50F98">
          <w:rPr>
            <w:rStyle w:val="Hyperlink"/>
            <w:rFonts w:cs="Arial"/>
          </w:rPr>
          <w:t>Recommendation 2: Waste generation and waste disposal should be considered a more useful indicator of environmental impact than recycling and recovery rates.</w:t>
        </w:r>
      </w:hyperlink>
    </w:p>
    <w:p w:rsidR="004B221A" w:rsidRDefault="00B9555F">
      <w:pPr>
        <w:pStyle w:val="TableofFigures"/>
        <w:rPr>
          <w:rFonts w:asciiTheme="minorHAnsi" w:eastAsiaTheme="minorEastAsia" w:hAnsiTheme="minorHAnsi" w:cstheme="minorBidi"/>
          <w:sz w:val="22"/>
          <w:szCs w:val="22"/>
          <w:lang w:eastAsia="en-AU"/>
        </w:rPr>
      </w:pPr>
      <w:hyperlink w:anchor="_Toc333908396" w:history="1">
        <w:r w:rsidR="004B221A" w:rsidRPr="00C50F98">
          <w:rPr>
            <w:rStyle w:val="Hyperlink"/>
            <w:rFonts w:cs="Arial"/>
          </w:rPr>
          <w:t>Recommendation 3: Liquid and gaseous wastes should be excluded from the scope at this stage.</w:t>
        </w:r>
      </w:hyperlink>
    </w:p>
    <w:p w:rsidR="004B221A" w:rsidRDefault="00B9555F">
      <w:pPr>
        <w:pStyle w:val="TableofFigures"/>
        <w:rPr>
          <w:rFonts w:asciiTheme="minorHAnsi" w:eastAsiaTheme="minorEastAsia" w:hAnsiTheme="minorHAnsi" w:cstheme="minorBidi"/>
          <w:sz w:val="22"/>
          <w:szCs w:val="22"/>
          <w:lang w:eastAsia="en-AU"/>
        </w:rPr>
      </w:pPr>
      <w:hyperlink w:anchor="_Toc333908397" w:history="1">
        <w:r w:rsidR="004B221A" w:rsidRPr="00C50F98">
          <w:rPr>
            <w:rStyle w:val="Hyperlink"/>
            <w:rFonts w:cs="Arial"/>
          </w:rPr>
          <w:t>Recommendation 4: Report waste generation data on a per capita basis using population figures that correspond to the reporting period.</w:t>
        </w:r>
      </w:hyperlink>
    </w:p>
    <w:p w:rsidR="004B221A" w:rsidRDefault="00B9555F">
      <w:pPr>
        <w:pStyle w:val="TableofFigures"/>
        <w:rPr>
          <w:rFonts w:asciiTheme="minorHAnsi" w:eastAsiaTheme="minorEastAsia" w:hAnsiTheme="minorHAnsi" w:cstheme="minorBidi"/>
          <w:sz w:val="22"/>
          <w:szCs w:val="22"/>
          <w:lang w:eastAsia="en-AU"/>
        </w:rPr>
      </w:pPr>
      <w:hyperlink w:anchor="_Toc333908398" w:history="1">
        <w:r w:rsidR="004B221A" w:rsidRPr="00C50F98">
          <w:rPr>
            <w:rStyle w:val="Hyperlink"/>
            <w:rFonts w:cs="Arial"/>
          </w:rPr>
          <w:t>Recommendation 5: Waste and recycling should be reported by weight.</w:t>
        </w:r>
      </w:hyperlink>
    </w:p>
    <w:p w:rsidR="004B221A" w:rsidRDefault="00B9555F">
      <w:pPr>
        <w:pStyle w:val="TableofFigures"/>
        <w:rPr>
          <w:rFonts w:asciiTheme="minorHAnsi" w:eastAsiaTheme="minorEastAsia" w:hAnsiTheme="minorHAnsi" w:cstheme="minorBidi"/>
          <w:sz w:val="22"/>
          <w:szCs w:val="22"/>
          <w:lang w:eastAsia="en-AU"/>
        </w:rPr>
      </w:pPr>
      <w:hyperlink w:anchor="_Toc333908399" w:history="1">
        <w:r w:rsidR="004B221A" w:rsidRPr="00C50F98">
          <w:rPr>
            <w:rStyle w:val="Hyperlink"/>
            <w:rFonts w:cs="Arial"/>
          </w:rPr>
          <w:t>Recommendation 6: Waste converted to energy should be counted as a separate disposal pathway to recycling and disposal.</w:t>
        </w:r>
      </w:hyperlink>
    </w:p>
    <w:p w:rsidR="004B221A" w:rsidRDefault="00B9555F">
      <w:pPr>
        <w:pStyle w:val="TableofFigures"/>
        <w:rPr>
          <w:rFonts w:asciiTheme="minorHAnsi" w:eastAsiaTheme="minorEastAsia" w:hAnsiTheme="minorHAnsi" w:cstheme="minorBidi"/>
          <w:sz w:val="22"/>
          <w:szCs w:val="22"/>
          <w:lang w:eastAsia="en-AU"/>
        </w:rPr>
      </w:pPr>
      <w:hyperlink w:anchor="_Toc333908400" w:history="1">
        <w:r w:rsidR="004B221A" w:rsidRPr="00C50F98">
          <w:rPr>
            <w:rStyle w:val="Hyperlink"/>
            <w:rFonts w:cs="Arial"/>
          </w:rPr>
          <w:t xml:space="preserve">Recommendation 7: The definitions in the </w:t>
        </w:r>
        <w:r w:rsidR="004B221A" w:rsidRPr="00C50F98">
          <w:rPr>
            <w:rStyle w:val="Hyperlink"/>
            <w:rFonts w:cs="Arial"/>
            <w:i/>
          </w:rPr>
          <w:t>National Waste Report 2010</w:t>
        </w:r>
        <w:r w:rsidR="004B221A" w:rsidRPr="00C50F98">
          <w:rPr>
            <w:rStyle w:val="Hyperlink"/>
            <w:rFonts w:cs="Arial"/>
          </w:rPr>
          <w:t xml:space="preserve"> for the three major solid waste streams should be used.</w:t>
        </w:r>
      </w:hyperlink>
    </w:p>
    <w:p w:rsidR="004B221A" w:rsidRDefault="00B9555F">
      <w:pPr>
        <w:pStyle w:val="TableofFigures"/>
        <w:rPr>
          <w:rFonts w:asciiTheme="minorHAnsi" w:eastAsiaTheme="minorEastAsia" w:hAnsiTheme="minorHAnsi" w:cstheme="minorBidi"/>
          <w:sz w:val="22"/>
          <w:szCs w:val="22"/>
          <w:lang w:eastAsia="en-AU"/>
        </w:rPr>
      </w:pPr>
      <w:hyperlink w:anchor="_Toc333908401" w:history="1">
        <w:r w:rsidR="004B221A" w:rsidRPr="00C50F98">
          <w:rPr>
            <w:rStyle w:val="Hyperlink"/>
            <w:rFonts w:cs="Arial"/>
          </w:rPr>
          <w:t>Recommendation 8: Wastes generated by the core processes of primary production should be excluded from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402" w:history="1">
        <w:r w:rsidR="004B221A" w:rsidRPr="00C50F98">
          <w:rPr>
            <w:rStyle w:val="Hyperlink"/>
            <w:rFonts w:cs="Arial"/>
          </w:rPr>
          <w:t>Recommendation 9: Pre-consumer wastes that are recycled on-site as part of the manufacturing process should be excluded from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403" w:history="1">
        <w:r w:rsidR="004B221A" w:rsidRPr="00C50F98">
          <w:rPr>
            <w:rStyle w:val="Hyperlink"/>
            <w:rFonts w:cs="Arial"/>
          </w:rPr>
          <w:t>Recommendation 10: Bark and sawdust from forestry operations, and mining and mineral processing wastes should be excluded from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404" w:history="1">
        <w:r w:rsidR="004B221A" w:rsidRPr="00C50F98">
          <w:rPr>
            <w:rStyle w:val="Hyperlink"/>
            <w:rFonts w:cs="Arial"/>
          </w:rPr>
          <w:t>Recommendation 11: Agricultural wastes are excluded from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405" w:history="1">
        <w:r w:rsidR="004B221A" w:rsidRPr="00C50F98">
          <w:rPr>
            <w:rStyle w:val="Hyperlink"/>
            <w:rFonts w:cs="Arial"/>
          </w:rPr>
          <w:t xml:space="preserve">Recommendation 12: Soil, sand and rock should be included </w:t>
        </w:r>
        <w:r w:rsidR="004B221A" w:rsidRPr="00C50F98">
          <w:rPr>
            <w:rStyle w:val="Hyperlink"/>
            <w:rFonts w:cs="Arial"/>
            <w:lang w:eastAsia="en-AU"/>
          </w:rPr>
          <w:t>the scope, but be reported separately to the total of all other materials included within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406" w:history="1">
        <w:r w:rsidR="004B221A" w:rsidRPr="00C50F98">
          <w:rPr>
            <w:rStyle w:val="Hyperlink"/>
            <w:rFonts w:cs="Arial"/>
          </w:rPr>
          <w:t>Recommendation 13: Daily cover should be included in reporting on soil, sand and rock</w:t>
        </w:r>
        <w:r w:rsidR="004B221A" w:rsidRPr="00C50F98">
          <w:rPr>
            <w:rStyle w:val="Hyperlink"/>
            <w:rFonts w:cs="Arial"/>
            <w:lang w:eastAsia="en-AU"/>
          </w:rPr>
          <w:t>.</w:t>
        </w:r>
      </w:hyperlink>
    </w:p>
    <w:p w:rsidR="004B221A" w:rsidRDefault="00B9555F">
      <w:pPr>
        <w:pStyle w:val="TableofFigures"/>
        <w:rPr>
          <w:rFonts w:asciiTheme="minorHAnsi" w:eastAsiaTheme="minorEastAsia" w:hAnsiTheme="minorHAnsi" w:cstheme="minorBidi"/>
          <w:sz w:val="22"/>
          <w:szCs w:val="22"/>
          <w:lang w:eastAsia="en-AU"/>
        </w:rPr>
      </w:pPr>
      <w:hyperlink w:anchor="_Toc333908407" w:history="1">
        <w:r w:rsidR="004B221A" w:rsidRPr="00C50F98">
          <w:rPr>
            <w:rStyle w:val="Hyperlink"/>
            <w:rFonts w:cs="Arial"/>
          </w:rPr>
          <w:t xml:space="preserve">Recommendation 14: Fly ash should be included in the scope, but </w:t>
        </w:r>
        <w:r w:rsidR="004B221A" w:rsidRPr="00C50F98">
          <w:rPr>
            <w:rStyle w:val="Hyperlink"/>
            <w:rFonts w:cs="Arial"/>
            <w:lang w:eastAsia="en-AU"/>
          </w:rPr>
          <w:t>is reported separately to the total of all other materials included in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408" w:history="1">
        <w:r w:rsidR="004B221A" w:rsidRPr="00C50F98">
          <w:rPr>
            <w:rStyle w:val="Hyperlink"/>
            <w:rFonts w:cs="Arial"/>
          </w:rPr>
          <w:t>Recommendation 15: Bio-solids should be included in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409" w:history="1">
        <w:r w:rsidR="004B221A" w:rsidRPr="00C50F98">
          <w:rPr>
            <w:rStyle w:val="Hyperlink"/>
            <w:rFonts w:cs="Arial"/>
          </w:rPr>
          <w:t>Recommendation 16</w:t>
        </w:r>
        <w:r w:rsidR="004B221A" w:rsidRPr="00C50F98">
          <w:rPr>
            <w:rStyle w:val="Hyperlink"/>
            <w:rFonts w:cs="Arial"/>
            <w:lang w:eastAsia="en-AU"/>
          </w:rPr>
          <w:t xml:space="preserve">: Hazardous, prescribed or clinical wastes </w:t>
        </w:r>
        <w:r w:rsidR="004B221A" w:rsidRPr="00C50F98">
          <w:rPr>
            <w:rStyle w:val="Hyperlink"/>
            <w:rFonts w:cs="Arial"/>
          </w:rPr>
          <w:t xml:space="preserve">should </w:t>
        </w:r>
        <w:r w:rsidR="004B221A" w:rsidRPr="00C50F98">
          <w:rPr>
            <w:rStyle w:val="Hyperlink"/>
            <w:rFonts w:cs="Arial"/>
            <w:lang w:eastAsia="en-AU"/>
          </w:rPr>
          <w:t>be included in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410" w:history="1">
        <w:r w:rsidR="004B221A" w:rsidRPr="00C50F98">
          <w:rPr>
            <w:rStyle w:val="Hyperlink"/>
            <w:rFonts w:cs="Arial"/>
          </w:rPr>
          <w:t>Recommendation 17: Quarantine wastes from ships should be included in the scope.</w:t>
        </w:r>
      </w:hyperlink>
    </w:p>
    <w:p w:rsidR="004B221A" w:rsidRDefault="00B9555F">
      <w:pPr>
        <w:pStyle w:val="TableofFigures"/>
        <w:rPr>
          <w:rFonts w:asciiTheme="minorHAnsi" w:eastAsiaTheme="minorEastAsia" w:hAnsiTheme="minorHAnsi" w:cstheme="minorBidi"/>
          <w:sz w:val="22"/>
          <w:szCs w:val="22"/>
          <w:lang w:eastAsia="en-AU"/>
        </w:rPr>
      </w:pPr>
      <w:hyperlink w:anchor="_Toc333908411" w:history="1">
        <w:r w:rsidR="004B221A" w:rsidRPr="00C50F98">
          <w:rPr>
            <w:rStyle w:val="Hyperlink"/>
            <w:rFonts w:cs="Arial"/>
          </w:rPr>
          <w:t>Recommendation 18: A consistent set of materials should be used to report the composition of waste streams (see Table 3).</w:t>
        </w:r>
      </w:hyperlink>
    </w:p>
    <w:p w:rsidR="004B221A" w:rsidRDefault="00B9555F">
      <w:pPr>
        <w:pStyle w:val="TableofFigures"/>
        <w:rPr>
          <w:rFonts w:asciiTheme="minorHAnsi" w:eastAsiaTheme="minorEastAsia" w:hAnsiTheme="minorHAnsi" w:cstheme="minorBidi"/>
          <w:sz w:val="22"/>
          <w:szCs w:val="22"/>
          <w:lang w:eastAsia="en-AU"/>
        </w:rPr>
      </w:pPr>
      <w:hyperlink w:anchor="_Toc333908412" w:history="1">
        <w:r w:rsidR="004B221A" w:rsidRPr="00C50F98">
          <w:rPr>
            <w:rStyle w:val="Hyperlink"/>
            <w:rFonts w:cs="Arial"/>
          </w:rPr>
          <w:t>Recommendation 19: Waste should be counted by the stream that it is collected in unless data is readily available.</w:t>
        </w:r>
      </w:hyperlink>
    </w:p>
    <w:p w:rsidR="004B221A" w:rsidRDefault="00B9555F">
      <w:pPr>
        <w:pStyle w:val="TableofFigures"/>
        <w:rPr>
          <w:rFonts w:asciiTheme="minorHAnsi" w:eastAsiaTheme="minorEastAsia" w:hAnsiTheme="minorHAnsi" w:cstheme="minorBidi"/>
          <w:sz w:val="22"/>
          <w:szCs w:val="22"/>
          <w:lang w:eastAsia="en-AU"/>
        </w:rPr>
      </w:pPr>
      <w:hyperlink w:anchor="_Toc333908413" w:history="1">
        <w:r w:rsidR="004B221A" w:rsidRPr="00C50F98">
          <w:rPr>
            <w:rStyle w:val="Hyperlink"/>
            <w:rFonts w:cs="Arial"/>
          </w:rPr>
          <w:t>Recommendation 20: Standard conversion factors should be used except for where states or territories have justification to apply jurisdiction or site specific conversion factors.</w:t>
        </w:r>
      </w:hyperlink>
    </w:p>
    <w:p w:rsidR="004B221A" w:rsidRDefault="00B9555F">
      <w:pPr>
        <w:pStyle w:val="TableofFigures"/>
        <w:rPr>
          <w:rFonts w:asciiTheme="minorHAnsi" w:eastAsiaTheme="minorEastAsia" w:hAnsiTheme="minorHAnsi" w:cstheme="minorBidi"/>
          <w:sz w:val="22"/>
          <w:szCs w:val="22"/>
          <w:lang w:eastAsia="en-AU"/>
        </w:rPr>
      </w:pPr>
      <w:hyperlink w:anchor="_Toc333908414" w:history="1">
        <w:r w:rsidR="004B221A" w:rsidRPr="00C50F98">
          <w:rPr>
            <w:rStyle w:val="Hyperlink"/>
            <w:rFonts w:cs="Arial"/>
          </w:rPr>
          <w:t>Recommendation 21: Residual material from recycling operations should not be counted as recycled material.</w:t>
        </w:r>
      </w:hyperlink>
    </w:p>
    <w:p w:rsidR="004B221A" w:rsidRDefault="00B9555F">
      <w:pPr>
        <w:pStyle w:val="TableofFigures"/>
        <w:rPr>
          <w:rFonts w:asciiTheme="minorHAnsi" w:eastAsiaTheme="minorEastAsia" w:hAnsiTheme="minorHAnsi" w:cstheme="minorBidi"/>
          <w:sz w:val="22"/>
          <w:szCs w:val="22"/>
          <w:lang w:eastAsia="en-AU"/>
        </w:rPr>
      </w:pPr>
      <w:hyperlink w:anchor="_Toc333908415" w:history="1">
        <w:r w:rsidR="004B221A" w:rsidRPr="00C50F98">
          <w:rPr>
            <w:rStyle w:val="Hyperlink"/>
            <w:rFonts w:cs="Arial"/>
          </w:rPr>
          <w:t>Recommendation 22: Recycling should be counted by material input (less residual material).</w:t>
        </w:r>
      </w:hyperlink>
    </w:p>
    <w:p w:rsidR="004B221A" w:rsidRDefault="00B9555F">
      <w:pPr>
        <w:pStyle w:val="TableofFigures"/>
        <w:rPr>
          <w:rFonts w:asciiTheme="minorHAnsi" w:eastAsiaTheme="minorEastAsia" w:hAnsiTheme="minorHAnsi" w:cstheme="minorBidi"/>
          <w:sz w:val="22"/>
          <w:szCs w:val="22"/>
          <w:lang w:eastAsia="en-AU"/>
        </w:rPr>
      </w:pPr>
      <w:hyperlink w:anchor="_Toc333908416" w:history="1">
        <w:r w:rsidR="004B221A" w:rsidRPr="00C50F98">
          <w:rPr>
            <w:rStyle w:val="Hyperlink"/>
            <w:rFonts w:cs="Arial"/>
          </w:rPr>
          <w:t>Recommendation 23: Waste should be counted once at the point of generation.</w:t>
        </w:r>
      </w:hyperlink>
    </w:p>
    <w:p w:rsidR="004B221A" w:rsidRDefault="00B9555F">
      <w:pPr>
        <w:pStyle w:val="TableofFigures"/>
        <w:rPr>
          <w:rFonts w:asciiTheme="minorHAnsi" w:eastAsiaTheme="minorEastAsia" w:hAnsiTheme="minorHAnsi" w:cstheme="minorBidi"/>
          <w:sz w:val="22"/>
          <w:szCs w:val="22"/>
          <w:lang w:eastAsia="en-AU"/>
        </w:rPr>
      </w:pPr>
      <w:hyperlink w:anchor="_Toc333908417" w:history="1">
        <w:r w:rsidR="004B221A" w:rsidRPr="00C50F98">
          <w:rPr>
            <w:rStyle w:val="Hyperlink"/>
            <w:rFonts w:cs="Arial"/>
          </w:rPr>
          <w:t>Recommendation 24: Stockpiles of reprocessed product or material that has been actively recovered should be considered to be recycled.</w:t>
        </w:r>
      </w:hyperlink>
    </w:p>
    <w:p w:rsidR="004B221A" w:rsidRDefault="00B9555F">
      <w:pPr>
        <w:pStyle w:val="TableofFigures"/>
        <w:rPr>
          <w:rFonts w:asciiTheme="minorHAnsi" w:eastAsiaTheme="minorEastAsia" w:hAnsiTheme="minorHAnsi" w:cstheme="minorBidi"/>
          <w:sz w:val="22"/>
          <w:szCs w:val="22"/>
          <w:lang w:eastAsia="en-AU"/>
        </w:rPr>
      </w:pPr>
      <w:hyperlink w:anchor="_Toc333908418" w:history="1">
        <w:r w:rsidR="004B221A" w:rsidRPr="00C50F98">
          <w:rPr>
            <w:rStyle w:val="Hyperlink"/>
            <w:rFonts w:cs="Arial"/>
          </w:rPr>
          <w:t>Recommendation 25: Waste and recycling reporting should include both the most up to date data, and data from most recent time period reported on by all jurisdictions.</w:t>
        </w:r>
      </w:hyperlink>
    </w:p>
    <w:p w:rsidR="00D033D3" w:rsidRDefault="00B9555F" w:rsidP="003673B6">
      <w:pPr>
        <w:pStyle w:val="ParaIndent"/>
        <w:rPr>
          <w:noProof/>
        </w:rPr>
      </w:pPr>
      <w:r w:rsidRPr="00DF7A0F">
        <w:rPr>
          <w:noProof/>
        </w:rPr>
        <w:fldChar w:fldCharType="end"/>
      </w:r>
      <w:r w:rsidR="00D033D3">
        <w:rPr>
          <w:noProof/>
        </w:rPr>
        <w:br w:type="page"/>
      </w:r>
    </w:p>
    <w:p w:rsidR="00D033D3" w:rsidRPr="002C4F2C" w:rsidRDefault="00D033D3" w:rsidP="00D033D3">
      <w:pPr>
        <w:pStyle w:val="Heading1"/>
      </w:pPr>
      <w:bookmarkStart w:id="310" w:name="_Toc264981515"/>
      <w:bookmarkStart w:id="311" w:name="_Toc279510543"/>
      <w:r w:rsidRPr="002C4F2C">
        <w:t>INTRODUCTION</w:t>
      </w:r>
      <w:bookmarkEnd w:id="310"/>
      <w:bookmarkEnd w:id="311"/>
    </w:p>
    <w:p w:rsidR="00D033D3" w:rsidRDefault="00D033D3" w:rsidP="00D033D3">
      <w:pPr>
        <w:pStyle w:val="ParaIndent"/>
      </w:pPr>
      <w:r>
        <w:t>The objective of this report is to collate a series of recommendations that will lead to a more uniform approach to interpreting waste and recycling data generated by Australian states and territories.</w:t>
      </w:r>
    </w:p>
    <w:p w:rsidR="00D033D3" w:rsidRDefault="00D033D3" w:rsidP="00D033D3">
      <w:pPr>
        <w:pStyle w:val="ParaIndent"/>
      </w:pPr>
      <w:r>
        <w:t xml:space="preserve">In 2006, Hyder Consulting (Hyder) produced a report for the (then) Department of the Environment and Heritage titled </w:t>
      </w:r>
      <w:r w:rsidRPr="00E5162E">
        <w:rPr>
          <w:i/>
        </w:rPr>
        <w:t>Waste and Recycling in Australia</w:t>
      </w:r>
      <w:r>
        <w:t>. This report aggregated previously released and unreleased data for 2002-03 and informed the Department’s 2006 submission to the Productivity Commission’s inquiry into waste generation and resource efficiency in Australia.</w:t>
      </w:r>
    </w:p>
    <w:p w:rsidR="00D033D3" w:rsidRDefault="00D033D3" w:rsidP="00D033D3">
      <w:pPr>
        <w:pStyle w:val="ParaIndent"/>
      </w:pPr>
      <w:r>
        <w:t>Hyder produced a report with the same title in 2008 for the (then) Department of the Environment, Water, Heritage and the Arts (DEWHA) collating data for the financial year 2006-07. The 2008 report updated and supplemented information contained in the 2006 report, and endeavoured to “provide the most up-to-date and comprehensive picture of waste and recycling activity in Australia” (Hyder, 2008c).</w:t>
      </w:r>
    </w:p>
    <w:p w:rsidR="00D033D3" w:rsidRDefault="00D033D3" w:rsidP="00D033D3">
      <w:pPr>
        <w:pStyle w:val="ParaIndent"/>
      </w:pPr>
      <w:r>
        <w:t>An amended version of the 2008 report was produced by Hyder in 2009 to incorporate 2006-07 data from states and territories. The amended version also included the latest data for some organic materials that had become available subsequent to the publication of the original report in 2008.</w:t>
      </w:r>
    </w:p>
    <w:p w:rsidR="00D033D3" w:rsidRDefault="00D033D3">
      <w:pPr>
        <w:pStyle w:val="ParaIndent"/>
        <w:keepNext/>
        <w:spacing w:after="120"/>
      </w:pPr>
      <w:r>
        <w:t>The Hyder (2009) report noted that:</w:t>
      </w:r>
    </w:p>
    <w:p w:rsidR="00D033D3" w:rsidRDefault="00D033D3" w:rsidP="00D033D3">
      <w:pPr>
        <w:pStyle w:val="ParaIndent"/>
        <w:ind w:left="1701"/>
        <w:rPr>
          <w:sz w:val="18"/>
          <w:szCs w:val="18"/>
        </w:rPr>
      </w:pPr>
      <w:r w:rsidRPr="006F47AE">
        <w:rPr>
          <w:sz w:val="18"/>
          <w:szCs w:val="18"/>
        </w:rPr>
        <w:t>The data contained within the report should be used with caution as it has been drawn from a range of sources with varying data quality and methodologies.</w:t>
      </w:r>
    </w:p>
    <w:p w:rsidR="00D033D3" w:rsidRDefault="00D033D3" w:rsidP="00D033D3">
      <w:pPr>
        <w:pStyle w:val="ParaIndent"/>
        <w:keepNext/>
        <w:tabs>
          <w:tab w:val="left" w:pos="6497"/>
        </w:tabs>
        <w:spacing w:after="120"/>
      </w:pPr>
      <w:r w:rsidRPr="000E5342">
        <w:t xml:space="preserve">In particular, the </w:t>
      </w:r>
      <w:r>
        <w:t xml:space="preserve">Hyder (2009) </w:t>
      </w:r>
      <w:r w:rsidRPr="000E5342">
        <w:t>report stated that:</w:t>
      </w:r>
      <w:r>
        <w:tab/>
      </w:r>
    </w:p>
    <w:p w:rsidR="00D033D3" w:rsidRPr="000E5342" w:rsidRDefault="00D033D3" w:rsidP="00D033D3">
      <w:pPr>
        <w:pStyle w:val="ParaIndent"/>
        <w:ind w:left="1701"/>
        <w:rPr>
          <w:sz w:val="18"/>
          <w:szCs w:val="18"/>
        </w:rPr>
      </w:pPr>
      <w:r w:rsidRPr="000E5342">
        <w:rPr>
          <w:sz w:val="18"/>
          <w:szCs w:val="18"/>
        </w:rPr>
        <w:t>There is a lack of consistency between the material inclusions and definitions used for disposal and recycling in reports produced by different states/territories.</w:t>
      </w:r>
    </w:p>
    <w:p w:rsidR="00D033D3" w:rsidRDefault="00D033D3" w:rsidP="00D033D3">
      <w:pPr>
        <w:pStyle w:val="ParaIndent"/>
      </w:pPr>
      <w:r>
        <w:rPr>
          <w:rFonts w:cs="Arial"/>
        </w:rPr>
        <w:t xml:space="preserve">Consequently, it has not always been possible to make accurate comparisons within or between datasets. </w:t>
      </w:r>
      <w:r>
        <w:t xml:space="preserve">The purpose of this study is </w:t>
      </w:r>
      <w:r>
        <w:rPr>
          <w:rFonts w:cs="Arial"/>
        </w:rPr>
        <w:t xml:space="preserve">to further assess the consistency of waste and recycling datasets nationally, and identify specific recommendations that will lead to a more uniform approach to </w:t>
      </w:r>
      <w:r>
        <w:t xml:space="preserve">data generated and collected for the purpose of future national reporting. </w:t>
      </w:r>
    </w:p>
    <w:p w:rsidR="00D033D3" w:rsidRDefault="00D033D3">
      <w:pPr>
        <w:pStyle w:val="ParaIndent"/>
        <w:spacing w:after="120"/>
      </w:pPr>
      <w:r>
        <w:t>This objective aligns with the ‘Providing the evidence’ key direction of the National Waste Policy. The objective of this direction is to:</w:t>
      </w:r>
    </w:p>
    <w:p w:rsidR="00D033D3" w:rsidRDefault="00D033D3" w:rsidP="00D033D3">
      <w:pPr>
        <w:pStyle w:val="ParaIndent"/>
        <w:ind w:left="1689"/>
        <w:rPr>
          <w:sz w:val="18"/>
          <w:szCs w:val="18"/>
        </w:rPr>
      </w:pPr>
      <w:r>
        <w:rPr>
          <w:sz w:val="18"/>
          <w:szCs w:val="18"/>
        </w:rPr>
        <w:t>Develop capacity to effectively collect consistent, accurate and meaningful national waste and resource recovery data to inform policy and decisions.</w:t>
      </w:r>
    </w:p>
    <w:p w:rsidR="00D033D3" w:rsidRDefault="00D033D3">
      <w:pPr>
        <w:pStyle w:val="ParaIndent"/>
        <w:spacing w:after="120"/>
        <w:rPr>
          <w:rFonts w:cs="Arial"/>
        </w:rPr>
      </w:pPr>
      <w:r>
        <w:rPr>
          <w:rFonts w:cs="Arial"/>
        </w:rPr>
        <w:t>The direction also states that:</w:t>
      </w:r>
    </w:p>
    <w:p w:rsidR="00D033D3" w:rsidRPr="005630EE" w:rsidRDefault="00D033D3" w:rsidP="00D033D3">
      <w:pPr>
        <w:pStyle w:val="ParaIndent"/>
        <w:ind w:left="1689"/>
        <w:rPr>
          <w:rFonts w:cs="Arial"/>
          <w:sz w:val="18"/>
          <w:szCs w:val="18"/>
        </w:rPr>
      </w:pPr>
      <w:r>
        <w:rPr>
          <w:rFonts w:cs="Arial"/>
          <w:sz w:val="18"/>
          <w:szCs w:val="18"/>
        </w:rPr>
        <w:t>Any improvements and streamlining that can be easily made in the short term will be identified and improvements undertaken where feasible.</w:t>
      </w:r>
    </w:p>
    <w:p w:rsidR="00D033D3" w:rsidRPr="004B71A5" w:rsidRDefault="00D033D3" w:rsidP="00D033D3">
      <w:pPr>
        <w:pStyle w:val="ParaIndent"/>
      </w:pPr>
      <w:r w:rsidRPr="007B78CB">
        <w:t xml:space="preserve">The scope of previous </w:t>
      </w:r>
      <w:r>
        <w:t>national waste and recycling reporting has been</w:t>
      </w:r>
      <w:r w:rsidRPr="007B78CB">
        <w:t xml:space="preserve"> the three major solid waste streams: municipal solid </w:t>
      </w:r>
      <w:r w:rsidRPr="00E67569">
        <w:t>waste (municipal or MSW), commercial and industrial (C&amp;I) and construction and demolition (C&amp;D). The Hyder (2009) report was based on “data sourced through publicly available reports except where state agencies were able to provide unpublished data that was more up-to-date.”</w:t>
      </w:r>
    </w:p>
    <w:p w:rsidR="00D033D3" w:rsidRDefault="00D033D3" w:rsidP="00D033D3">
      <w:pPr>
        <w:pStyle w:val="ParaIndent"/>
      </w:pPr>
      <w:r>
        <w:t>This study is based around these three major solid waste streams, and includes or excludes particular data and data sets with the aim of enabling more accurate comparisons of the performance of different states and territories. In this way it aims to provide a “comprehensive and comparable picture of waste and recycling activity in Australia”.</w:t>
      </w:r>
    </w:p>
    <w:p w:rsidR="00D033D3" w:rsidRDefault="00D033D3">
      <w:pPr>
        <w:pStyle w:val="ParaIndent"/>
        <w:keepNext/>
        <w:spacing w:after="120"/>
      </w:pPr>
      <w:r>
        <w:t>In Hyder (2009), available data:</w:t>
      </w:r>
    </w:p>
    <w:p w:rsidR="00D033D3" w:rsidRDefault="00D033D3" w:rsidP="00D033D3">
      <w:pPr>
        <w:pStyle w:val="ParaIndent"/>
        <w:ind w:left="1701"/>
        <w:rPr>
          <w:i/>
        </w:rPr>
      </w:pPr>
      <w:r>
        <w:rPr>
          <w:sz w:val="18"/>
          <w:szCs w:val="18"/>
        </w:rPr>
        <w:t>...</w:t>
      </w:r>
      <w:r w:rsidRPr="002667E4">
        <w:rPr>
          <w:sz w:val="18"/>
          <w:szCs w:val="18"/>
        </w:rPr>
        <w:t>was accessed through desktop research, industry knowledge and consultation with state agencies. Data was sourced through publicly available reports except where state agencies were able to provide unpublished data that was more up-to-date</w:t>
      </w:r>
      <w:r w:rsidRPr="002667E4">
        <w:rPr>
          <w:i/>
        </w:rPr>
        <w:t>.</w:t>
      </w:r>
    </w:p>
    <w:p w:rsidR="00D033D3" w:rsidRPr="00066FD3" w:rsidRDefault="00D033D3" w:rsidP="00D033D3">
      <w:pPr>
        <w:pStyle w:val="ParaIndent"/>
        <w:keepNext/>
        <w:spacing w:after="120"/>
      </w:pPr>
      <w:r w:rsidRPr="00066FD3">
        <w:t xml:space="preserve">Hyder (2009) </w:t>
      </w:r>
      <w:r>
        <w:t>stated</w:t>
      </w:r>
      <w:r w:rsidRPr="00066FD3">
        <w:t xml:space="preserve"> that:</w:t>
      </w:r>
    </w:p>
    <w:p w:rsidR="00D033D3" w:rsidRPr="00271915" w:rsidRDefault="00D033D3" w:rsidP="00D033D3">
      <w:pPr>
        <w:pStyle w:val="ParaIndent"/>
        <w:keepLines/>
        <w:ind w:left="1701"/>
        <w:rPr>
          <w:sz w:val="18"/>
          <w:szCs w:val="18"/>
        </w:rPr>
      </w:pPr>
      <w:r w:rsidRPr="00066FD3">
        <w:rPr>
          <w:sz w:val="18"/>
          <w:szCs w:val="18"/>
        </w:rPr>
        <w:t xml:space="preserve">...unless specifically stated within a particular report section, we have endeavoured to exclude the </w:t>
      </w:r>
      <w:r w:rsidRPr="00271915">
        <w:rPr>
          <w:sz w:val="18"/>
          <w:szCs w:val="18"/>
        </w:rPr>
        <w:t>following waste streams/materials from the reported data: hazardous, prescribed or clinical wastes; contaminated soils; fly ash; mining and mineral processing wastes; quarantine waste from ships; other gaseous or liquid wastes and self-managed farm wastes.</w:t>
      </w:r>
    </w:p>
    <w:p w:rsidR="00D033D3" w:rsidRPr="00271915" w:rsidRDefault="00D033D3" w:rsidP="00D033D3">
      <w:pPr>
        <w:pStyle w:val="ParaIndent"/>
        <w:keepNext/>
        <w:spacing w:after="120"/>
      </w:pPr>
      <w:r w:rsidRPr="00271915">
        <w:t>Hyder (2009)</w:t>
      </w:r>
      <w:r>
        <w:t xml:space="preserve"> </w:t>
      </w:r>
      <w:r w:rsidRPr="00271915">
        <w:t>also stated:</w:t>
      </w:r>
    </w:p>
    <w:p w:rsidR="00D033D3" w:rsidRPr="00271915" w:rsidRDefault="00D033D3" w:rsidP="00D033D3">
      <w:pPr>
        <w:pStyle w:val="ParaIndent"/>
        <w:keepNext/>
        <w:ind w:left="1701"/>
      </w:pPr>
      <w:r w:rsidRPr="00271915">
        <w:rPr>
          <w:sz w:val="18"/>
          <w:szCs w:val="18"/>
        </w:rPr>
        <w:t>Biosolids and bark and sawdust from forestry operations have been included within the report as it was not possible to exclude them from the data provided by all jurisdictions</w:t>
      </w:r>
      <w:r w:rsidRPr="00271915">
        <w:rPr>
          <w:i/>
          <w:sz w:val="18"/>
          <w:szCs w:val="18"/>
        </w:rPr>
        <w:t>.</w:t>
      </w:r>
    </w:p>
    <w:p w:rsidR="00D033D3" w:rsidRDefault="00D033D3" w:rsidP="00D033D3">
      <w:pPr>
        <w:pStyle w:val="ParaIndent"/>
        <w:keepNext/>
        <w:keepLines/>
        <w:spacing w:after="120"/>
      </w:pPr>
      <w:r w:rsidRPr="00271915">
        <w:t xml:space="preserve">The 2009 report lists a number of ‘data gaps’ already identified in </w:t>
      </w:r>
      <w:r>
        <w:t>available data</w:t>
      </w:r>
      <w:r w:rsidRPr="00271915">
        <w:t xml:space="preserve">. These data sources were further assessed </w:t>
      </w:r>
      <w:r>
        <w:t xml:space="preserve">during the production of this report </w:t>
      </w:r>
      <w:r w:rsidRPr="00271915">
        <w:t>to identify any other variations or</w:t>
      </w:r>
      <w:r>
        <w:t xml:space="preserve"> discrepancies in what is measured, how it is measured, the timeframe that is covered and the overall quality of the data. This assessment included an examination of:</w:t>
      </w:r>
    </w:p>
    <w:p w:rsidR="00D033D3" w:rsidRDefault="00D033D3" w:rsidP="00D033D3">
      <w:pPr>
        <w:pStyle w:val="PointsBullets"/>
      </w:pPr>
      <w:r w:rsidRPr="00D349C1">
        <w:rPr>
          <w:lang w:eastAsia="en-AU"/>
        </w:rPr>
        <w:t>the points at which waste and recycling</w:t>
      </w:r>
      <w:r>
        <w:rPr>
          <w:lang w:eastAsia="en-AU"/>
        </w:rPr>
        <w:t xml:space="preserve"> data</w:t>
      </w:r>
      <w:r w:rsidRPr="00D349C1">
        <w:rPr>
          <w:lang w:eastAsia="en-AU"/>
        </w:rPr>
        <w:t xml:space="preserve"> </w:t>
      </w:r>
      <w:r>
        <w:rPr>
          <w:lang w:eastAsia="en-AU"/>
        </w:rPr>
        <w:t>are</w:t>
      </w:r>
      <w:r w:rsidRPr="00D349C1">
        <w:rPr>
          <w:lang w:eastAsia="en-AU"/>
        </w:rPr>
        <w:t xml:space="preserve"> measured</w:t>
      </w:r>
    </w:p>
    <w:p w:rsidR="00D033D3" w:rsidRDefault="00D033D3" w:rsidP="00D033D3">
      <w:pPr>
        <w:pStyle w:val="ParaIndent"/>
        <w:keepNext/>
        <w:numPr>
          <w:ilvl w:val="0"/>
          <w:numId w:val="26"/>
        </w:numPr>
        <w:tabs>
          <w:tab w:val="num" w:pos="1701"/>
        </w:tabs>
        <w:spacing w:after="120"/>
        <w:ind w:left="1701" w:hanging="567"/>
      </w:pPr>
      <w:r w:rsidRPr="00D349C1">
        <w:rPr>
          <w:lang w:eastAsia="en-AU"/>
        </w:rPr>
        <w:t xml:space="preserve">the timelines and timeframes </w:t>
      </w:r>
      <w:r>
        <w:rPr>
          <w:lang w:eastAsia="en-AU"/>
        </w:rPr>
        <w:t>for the collection of data</w:t>
      </w:r>
    </w:p>
    <w:p w:rsidR="00D033D3" w:rsidRDefault="00D033D3" w:rsidP="00D033D3">
      <w:pPr>
        <w:pStyle w:val="PointsBullets"/>
        <w:rPr>
          <w:lang w:eastAsia="en-AU"/>
        </w:rPr>
      </w:pPr>
      <w:r>
        <w:rPr>
          <w:lang w:eastAsia="en-AU"/>
        </w:rPr>
        <w:t>the extent of the waste and recycling market that is covered</w:t>
      </w:r>
    </w:p>
    <w:p w:rsidR="00D033D3" w:rsidRDefault="00D033D3" w:rsidP="00D033D3">
      <w:pPr>
        <w:pStyle w:val="PointsBullets"/>
        <w:rPr>
          <w:lang w:eastAsia="en-AU"/>
        </w:rPr>
      </w:pPr>
      <w:r>
        <w:rPr>
          <w:rFonts w:ascii="TTE27F29F0t00" w:hAnsi="TTE27F29F0t00" w:cs="TTE27F29F0t00"/>
          <w:lang w:eastAsia="en-AU"/>
        </w:rPr>
        <w:t>the</w:t>
      </w:r>
      <w:r>
        <w:rPr>
          <w:lang w:eastAsia="en-AU"/>
        </w:rPr>
        <w:t xml:space="preserve"> categorisation of product and/or materials</w:t>
      </w:r>
    </w:p>
    <w:p w:rsidR="00D033D3" w:rsidRDefault="00D033D3" w:rsidP="00D033D3">
      <w:pPr>
        <w:pStyle w:val="PointsBullets"/>
        <w:rPr>
          <w:lang w:eastAsia="en-AU"/>
        </w:rPr>
      </w:pPr>
      <w:r>
        <w:rPr>
          <w:rFonts w:ascii="TTE27F29F0t00" w:hAnsi="TTE27F29F0t00" w:cs="TTE27F29F0t00"/>
          <w:lang w:eastAsia="en-AU"/>
        </w:rPr>
        <w:t>the</w:t>
      </w:r>
      <w:r>
        <w:rPr>
          <w:lang w:eastAsia="en-AU"/>
        </w:rPr>
        <w:t xml:space="preserve"> inclusion or exclusion of contaminate materials</w:t>
      </w:r>
    </w:p>
    <w:p w:rsidR="00D033D3" w:rsidRDefault="00D033D3" w:rsidP="00D033D3">
      <w:pPr>
        <w:pStyle w:val="PointsBullets"/>
        <w:rPr>
          <w:lang w:eastAsia="en-AU"/>
        </w:rPr>
      </w:pPr>
      <w:r>
        <w:rPr>
          <w:rFonts w:ascii="TTE27F29F0t00" w:hAnsi="TTE27F29F0t00" w:cs="TTE27F29F0t00"/>
          <w:lang w:eastAsia="en-AU"/>
        </w:rPr>
        <w:t>the</w:t>
      </w:r>
      <w:r>
        <w:rPr>
          <w:lang w:eastAsia="en-AU"/>
        </w:rPr>
        <w:t xml:space="preserve"> inclusion or exclusion of material transported interstate for recycling</w:t>
      </w:r>
    </w:p>
    <w:p w:rsidR="00D033D3" w:rsidRDefault="00D033D3" w:rsidP="00D033D3">
      <w:pPr>
        <w:pStyle w:val="PointsBullets"/>
        <w:rPr>
          <w:lang w:eastAsia="en-AU"/>
        </w:rPr>
      </w:pPr>
      <w:r>
        <w:rPr>
          <w:rFonts w:ascii="TTE27F29F0t00" w:hAnsi="TTE27F29F0t00" w:cs="TTE27F29F0t00"/>
          <w:lang w:eastAsia="en-AU"/>
        </w:rPr>
        <w:t>t</w:t>
      </w:r>
      <w:r w:rsidRPr="000F167D">
        <w:rPr>
          <w:rFonts w:ascii="TTE27F29F0t00" w:hAnsi="TTE27F29F0t00" w:cs="TTE27F29F0t00"/>
          <w:lang w:eastAsia="en-AU"/>
        </w:rPr>
        <w:t>he</w:t>
      </w:r>
      <w:r w:rsidRPr="000F167D">
        <w:rPr>
          <w:lang w:eastAsia="en-AU"/>
        </w:rPr>
        <w:t xml:space="preserve"> consideration of reprocessing losses, stockpiling and other reprocessing related issues</w:t>
      </w:r>
    </w:p>
    <w:p w:rsidR="00D033D3" w:rsidRDefault="00D033D3" w:rsidP="00D033D3">
      <w:pPr>
        <w:pStyle w:val="PointsBullets"/>
        <w:rPr>
          <w:lang w:eastAsia="en-AU"/>
        </w:rPr>
      </w:pPr>
      <w:r>
        <w:rPr>
          <w:rFonts w:ascii="TTE27F29F0t00" w:hAnsi="TTE27F29F0t00" w:cs="TTE27F29F0t00"/>
          <w:lang w:eastAsia="en-AU"/>
        </w:rPr>
        <w:t>the</w:t>
      </w:r>
      <w:r>
        <w:rPr>
          <w:lang w:eastAsia="en-AU"/>
        </w:rPr>
        <w:t xml:space="preserve"> veracity of end-of-life and consumption data (where recycling for materials are reported)</w:t>
      </w:r>
    </w:p>
    <w:p w:rsidR="00D033D3" w:rsidRDefault="00D033D3" w:rsidP="00D033D3">
      <w:pPr>
        <w:pStyle w:val="PointsBullets"/>
        <w:rPr>
          <w:lang w:eastAsia="en-AU"/>
        </w:rPr>
      </w:pPr>
      <w:r>
        <w:rPr>
          <w:rFonts w:ascii="TTE27F29F0t00" w:hAnsi="TTE27F29F0t00" w:cs="TTE27F29F0t00"/>
          <w:lang w:eastAsia="en-AU"/>
        </w:rPr>
        <w:t>the</w:t>
      </w:r>
      <w:r>
        <w:rPr>
          <w:lang w:eastAsia="en-AU"/>
        </w:rPr>
        <w:t xml:space="preserve"> inclusion or exclusion of imported materials into consumption data</w:t>
      </w:r>
      <w:r w:rsidRPr="00450795">
        <w:rPr>
          <w:lang w:eastAsia="en-AU"/>
        </w:rPr>
        <w:t xml:space="preserve"> </w:t>
      </w:r>
      <w:r>
        <w:rPr>
          <w:lang w:eastAsia="en-AU"/>
        </w:rPr>
        <w:t>(where recycling for materials are reported)</w:t>
      </w:r>
    </w:p>
    <w:p w:rsidR="00D033D3" w:rsidRDefault="00D033D3" w:rsidP="00D033D3">
      <w:pPr>
        <w:pStyle w:val="PointsBullets"/>
        <w:spacing w:after="180"/>
        <w:rPr>
          <w:lang w:eastAsia="en-AU"/>
        </w:rPr>
      </w:pPr>
      <w:r w:rsidRPr="008854E1">
        <w:rPr>
          <w:rFonts w:ascii="TTE27F29F0t00" w:hAnsi="TTE27F29F0t00" w:cs="TTE27F29F0t00"/>
          <w:lang w:eastAsia="en-AU"/>
        </w:rPr>
        <w:t>the</w:t>
      </w:r>
      <w:r w:rsidRPr="008854E1">
        <w:rPr>
          <w:lang w:eastAsia="en-AU"/>
        </w:rPr>
        <w:t xml:space="preserve"> definition of key concepts</w:t>
      </w:r>
      <w:r>
        <w:rPr>
          <w:lang w:eastAsia="en-AU"/>
        </w:rPr>
        <w:t>.</w:t>
      </w:r>
    </w:p>
    <w:p w:rsidR="00D033D3" w:rsidRDefault="00D033D3">
      <w:pPr>
        <w:pStyle w:val="ParaIndent"/>
        <w:keepNext/>
        <w:spacing w:after="120"/>
      </w:pPr>
      <w:r>
        <w:t>The development of a more uniform approach also took into account:</w:t>
      </w:r>
    </w:p>
    <w:p w:rsidR="00D033D3" w:rsidRPr="008854E1" w:rsidRDefault="00D033D3" w:rsidP="00D033D3">
      <w:pPr>
        <w:pStyle w:val="PointsBullets"/>
        <w:rPr>
          <w:rFonts w:ascii="TTE27F29F0t00" w:hAnsi="TTE27F29F0t00" w:cs="TTE27F29F0t00"/>
          <w:lang w:eastAsia="en-AU"/>
        </w:rPr>
      </w:pPr>
      <w:r w:rsidRPr="008854E1">
        <w:rPr>
          <w:rFonts w:ascii="TTE27F29F0t00" w:hAnsi="TTE27F29F0t00" w:cs="TTE27F29F0t00"/>
          <w:lang w:eastAsia="en-AU"/>
        </w:rPr>
        <w:t>the existence of any relevant standards and definitions</w:t>
      </w:r>
    </w:p>
    <w:p w:rsidR="00D033D3" w:rsidRPr="008854E1" w:rsidRDefault="00D033D3" w:rsidP="00D033D3">
      <w:pPr>
        <w:pStyle w:val="PointsBullets"/>
        <w:rPr>
          <w:rFonts w:ascii="TTE27F29F0t00" w:hAnsi="TTE27F29F0t00" w:cs="TTE27F29F0t00"/>
          <w:lang w:eastAsia="en-AU"/>
        </w:rPr>
      </w:pPr>
      <w:r w:rsidRPr="008854E1">
        <w:rPr>
          <w:rFonts w:ascii="TTE27F29F0t00" w:hAnsi="TTE27F29F0t00" w:cs="TTE27F29F0t00"/>
          <w:lang w:eastAsia="en-AU"/>
        </w:rPr>
        <w:t>the adherence to any relevant standards and definitions in data sources</w:t>
      </w:r>
    </w:p>
    <w:p w:rsidR="00D033D3" w:rsidRPr="008854E1" w:rsidRDefault="00D033D3" w:rsidP="00D033D3">
      <w:pPr>
        <w:pStyle w:val="PointsBullets"/>
        <w:rPr>
          <w:rFonts w:ascii="TTE27F29F0t00" w:hAnsi="TTE27F29F0t00" w:cs="TTE27F29F0t00"/>
          <w:lang w:eastAsia="en-AU"/>
        </w:rPr>
      </w:pPr>
      <w:r w:rsidRPr="008854E1">
        <w:rPr>
          <w:rFonts w:ascii="TTE27F29F0t00" w:hAnsi="TTE27F29F0t00" w:cs="TTE27F29F0t00"/>
          <w:lang w:eastAsia="en-AU"/>
        </w:rPr>
        <w:t>any conventions or common practices in data sources</w:t>
      </w:r>
    </w:p>
    <w:p w:rsidR="00D033D3" w:rsidRPr="008854E1" w:rsidRDefault="00D033D3" w:rsidP="00D033D3">
      <w:pPr>
        <w:pStyle w:val="PointsBullets"/>
        <w:spacing w:after="180"/>
        <w:rPr>
          <w:rFonts w:ascii="TTE27F29F0t00" w:hAnsi="TTE27F29F0t00" w:cs="TTE27F29F0t00"/>
          <w:lang w:eastAsia="en-AU"/>
        </w:rPr>
      </w:pPr>
      <w:r w:rsidRPr="008854E1">
        <w:rPr>
          <w:rFonts w:ascii="TTE27F29F0t00" w:hAnsi="TTE27F29F0t00" w:cs="TTE27F29F0t00"/>
          <w:lang w:eastAsia="en-AU"/>
        </w:rPr>
        <w:t>the accuracy and veracity of data sources</w:t>
      </w:r>
      <w:r>
        <w:rPr>
          <w:rFonts w:ascii="TTE27F29F0t00" w:hAnsi="TTE27F29F0t00" w:cs="TTE27F29F0t00"/>
          <w:lang w:eastAsia="en-AU"/>
        </w:rPr>
        <w:t>.</w:t>
      </w:r>
    </w:p>
    <w:p w:rsidR="00D033D3" w:rsidRDefault="00D033D3" w:rsidP="00D033D3">
      <w:pPr>
        <w:pStyle w:val="ParaIndent"/>
      </w:pPr>
      <w:r>
        <w:t>Consultation was undertaken with state and territory governments to ascertain the potential impacts of any changes in the approach to data collection and reporting.</w:t>
      </w:r>
    </w:p>
    <w:p w:rsidR="00D033D3" w:rsidRDefault="00D033D3" w:rsidP="00D033D3">
      <w:pPr>
        <w:pStyle w:val="ParaIndent"/>
        <w:rPr>
          <w:kern w:val="28"/>
        </w:rPr>
      </w:pPr>
      <w:r>
        <w:t>However, the participation of state and territory governments in the consultation process does not indicate the endorsement or otherwise of state and territory governments of this report or the recommendations contained within it.</w:t>
      </w:r>
      <w:r>
        <w:br w:type="page"/>
      </w:r>
    </w:p>
    <w:p w:rsidR="00D033D3" w:rsidRDefault="00D033D3" w:rsidP="00D033D3">
      <w:pPr>
        <w:pStyle w:val="Heading1"/>
      </w:pPr>
      <w:bookmarkStart w:id="312" w:name="_Toc279510544"/>
      <w:r>
        <w:t>DEFINITIONS</w:t>
      </w:r>
      <w:bookmarkEnd w:id="312"/>
    </w:p>
    <w:p w:rsidR="00D033D3" w:rsidRPr="00C9620E" w:rsidRDefault="00D033D3" w:rsidP="00D033D3">
      <w:pPr>
        <w:pStyle w:val="ParaIndent"/>
      </w:pPr>
      <w:r w:rsidRPr="00C9620E">
        <w:t xml:space="preserve">Consistent terminology and definitions are important requirements to underpin a commonly held understanding of the key concepts discussed in this report. The definitions applied </w:t>
      </w:r>
      <w:r>
        <w:t xml:space="preserve">to the main terms used </w:t>
      </w:r>
      <w:r w:rsidRPr="00C9620E">
        <w:t>in this report are outlined and justified (where required) below.</w:t>
      </w:r>
    </w:p>
    <w:p w:rsidR="00D033D3" w:rsidRDefault="00D033D3" w:rsidP="00D033D3">
      <w:pPr>
        <w:pStyle w:val="Heading3"/>
        <w:numPr>
          <w:ilvl w:val="2"/>
          <w:numId w:val="12"/>
        </w:numPr>
        <w:shd w:val="clear" w:color="auto" w:fill="auto"/>
      </w:pPr>
      <w:r>
        <w:t>Consumption</w:t>
      </w:r>
    </w:p>
    <w:p w:rsidR="00D033D3" w:rsidRDefault="00D033D3" w:rsidP="00D033D3">
      <w:pPr>
        <w:pStyle w:val="ParaIndent"/>
        <w:keepNext/>
        <w:spacing w:after="120"/>
      </w:pPr>
      <w:r>
        <w:t>According to the Australian Standard</w:t>
      </w:r>
      <w:r w:rsidRPr="00C9620E">
        <w:t xml:space="preserve"> </w:t>
      </w:r>
      <w:r w:rsidRPr="005D6767">
        <w:rPr>
          <w:i/>
        </w:rPr>
        <w:t>Waste management - Glossary of terms</w:t>
      </w:r>
      <w:r w:rsidRPr="00C9620E">
        <w:t xml:space="preserve"> (AS/NZS 3831:199</w:t>
      </w:r>
      <w:r>
        <w:t>8</w:t>
      </w:r>
      <w:r w:rsidRPr="00C9620E">
        <w:t>)</w:t>
      </w:r>
      <w:r w:rsidRPr="00AD7F58">
        <w:t xml:space="preserve"> a consumer is “</w:t>
      </w:r>
      <w:r>
        <w:t>a</w:t>
      </w:r>
      <w:r w:rsidRPr="00AD7F58">
        <w:t>ny organization or person purchasing or using materials, goods or services.”</w:t>
      </w:r>
    </w:p>
    <w:p w:rsidR="00D033D3" w:rsidRPr="00445F17" w:rsidRDefault="00D033D3" w:rsidP="00D033D3">
      <w:pPr>
        <w:pStyle w:val="ParaIndent"/>
        <w:keepNext/>
        <w:spacing w:after="120"/>
      </w:pPr>
      <w:r>
        <w:t xml:space="preserve">The definition of consumption provided in the Plastic and Chemical Industries Association (PACIA) </w:t>
      </w:r>
      <w:r w:rsidRPr="003107BE">
        <w:rPr>
          <w:i/>
        </w:rPr>
        <w:t>National Plastics Recycling Survey</w:t>
      </w:r>
      <w:r>
        <w:t xml:space="preserve"> (Hyder, 2008a) is:</w:t>
      </w:r>
    </w:p>
    <w:p w:rsidR="00D033D3" w:rsidRDefault="00D033D3" w:rsidP="00D033D3">
      <w:pPr>
        <w:pStyle w:val="ParaIndent"/>
        <w:ind w:left="1701"/>
        <w:rPr>
          <w:sz w:val="18"/>
          <w:szCs w:val="18"/>
        </w:rPr>
      </w:pPr>
      <w:r w:rsidRPr="001943F2">
        <w:rPr>
          <w:sz w:val="18"/>
          <w:szCs w:val="18"/>
        </w:rPr>
        <w:t xml:space="preserve">Consumption - Total use of product by </w:t>
      </w:r>
      <w:r>
        <w:rPr>
          <w:sz w:val="18"/>
          <w:szCs w:val="18"/>
        </w:rPr>
        <w:t>...</w:t>
      </w:r>
      <w:r w:rsidRPr="001943F2">
        <w:rPr>
          <w:sz w:val="18"/>
          <w:szCs w:val="18"/>
        </w:rPr>
        <w:t xml:space="preserve"> industry and consumers. Includes locally made and used product, imported product and locally utilised recyclate. Does not include locally made product that is exported for use.</w:t>
      </w:r>
    </w:p>
    <w:p w:rsidR="00D033D3" w:rsidRPr="00E10151" w:rsidRDefault="00D033D3" w:rsidP="00D033D3">
      <w:pPr>
        <w:pStyle w:val="ParaIndent"/>
      </w:pPr>
      <w:r>
        <w:t>The key aspects of these definitions are that consumption of products and materials occurs at the point of use, and is distinct from the production of products and materials.</w:t>
      </w:r>
    </w:p>
    <w:p w:rsidR="00D033D3" w:rsidRPr="000B4695" w:rsidRDefault="00D033D3" w:rsidP="00D033D3">
      <w:pPr>
        <w:pStyle w:val="Heading3"/>
        <w:numPr>
          <w:ilvl w:val="2"/>
          <w:numId w:val="12"/>
        </w:numPr>
        <w:shd w:val="clear" w:color="auto" w:fill="auto"/>
      </w:pPr>
      <w:r>
        <w:t>Re-use</w:t>
      </w:r>
    </w:p>
    <w:p w:rsidR="00D033D3" w:rsidRPr="001943F2" w:rsidRDefault="00D033D3" w:rsidP="00D033D3">
      <w:pPr>
        <w:pStyle w:val="ParaIndent"/>
        <w:keepNext/>
        <w:spacing w:after="120"/>
      </w:pPr>
      <w:r>
        <w:t xml:space="preserve">The definition of re-use is well captured in Zero Waste SA’s </w:t>
      </w:r>
      <w:r w:rsidRPr="003107BE">
        <w:rPr>
          <w:i/>
        </w:rPr>
        <w:t>Recycling Activity in South Australia</w:t>
      </w:r>
      <w:r w:rsidRPr="001943F2">
        <w:t xml:space="preserve"> (Hyder, 2008</w:t>
      </w:r>
      <w:r>
        <w:t>b</w:t>
      </w:r>
      <w:r w:rsidRPr="001943F2">
        <w:t>)</w:t>
      </w:r>
      <w:r>
        <w:t>, where:</w:t>
      </w:r>
    </w:p>
    <w:p w:rsidR="00D033D3" w:rsidRPr="001943F2" w:rsidRDefault="00D033D3" w:rsidP="00D033D3">
      <w:pPr>
        <w:pStyle w:val="ParaIndent"/>
        <w:ind w:left="1701"/>
        <w:rPr>
          <w:sz w:val="18"/>
          <w:szCs w:val="18"/>
        </w:rPr>
      </w:pPr>
      <w:r w:rsidRPr="001943F2">
        <w:rPr>
          <w:sz w:val="18"/>
          <w:szCs w:val="18"/>
        </w:rPr>
        <w:t>Re-use involves recovering value from a discarded resource in its original state without reprocessing or remanufacture.</w:t>
      </w:r>
    </w:p>
    <w:p w:rsidR="00D033D3" w:rsidRDefault="00D033D3" w:rsidP="00D033D3">
      <w:pPr>
        <w:pStyle w:val="ParaIndent"/>
      </w:pPr>
      <w:r>
        <w:t xml:space="preserve">The Australian Standard </w:t>
      </w:r>
      <w:r w:rsidRPr="00C9620E">
        <w:t>(AS/NZS 3831:199</w:t>
      </w:r>
      <w:r>
        <w:t>8</w:t>
      </w:r>
      <w:r w:rsidRPr="00C9620E">
        <w:t>)</w:t>
      </w:r>
      <w:r w:rsidRPr="00AD7F58">
        <w:t xml:space="preserve"> </w:t>
      </w:r>
      <w:r>
        <w:t>definition is essentially the same, though it does explicitly mention the exclusion of reprocessing from the definition of re-use. The Australian Standard defines re-use as u</w:t>
      </w:r>
      <w:r w:rsidRPr="000B4695">
        <w:t>sing a product again for the same or a different purpose</w:t>
      </w:r>
      <w:r>
        <w:t xml:space="preserve">, which is the equivalent to recovering value. It is important to note that within the Australian Standard </w:t>
      </w:r>
      <w:r w:rsidRPr="00C9620E">
        <w:t>AS/NZS 3831:199</w:t>
      </w:r>
      <w:r>
        <w:t>8</w:t>
      </w:r>
      <w:r w:rsidRPr="00C9620E">
        <w:t>)</w:t>
      </w:r>
      <w:r w:rsidRPr="00AD7F58">
        <w:t xml:space="preserve"> </w:t>
      </w:r>
      <w:r>
        <w:t>the terms re-use and recycle</w:t>
      </w:r>
      <w:r w:rsidRPr="000B4695">
        <w:t xml:space="preserve"> are </w:t>
      </w:r>
      <w:r>
        <w:t xml:space="preserve">clearly stated to </w:t>
      </w:r>
      <w:r w:rsidRPr="000B4695">
        <w:t xml:space="preserve">not </w:t>
      </w:r>
      <w:r>
        <w:t xml:space="preserve">be </w:t>
      </w:r>
      <w:r w:rsidRPr="000B4695">
        <w:t>synonyms</w:t>
      </w:r>
      <w:r>
        <w:t>.</w:t>
      </w:r>
    </w:p>
    <w:p w:rsidR="00D033D3" w:rsidRDefault="00D033D3" w:rsidP="00D033D3">
      <w:pPr>
        <w:pStyle w:val="Heading3"/>
        <w:numPr>
          <w:ilvl w:val="2"/>
          <w:numId w:val="12"/>
        </w:numPr>
        <w:shd w:val="clear" w:color="auto" w:fill="auto"/>
      </w:pPr>
      <w:r>
        <w:t>End-of-life</w:t>
      </w:r>
    </w:p>
    <w:p w:rsidR="00D033D3" w:rsidRDefault="00D033D3" w:rsidP="00D033D3">
      <w:pPr>
        <w:pStyle w:val="ParaIndent"/>
        <w:keepNext/>
        <w:spacing w:after="120"/>
      </w:pPr>
      <w:r>
        <w:t xml:space="preserve">The </w:t>
      </w:r>
      <w:r w:rsidRPr="003107BE">
        <w:rPr>
          <w:i/>
        </w:rPr>
        <w:t>Metropolitan Waste and Resource Recovery Strategic Plan</w:t>
      </w:r>
      <w:r w:rsidRPr="001943F2">
        <w:t xml:space="preserve"> </w:t>
      </w:r>
      <w:r>
        <w:t xml:space="preserve">(Victorian Government, </w:t>
      </w:r>
      <w:r w:rsidRPr="001943F2">
        <w:t>2009</w:t>
      </w:r>
      <w:r>
        <w:t>) defines end-of-life waste as:</w:t>
      </w:r>
    </w:p>
    <w:p w:rsidR="00D033D3" w:rsidRPr="001943F2" w:rsidRDefault="00D033D3" w:rsidP="00D033D3">
      <w:pPr>
        <w:pStyle w:val="ParaIndent"/>
        <w:ind w:left="1701"/>
        <w:rPr>
          <w:sz w:val="18"/>
          <w:szCs w:val="18"/>
        </w:rPr>
      </w:pPr>
      <w:r w:rsidRPr="001943F2">
        <w:rPr>
          <w:sz w:val="18"/>
          <w:szCs w:val="18"/>
        </w:rPr>
        <w:t>Products such as cars that have reached the end of their useful life and become waste. This term is often used in the context of the product stewardship responsibilities of manufacturers and brand-owners for wastes discarded by consumers.</w:t>
      </w:r>
    </w:p>
    <w:p w:rsidR="00D033D3" w:rsidRDefault="00D033D3" w:rsidP="00D033D3">
      <w:pPr>
        <w:pStyle w:val="ParaIndent"/>
      </w:pPr>
      <w:r>
        <w:t>The use of the term “useful life” implies a product has passed through its intended application, reached the end of its serviceability, and has no further re-use value.</w:t>
      </w:r>
    </w:p>
    <w:p w:rsidR="00D033D3" w:rsidRPr="00292416" w:rsidRDefault="00D033D3" w:rsidP="00D033D3">
      <w:pPr>
        <w:pStyle w:val="Heading3"/>
        <w:numPr>
          <w:ilvl w:val="2"/>
          <w:numId w:val="12"/>
        </w:numPr>
        <w:shd w:val="clear" w:color="auto" w:fill="auto"/>
      </w:pPr>
      <w:r>
        <w:t>Recovery</w:t>
      </w:r>
    </w:p>
    <w:p w:rsidR="00D033D3" w:rsidRDefault="00D033D3" w:rsidP="00D033D3">
      <w:pPr>
        <w:pStyle w:val="ParaIndent"/>
      </w:pPr>
      <w:r>
        <w:t>Recovery is used to refer to both resource recovery and energy recovery.</w:t>
      </w:r>
    </w:p>
    <w:p w:rsidR="00D033D3" w:rsidRDefault="00D033D3" w:rsidP="00D033D3">
      <w:pPr>
        <w:pStyle w:val="ParaIndent"/>
      </w:pPr>
      <w:r>
        <w:t>Resource recovery is a broader term that includes recycling and energy recovery. The Australian Standard</w:t>
      </w:r>
      <w:r w:rsidRPr="005022FE">
        <w:t xml:space="preserve"> (AS/NZS 3831:199</w:t>
      </w:r>
      <w:r>
        <w:t>8</w:t>
      </w:r>
      <w:r w:rsidRPr="005022FE">
        <w:t>) define</w:t>
      </w:r>
      <w:r>
        <w:t>s</w:t>
      </w:r>
      <w:r w:rsidRPr="005022FE">
        <w:t xml:space="preserve"> resource recovery as a “process that</w:t>
      </w:r>
      <w:r w:rsidRPr="00DB0159">
        <w:t xml:space="preserve"> extracts material or energy from the waste stream</w:t>
      </w:r>
      <w:r>
        <w:t>.”</w:t>
      </w:r>
    </w:p>
    <w:p w:rsidR="00D033D3" w:rsidRPr="00DB0159" w:rsidRDefault="00D033D3" w:rsidP="00D033D3">
      <w:pPr>
        <w:pStyle w:val="ParaIndent"/>
        <w:keepNext/>
        <w:spacing w:after="120"/>
      </w:pPr>
      <w:r>
        <w:t xml:space="preserve">The </w:t>
      </w:r>
      <w:r w:rsidRPr="005D6767">
        <w:rPr>
          <w:i/>
        </w:rPr>
        <w:t>National Waste Report 2010</w:t>
      </w:r>
      <w:r>
        <w:t xml:space="preserve"> expands the definition of resource recovery to be:</w:t>
      </w:r>
    </w:p>
    <w:p w:rsidR="00D033D3" w:rsidRDefault="00D033D3" w:rsidP="00D033D3">
      <w:pPr>
        <w:pStyle w:val="ParaIndent"/>
        <w:ind w:left="1701"/>
        <w:rPr>
          <w:sz w:val="18"/>
          <w:szCs w:val="18"/>
        </w:rPr>
      </w:pPr>
      <w:r w:rsidRPr="00DB0159">
        <w:rPr>
          <w:sz w:val="18"/>
          <w:szCs w:val="18"/>
        </w:rPr>
        <w:t xml:space="preserve">The </w:t>
      </w:r>
      <w:r w:rsidRPr="0062248F">
        <w:rPr>
          <w:sz w:val="18"/>
          <w:szCs w:val="18"/>
        </w:rPr>
        <w:t>process of extracting materials or energy from a waste stream through re-use (using the product for the same or a different purpose without further production), recycling or recovering energy from waste.</w:t>
      </w:r>
    </w:p>
    <w:p w:rsidR="00D033D3" w:rsidRPr="003D498A" w:rsidRDefault="00D033D3" w:rsidP="00D033D3">
      <w:pPr>
        <w:pStyle w:val="ParaIndent"/>
      </w:pPr>
      <w:r w:rsidRPr="003D498A">
        <w:t xml:space="preserve">Recovery can also refer to products or materials </w:t>
      </w:r>
      <w:r>
        <w:t xml:space="preserve">collected </w:t>
      </w:r>
      <w:r w:rsidRPr="003D498A">
        <w:t xml:space="preserve">for recycling and/or energy recovery. In some cases, the amount of products or materials ‘recovered’ is the gross amount collected, and does not exclude contamination or unwanted components (see </w:t>
      </w:r>
      <w:fldSimple w:instr=" REF _Ref272145470 \r \h  \* MERGEFORMAT ">
        <w:r w:rsidR="00AE7E3B">
          <w:t>0</w:t>
        </w:r>
      </w:fldSimple>
      <w:r w:rsidRPr="003D498A">
        <w:t>).</w:t>
      </w:r>
    </w:p>
    <w:p w:rsidR="00D033D3" w:rsidRDefault="00D033D3" w:rsidP="00D033D3">
      <w:pPr>
        <w:pStyle w:val="ParaIndent"/>
      </w:pPr>
      <w:r w:rsidRPr="003D498A">
        <w:t xml:space="preserve">For the purposes of this report, the term ‘recovery’ is </w:t>
      </w:r>
      <w:r>
        <w:t xml:space="preserve">used to refer to those </w:t>
      </w:r>
      <w:r w:rsidRPr="003D498A">
        <w:t xml:space="preserve">products and materials </w:t>
      </w:r>
      <w:r>
        <w:t xml:space="preserve">collected </w:t>
      </w:r>
      <w:r w:rsidRPr="003D498A">
        <w:t>for resource recovery</w:t>
      </w:r>
      <w:r>
        <w:t xml:space="preserve"> (</w:t>
      </w:r>
      <w:r w:rsidRPr="003D498A">
        <w:t>excluding contamination or unwanted components</w:t>
      </w:r>
      <w:r>
        <w:t>)</w:t>
      </w:r>
      <w:r w:rsidRPr="003D498A">
        <w:t>.</w:t>
      </w:r>
    </w:p>
    <w:p w:rsidR="00D033D3" w:rsidRPr="00DB0159" w:rsidRDefault="00D033D3" w:rsidP="00D033D3">
      <w:pPr>
        <w:pStyle w:val="Heading3"/>
        <w:numPr>
          <w:ilvl w:val="2"/>
          <w:numId w:val="12"/>
        </w:numPr>
        <w:shd w:val="clear" w:color="auto" w:fill="auto"/>
      </w:pPr>
      <w:r>
        <w:t>Recycling</w:t>
      </w:r>
    </w:p>
    <w:p w:rsidR="00D033D3" w:rsidRDefault="00D033D3" w:rsidP="00D033D3">
      <w:pPr>
        <w:pStyle w:val="ParaIndent"/>
        <w:keepNext/>
        <w:spacing w:after="120"/>
      </w:pPr>
      <w:r w:rsidRPr="002517F4">
        <w:t>The definitions give</w:t>
      </w:r>
      <w:r>
        <w:t xml:space="preserve">n in the Australian Standard </w:t>
      </w:r>
      <w:r w:rsidRPr="00C9620E">
        <w:t>(AS/NZS 3831:199</w:t>
      </w:r>
      <w:r>
        <w:t>8</w:t>
      </w:r>
      <w:r w:rsidRPr="00C9620E">
        <w:t>)</w:t>
      </w:r>
      <w:r w:rsidRPr="00AD7F58">
        <w:t xml:space="preserve"> </w:t>
      </w:r>
      <w:r>
        <w:t xml:space="preserve">and the </w:t>
      </w:r>
      <w:r w:rsidRPr="003107BE">
        <w:rPr>
          <w:i/>
        </w:rPr>
        <w:t xml:space="preserve">National Waste </w:t>
      </w:r>
      <w:r>
        <w:rPr>
          <w:i/>
        </w:rPr>
        <w:t>Report</w:t>
      </w:r>
      <w:r w:rsidRPr="003107BE">
        <w:rPr>
          <w:i/>
        </w:rPr>
        <w:t xml:space="preserve"> 2010</w:t>
      </w:r>
      <w:r>
        <w:t xml:space="preserve"> provide a clear definition of recycling. The Australian Standard definition of recycling is:</w:t>
      </w:r>
    </w:p>
    <w:p w:rsidR="00D033D3" w:rsidRPr="002517F4" w:rsidRDefault="00D033D3" w:rsidP="00D033D3">
      <w:pPr>
        <w:pStyle w:val="ParaIndent"/>
        <w:ind w:left="1701"/>
        <w:rPr>
          <w:sz w:val="18"/>
          <w:szCs w:val="18"/>
        </w:rPr>
      </w:pPr>
      <w:r>
        <w:rPr>
          <w:sz w:val="18"/>
          <w:szCs w:val="18"/>
        </w:rPr>
        <w:t>[A] Set</w:t>
      </w:r>
      <w:r w:rsidRPr="002517F4">
        <w:rPr>
          <w:sz w:val="18"/>
          <w:szCs w:val="18"/>
        </w:rPr>
        <w:t xml:space="preserve"> of processes (including biological) for converting recovered materials that would otherwise be disposed of as waste, into useful materials and or products. The following definitions apply: a) </w:t>
      </w:r>
      <w:r w:rsidRPr="002517F4">
        <w:rPr>
          <w:i/>
          <w:sz w:val="18"/>
          <w:szCs w:val="18"/>
        </w:rPr>
        <w:t>Closed loop recycling</w:t>
      </w:r>
      <w:r w:rsidRPr="002517F4">
        <w:rPr>
          <w:sz w:val="18"/>
          <w:szCs w:val="18"/>
        </w:rPr>
        <w:t xml:space="preserve"> - recycling process in which the reclaimed output is used as an input to the same product system. b) </w:t>
      </w:r>
      <w:r w:rsidRPr="002517F4">
        <w:rPr>
          <w:i/>
          <w:sz w:val="18"/>
          <w:szCs w:val="18"/>
        </w:rPr>
        <w:t>Open loop recycling</w:t>
      </w:r>
      <w:r w:rsidRPr="002517F4">
        <w:rPr>
          <w:sz w:val="18"/>
          <w:szCs w:val="18"/>
        </w:rPr>
        <w:t xml:space="preserve"> - recycling process in which the reclaimed output is used as an input into another product system.</w:t>
      </w:r>
    </w:p>
    <w:p w:rsidR="00D033D3" w:rsidRDefault="00D033D3" w:rsidP="00D033D3">
      <w:pPr>
        <w:pStyle w:val="ParaIndent"/>
        <w:keepNext/>
        <w:spacing w:after="120"/>
      </w:pPr>
      <w:r>
        <w:t>The Australian Standard defines something as recyclable if it is:</w:t>
      </w:r>
    </w:p>
    <w:p w:rsidR="00D033D3" w:rsidRDefault="00D033D3" w:rsidP="00D033D3">
      <w:pPr>
        <w:pStyle w:val="ParaIndent"/>
        <w:ind w:left="1701"/>
        <w:rPr>
          <w:sz w:val="18"/>
          <w:szCs w:val="18"/>
        </w:rPr>
      </w:pPr>
      <w:r>
        <w:rPr>
          <w:sz w:val="18"/>
          <w:szCs w:val="18"/>
        </w:rPr>
        <w:t>...</w:t>
      </w:r>
      <w:r w:rsidRPr="002E4811">
        <w:rPr>
          <w:sz w:val="18"/>
          <w:szCs w:val="18"/>
        </w:rPr>
        <w:t>able to be recovered, processe</w:t>
      </w:r>
      <w:r>
        <w:rPr>
          <w:sz w:val="18"/>
          <w:szCs w:val="18"/>
        </w:rPr>
        <w:t>d</w:t>
      </w:r>
      <w:r w:rsidRPr="002E4811">
        <w:rPr>
          <w:sz w:val="18"/>
          <w:szCs w:val="18"/>
        </w:rPr>
        <w:t xml:space="preserve"> and used as a raw material for the manufacture of a useful new produc</w:t>
      </w:r>
      <w:r>
        <w:rPr>
          <w:sz w:val="18"/>
          <w:szCs w:val="18"/>
        </w:rPr>
        <w:t>t through a commercial process.</w:t>
      </w:r>
    </w:p>
    <w:p w:rsidR="00D033D3" w:rsidRDefault="00D033D3" w:rsidP="00D033D3">
      <w:pPr>
        <w:pStyle w:val="ParaIndent"/>
        <w:keepNext/>
        <w:spacing w:after="120"/>
      </w:pPr>
      <w:r>
        <w:t xml:space="preserve">The </w:t>
      </w:r>
      <w:r w:rsidRPr="003107BE">
        <w:rPr>
          <w:i/>
        </w:rPr>
        <w:t xml:space="preserve">National Waste </w:t>
      </w:r>
      <w:r>
        <w:rPr>
          <w:i/>
        </w:rPr>
        <w:t>Report</w:t>
      </w:r>
      <w:r w:rsidRPr="003107BE">
        <w:rPr>
          <w:i/>
        </w:rPr>
        <w:t xml:space="preserve"> 2010</w:t>
      </w:r>
      <w:r>
        <w:t xml:space="preserve"> definition is simpler, and places recycling as a subset of resource recovery. Recycling is:</w:t>
      </w:r>
    </w:p>
    <w:p w:rsidR="00D033D3" w:rsidRDefault="00D033D3" w:rsidP="00D033D3">
      <w:pPr>
        <w:pStyle w:val="ParaIndent"/>
        <w:ind w:left="1701"/>
        <w:rPr>
          <w:sz w:val="18"/>
          <w:szCs w:val="18"/>
        </w:rPr>
      </w:pPr>
      <w:r w:rsidRPr="00DB0159">
        <w:rPr>
          <w:sz w:val="18"/>
          <w:szCs w:val="18"/>
        </w:rPr>
        <w:t>A resource recovery method involving the collection and processing of waste for use as a raw material in the manufacture of the same or similar non-waste product.</w:t>
      </w:r>
    </w:p>
    <w:p w:rsidR="00D033D3" w:rsidRDefault="00D033D3" w:rsidP="00D033D3">
      <w:pPr>
        <w:pStyle w:val="ParaIndent"/>
        <w:keepNext/>
        <w:spacing w:after="120"/>
      </w:pPr>
      <w:r>
        <w:t xml:space="preserve">The </w:t>
      </w:r>
      <w:r w:rsidRPr="003107BE">
        <w:rPr>
          <w:i/>
        </w:rPr>
        <w:t xml:space="preserve">National Waste </w:t>
      </w:r>
      <w:r>
        <w:rPr>
          <w:i/>
        </w:rPr>
        <w:t>Report</w:t>
      </w:r>
      <w:r w:rsidRPr="003107BE">
        <w:rPr>
          <w:i/>
        </w:rPr>
        <w:t xml:space="preserve"> 2010</w:t>
      </w:r>
      <w:r>
        <w:t xml:space="preserve"> defines a recyclate as:</w:t>
      </w:r>
    </w:p>
    <w:p w:rsidR="00D033D3" w:rsidRPr="00400951" w:rsidRDefault="00D033D3" w:rsidP="00D033D3">
      <w:pPr>
        <w:pStyle w:val="ParaIndent"/>
        <w:ind w:left="1701"/>
        <w:rPr>
          <w:sz w:val="18"/>
          <w:szCs w:val="18"/>
        </w:rPr>
      </w:pPr>
      <w:r w:rsidRPr="00400951">
        <w:rPr>
          <w:sz w:val="18"/>
          <w:szCs w:val="18"/>
        </w:rPr>
        <w:t>Material able to be processed for recycling in a facility. Sometimes only to refer to materials actually recovered from recycling, excluding residual wastes.</w:t>
      </w:r>
    </w:p>
    <w:p w:rsidR="00D033D3" w:rsidRPr="00DB0159" w:rsidRDefault="00D033D3" w:rsidP="00D033D3">
      <w:pPr>
        <w:pStyle w:val="ParaIndent"/>
        <w:keepNext/>
        <w:spacing w:after="120"/>
      </w:pPr>
      <w:r w:rsidRPr="003107BE">
        <w:rPr>
          <w:i/>
        </w:rPr>
        <w:t>Recycling Activities in South Australia</w:t>
      </w:r>
      <w:r>
        <w:t xml:space="preserve"> (Hyder, 2008c</w:t>
      </w:r>
      <w:r w:rsidRPr="00DB0159">
        <w:t>)</w:t>
      </w:r>
      <w:r>
        <w:t xml:space="preserve"> was careful to exclude:</w:t>
      </w:r>
    </w:p>
    <w:p w:rsidR="00D033D3" w:rsidRDefault="00D033D3" w:rsidP="00D033D3">
      <w:pPr>
        <w:pStyle w:val="ParaIndent"/>
        <w:ind w:left="1701"/>
        <w:rPr>
          <w:sz w:val="18"/>
          <w:szCs w:val="18"/>
        </w:rPr>
      </w:pPr>
      <w:r w:rsidRPr="00DB0159">
        <w:rPr>
          <w:sz w:val="18"/>
          <w:szCs w:val="18"/>
        </w:rPr>
        <w:t>...waste materials that are reclaimed and reutilised within the same manufacturing processes that generated it as a matter of course to the efficient operation of the site...</w:t>
      </w:r>
    </w:p>
    <w:p w:rsidR="00D033D3" w:rsidRPr="00323F55" w:rsidRDefault="00D033D3" w:rsidP="00D033D3">
      <w:pPr>
        <w:pStyle w:val="ParaIndent"/>
        <w:spacing w:after="120"/>
      </w:pPr>
      <w:r>
        <w:t xml:space="preserve">It is important to note the inclusion of biological process in the Australian Standard definition of recycling. In some cases, composting is seen as being distinct from the definition of recycling. </w:t>
      </w:r>
      <w:r w:rsidRPr="00323F55">
        <w:t xml:space="preserve">For example, the Victorian </w:t>
      </w:r>
      <w:r w:rsidRPr="00323F55">
        <w:rPr>
          <w:i/>
        </w:rPr>
        <w:t>Metropolitan Waste and Resource Recovery Strategic Plan</w:t>
      </w:r>
      <w:r w:rsidRPr="00323F55">
        <w:t xml:space="preserve"> (2009) in defining “recyclables” states that:</w:t>
      </w:r>
    </w:p>
    <w:p w:rsidR="00D033D3" w:rsidRPr="00323F55" w:rsidRDefault="00D033D3" w:rsidP="00D033D3">
      <w:pPr>
        <w:pStyle w:val="ParaIndent"/>
        <w:ind w:left="1701"/>
        <w:rPr>
          <w:sz w:val="18"/>
          <w:szCs w:val="18"/>
        </w:rPr>
      </w:pPr>
      <w:r w:rsidRPr="00323F55">
        <w:rPr>
          <w:sz w:val="18"/>
          <w:szCs w:val="18"/>
        </w:rPr>
        <w:t>While this term strictly applies to all materials that may be recycled, in this document the term is generally used to refer to the recyclable containers and paper/cardboard component of kerbside waste, i.e. it excludes garden organics.</w:t>
      </w:r>
    </w:p>
    <w:p w:rsidR="00D033D3" w:rsidRPr="00323F55" w:rsidRDefault="00D033D3" w:rsidP="00D033D3">
      <w:pPr>
        <w:pStyle w:val="ParaIndent"/>
      </w:pPr>
      <w:r>
        <w:t>However, for the purposes of the purposes of waste and recycling reporting, composting should be considered to be recycling.</w:t>
      </w:r>
    </w:p>
    <w:p w:rsidR="00D033D3" w:rsidRDefault="00D033D3" w:rsidP="00D033D3">
      <w:pPr>
        <w:pStyle w:val="Heading3"/>
        <w:numPr>
          <w:ilvl w:val="2"/>
          <w:numId w:val="12"/>
        </w:numPr>
        <w:shd w:val="clear" w:color="auto" w:fill="auto"/>
      </w:pPr>
      <w:r>
        <w:t>Energy recovery</w:t>
      </w:r>
    </w:p>
    <w:p w:rsidR="00D033D3" w:rsidRDefault="00D033D3">
      <w:pPr>
        <w:pStyle w:val="ParaIndent"/>
        <w:spacing w:after="120"/>
      </w:pPr>
      <w:r>
        <w:t xml:space="preserve">The </w:t>
      </w:r>
      <w:r w:rsidRPr="00D877D4">
        <w:rPr>
          <w:i/>
        </w:rPr>
        <w:t>National Waste Report 2010</w:t>
      </w:r>
      <w:r>
        <w:t xml:space="preserve"> defines energy recovery as:</w:t>
      </w:r>
    </w:p>
    <w:p w:rsidR="00D033D3" w:rsidRDefault="00D033D3" w:rsidP="00D033D3">
      <w:pPr>
        <w:pStyle w:val="ParaIndent"/>
        <w:ind w:left="1701"/>
        <w:rPr>
          <w:sz w:val="18"/>
          <w:szCs w:val="18"/>
        </w:rPr>
      </w:pPr>
      <w:r w:rsidRPr="00F3643C">
        <w:rPr>
          <w:sz w:val="18"/>
          <w:szCs w:val="18"/>
        </w:rPr>
        <w:t>Processes or opportunities to recover energy from waste materials, usually through thermal processes.</w:t>
      </w:r>
    </w:p>
    <w:p w:rsidR="00D033D3" w:rsidRDefault="00D033D3" w:rsidP="00D033D3">
      <w:pPr>
        <w:pStyle w:val="ParaIndent"/>
      </w:pPr>
      <w:r w:rsidRPr="00292416">
        <w:t>Most</w:t>
      </w:r>
      <w:r>
        <w:t xml:space="preserve"> other definitions of energy recovery have</w:t>
      </w:r>
      <w:r w:rsidRPr="00292416">
        <w:t xml:space="preserve"> a similar</w:t>
      </w:r>
      <w:r>
        <w:t xml:space="preserve"> meaning, although the </w:t>
      </w:r>
      <w:r w:rsidRPr="00292416">
        <w:t xml:space="preserve">WA Waste Authority </w:t>
      </w:r>
      <w:r w:rsidRPr="00D877D4">
        <w:rPr>
          <w:i/>
        </w:rPr>
        <w:t>Draft Waste Strategy 2009</w:t>
      </w:r>
      <w:r>
        <w:t xml:space="preserve"> added reprocessing to the list of means of extracting materials or energy.</w:t>
      </w:r>
    </w:p>
    <w:p w:rsidR="00D033D3" w:rsidRDefault="00D033D3" w:rsidP="00D033D3">
      <w:pPr>
        <w:pStyle w:val="ParaIndent"/>
      </w:pPr>
      <w:r>
        <w:t>F</w:t>
      </w:r>
      <w:r w:rsidRPr="00005EA3">
        <w:t xml:space="preserve">or the purposes of this report, waste to energy is used to describe the mass of </w:t>
      </w:r>
      <w:r>
        <w:t xml:space="preserve">product or </w:t>
      </w:r>
      <w:r w:rsidRPr="00005EA3">
        <w:t>material that can be said to have been recovered for energy</w:t>
      </w:r>
      <w:r>
        <w:t xml:space="preserve"> (see </w:t>
      </w:r>
      <w:r w:rsidR="00B9555F">
        <w:fldChar w:fldCharType="begin"/>
      </w:r>
      <w:r>
        <w:instrText xml:space="preserve"> REF _Ref272145582 \r \h </w:instrText>
      </w:r>
      <w:r w:rsidR="00B9555F">
        <w:fldChar w:fldCharType="separate"/>
      </w:r>
      <w:r w:rsidR="00AE7E3B">
        <w:t>0</w:t>
      </w:r>
      <w:r w:rsidR="00B9555F">
        <w:fldChar w:fldCharType="end"/>
      </w:r>
      <w:r>
        <w:t>)</w:t>
      </w:r>
      <w:r w:rsidRPr="00005EA3">
        <w:t>.</w:t>
      </w:r>
    </w:p>
    <w:p w:rsidR="00D033D3" w:rsidRDefault="00D033D3" w:rsidP="00D033D3">
      <w:pPr>
        <w:pStyle w:val="Heading3"/>
        <w:numPr>
          <w:ilvl w:val="2"/>
          <w:numId w:val="12"/>
        </w:numPr>
        <w:shd w:val="clear" w:color="auto" w:fill="auto"/>
      </w:pPr>
      <w:r>
        <w:t>Landfill</w:t>
      </w:r>
    </w:p>
    <w:p w:rsidR="00D033D3" w:rsidRDefault="00D033D3" w:rsidP="00D033D3">
      <w:pPr>
        <w:pStyle w:val="ParaIndent"/>
        <w:keepNext/>
        <w:spacing w:after="120"/>
      </w:pPr>
      <w:r>
        <w:t xml:space="preserve">The Australian Standard </w:t>
      </w:r>
      <w:r w:rsidRPr="00C9620E">
        <w:t>(AS/NZS 3831:199</w:t>
      </w:r>
      <w:r>
        <w:t>8</w:t>
      </w:r>
      <w:r w:rsidRPr="00C9620E">
        <w:t>)</w:t>
      </w:r>
      <w:r w:rsidRPr="00AD7F58">
        <w:t xml:space="preserve"> </w:t>
      </w:r>
      <w:r>
        <w:t>definition for landfill is:</w:t>
      </w:r>
    </w:p>
    <w:p w:rsidR="00D033D3" w:rsidRPr="001943F2" w:rsidRDefault="00D033D3" w:rsidP="00D033D3">
      <w:pPr>
        <w:pStyle w:val="ParaIndent"/>
        <w:ind w:left="1701"/>
        <w:rPr>
          <w:sz w:val="18"/>
          <w:szCs w:val="18"/>
        </w:rPr>
      </w:pPr>
      <w:r w:rsidRPr="001943F2">
        <w:rPr>
          <w:sz w:val="18"/>
          <w:szCs w:val="18"/>
        </w:rPr>
        <w:t>Waste disposal site used for the controlled deposit of solid waste onto or into land.</w:t>
      </w:r>
    </w:p>
    <w:p w:rsidR="00D033D3" w:rsidRDefault="00D033D3" w:rsidP="00D033D3">
      <w:pPr>
        <w:pStyle w:val="ParaIndent"/>
      </w:pPr>
      <w:r>
        <w:t xml:space="preserve">This is much more formal than other definitions of landfills. The Victorian </w:t>
      </w:r>
      <w:r w:rsidRPr="005D6767">
        <w:rPr>
          <w:i/>
        </w:rPr>
        <w:t>Metropolitan Waste and Resource Recovery Strategic Plan</w:t>
      </w:r>
      <w:r>
        <w:t xml:space="preserve"> (2009) defines landfill as “a</w:t>
      </w:r>
      <w:r w:rsidRPr="00AD7F58">
        <w:t xml:space="preserve"> site fo</w:t>
      </w:r>
      <w:r>
        <w:t>r the disposal of waste to land</w:t>
      </w:r>
      <w:r w:rsidRPr="00AD7F58">
        <w:t>”</w:t>
      </w:r>
      <w:r>
        <w:t xml:space="preserve">. The ACT’s </w:t>
      </w:r>
      <w:r w:rsidRPr="005D6767">
        <w:rPr>
          <w:i/>
        </w:rPr>
        <w:t>No Waste by 2010</w:t>
      </w:r>
      <w:r>
        <w:t xml:space="preserve"> strategy defines landfill as </w:t>
      </w:r>
      <w:r w:rsidRPr="00AD7F58">
        <w:t>“a site where waste materials are buried.”</w:t>
      </w:r>
    </w:p>
    <w:p w:rsidR="00D033D3" w:rsidRDefault="00D033D3" w:rsidP="00D033D3">
      <w:pPr>
        <w:pStyle w:val="Heading3"/>
        <w:numPr>
          <w:ilvl w:val="2"/>
          <w:numId w:val="12"/>
        </w:numPr>
        <w:shd w:val="clear" w:color="auto" w:fill="auto"/>
      </w:pPr>
      <w:r>
        <w:t>Disposal</w:t>
      </w:r>
    </w:p>
    <w:p w:rsidR="00D033D3" w:rsidRDefault="00D033D3" w:rsidP="00D033D3">
      <w:pPr>
        <w:pStyle w:val="ParaIndent"/>
      </w:pPr>
      <w:r>
        <w:t xml:space="preserve">The Australian Standard </w:t>
      </w:r>
      <w:r w:rsidRPr="00C9620E">
        <w:t>(AS/NZS 3831:199</w:t>
      </w:r>
      <w:r>
        <w:t>8</w:t>
      </w:r>
      <w:r w:rsidRPr="00C9620E">
        <w:t>)</w:t>
      </w:r>
      <w:r w:rsidRPr="00AD7F58">
        <w:t xml:space="preserve"> </w:t>
      </w:r>
      <w:r>
        <w:t>defines disposal as the “f</w:t>
      </w:r>
      <w:r w:rsidRPr="0066707F">
        <w:t>inal stage in the management of the waste stream.”</w:t>
      </w:r>
      <w:r>
        <w:t xml:space="preserve"> In this sense, disposal can used to describe any end-of-life product or material that is discarded regardless of whether it is recycling, energy recovery or landfill.</w:t>
      </w:r>
    </w:p>
    <w:p w:rsidR="00D033D3" w:rsidRDefault="00D033D3" w:rsidP="00D033D3">
      <w:pPr>
        <w:pStyle w:val="ParaIndent"/>
      </w:pPr>
      <w:r>
        <w:t>However, waste reported as having been “disposed” usually refers specifically to material that is disposed of to landfill.</w:t>
      </w:r>
    </w:p>
    <w:p w:rsidR="00D033D3" w:rsidRDefault="00D033D3" w:rsidP="00D033D3">
      <w:pPr>
        <w:pStyle w:val="ParaIndent"/>
      </w:pPr>
      <w:r>
        <w:t>Yet, incineration of solid waste that does not include energy recovery can similarly be considered to be a final disposal.</w:t>
      </w:r>
      <w:r w:rsidRPr="00C36223">
        <w:t xml:space="preserve"> </w:t>
      </w:r>
      <w:r>
        <w:t xml:space="preserve">Incineration is often coupled with landfill in the definition of “disposal” at the bottom rung of the waste hierarchy. </w:t>
      </w:r>
    </w:p>
    <w:p w:rsidR="00D033D3" w:rsidRDefault="00D033D3" w:rsidP="00D033D3">
      <w:pPr>
        <w:pStyle w:val="ParaIndent"/>
      </w:pPr>
      <w:r>
        <w:t>For the purposes of this report, products and materials that are reported as having been “disposed” refers to those which are landfilled or incinerated without energy recovery.</w:t>
      </w:r>
    </w:p>
    <w:p w:rsidR="00D033D3" w:rsidRPr="000B3935" w:rsidRDefault="00D033D3" w:rsidP="00D033D3">
      <w:pPr>
        <w:pStyle w:val="Caption0"/>
        <w:keepNext/>
        <w:ind w:firstLine="0"/>
        <w:rPr>
          <w:rFonts w:ascii="Arial" w:hAnsi="Arial"/>
          <w:color w:val="495F70"/>
          <w:sz w:val="18"/>
        </w:rPr>
      </w:pPr>
      <w:bookmarkStart w:id="313" w:name="_Ref272144069"/>
      <w:r w:rsidRPr="000B3935">
        <w:rPr>
          <w:rFonts w:ascii="Arial" w:hAnsi="Arial"/>
          <w:color w:val="495F70"/>
          <w:sz w:val="18"/>
        </w:rPr>
        <w:t xml:space="preserve">Figure </w:t>
      </w:r>
      <w:r w:rsidR="00B9555F" w:rsidRPr="000B3935">
        <w:rPr>
          <w:rFonts w:ascii="Arial" w:hAnsi="Arial"/>
          <w:color w:val="495F70"/>
          <w:sz w:val="18"/>
        </w:rPr>
        <w:fldChar w:fldCharType="begin"/>
      </w:r>
      <w:r w:rsidRPr="000B3935">
        <w:rPr>
          <w:rFonts w:ascii="Arial" w:hAnsi="Arial"/>
          <w:color w:val="495F70"/>
          <w:sz w:val="18"/>
        </w:rPr>
        <w:instrText xml:space="preserve"> SEQ Figure \* ARABIC </w:instrText>
      </w:r>
      <w:r w:rsidR="00B9555F" w:rsidRPr="000B3935">
        <w:rPr>
          <w:rFonts w:ascii="Arial" w:hAnsi="Arial"/>
          <w:color w:val="495F70"/>
          <w:sz w:val="18"/>
        </w:rPr>
        <w:fldChar w:fldCharType="separate"/>
      </w:r>
      <w:r w:rsidR="00AE7E3B">
        <w:rPr>
          <w:rFonts w:ascii="Arial" w:hAnsi="Arial"/>
          <w:noProof/>
          <w:color w:val="495F70"/>
          <w:sz w:val="18"/>
        </w:rPr>
        <w:t>32</w:t>
      </w:r>
      <w:r w:rsidR="00B9555F" w:rsidRPr="000B3935">
        <w:rPr>
          <w:rFonts w:ascii="Arial" w:hAnsi="Arial"/>
          <w:color w:val="495F70"/>
          <w:sz w:val="18"/>
        </w:rPr>
        <w:fldChar w:fldCharType="end"/>
      </w:r>
      <w:bookmarkEnd w:id="313"/>
      <w:r w:rsidRPr="000B3935">
        <w:rPr>
          <w:rFonts w:ascii="Arial" w:hAnsi="Arial"/>
          <w:color w:val="495F70"/>
          <w:sz w:val="18"/>
        </w:rPr>
        <w:t>: Key terms in waste and recycling reporting</w:t>
      </w:r>
    </w:p>
    <w:p w:rsidR="00D033D3" w:rsidRPr="004B46E6" w:rsidRDefault="00D033D3" w:rsidP="00D033D3">
      <w:pPr>
        <w:pStyle w:val="ParaIndent"/>
      </w:pPr>
      <w:r>
        <w:rPr>
          <w:noProof/>
          <w:lang w:eastAsia="en-AU"/>
        </w:rPr>
        <w:drawing>
          <wp:inline distT="0" distB="0" distL="0" distR="0">
            <wp:extent cx="5379522" cy="2890966"/>
            <wp:effectExtent l="0" t="0" r="0" b="0"/>
            <wp:docPr id="56" name="Picture 11" descr="Defini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s.emf"/>
                    <pic:cNvPicPr/>
                  </pic:nvPicPr>
                  <pic:blipFill>
                    <a:blip r:embed="rId89" cstate="print"/>
                    <a:srcRect t="-4256"/>
                    <a:stretch>
                      <a:fillRect/>
                    </a:stretch>
                  </pic:blipFill>
                  <pic:spPr>
                    <a:xfrm>
                      <a:off x="0" y="0"/>
                      <a:ext cx="5381937" cy="2892264"/>
                    </a:xfrm>
                    <a:prstGeom prst="rect">
                      <a:avLst/>
                    </a:prstGeom>
                  </pic:spPr>
                </pic:pic>
              </a:graphicData>
            </a:graphic>
          </wp:inline>
        </w:drawing>
      </w:r>
    </w:p>
    <w:p w:rsidR="00D033D3" w:rsidRDefault="00D033D3" w:rsidP="00D033D3">
      <w:pPr>
        <w:pStyle w:val="Heading3"/>
        <w:numPr>
          <w:ilvl w:val="2"/>
          <w:numId w:val="12"/>
        </w:numPr>
        <w:shd w:val="clear" w:color="auto" w:fill="auto"/>
      </w:pPr>
      <w:r>
        <w:t>Recycling rate and r</w:t>
      </w:r>
      <w:r w:rsidRPr="0052283E">
        <w:t>ec</w:t>
      </w:r>
      <w:r>
        <w:t>overy</w:t>
      </w:r>
      <w:r w:rsidRPr="0052283E">
        <w:t xml:space="preserve"> rate</w:t>
      </w:r>
    </w:p>
    <w:p w:rsidR="00D033D3" w:rsidRPr="008C7649" w:rsidRDefault="00D033D3" w:rsidP="00D033D3">
      <w:pPr>
        <w:pStyle w:val="ParaIndent"/>
      </w:pPr>
      <w:r w:rsidRPr="008C7649">
        <w:t xml:space="preserve">There is a degree of inconsistency in the </w:t>
      </w:r>
      <w:r>
        <w:t xml:space="preserve">use of the terms recycling rate and </w:t>
      </w:r>
      <w:r w:rsidRPr="008C7649">
        <w:t>recovery rate.</w:t>
      </w:r>
    </w:p>
    <w:p w:rsidR="00D033D3" w:rsidRPr="008C7649" w:rsidRDefault="00D033D3" w:rsidP="00D033D3">
      <w:pPr>
        <w:pStyle w:val="ParaIndent"/>
      </w:pPr>
      <w:r w:rsidRPr="008C7649">
        <w:t xml:space="preserve">The United States Environment Protection Agency cites the municipal recycling rate as being waste recycled as a percentage of waste generated. Although not providing a definition of the recycling rate, the </w:t>
      </w:r>
      <w:r w:rsidRPr="008C7649">
        <w:rPr>
          <w:i/>
        </w:rPr>
        <w:t xml:space="preserve">National Waste Report 2010 </w:t>
      </w:r>
      <w:r w:rsidRPr="008C7649">
        <w:t>also</w:t>
      </w:r>
      <w:r w:rsidRPr="008C7649">
        <w:rPr>
          <w:i/>
        </w:rPr>
        <w:t xml:space="preserve"> </w:t>
      </w:r>
      <w:r w:rsidRPr="008C7649">
        <w:t>uses material collected for recycling as a percentage of material disposed to generate reported recycling rates.</w:t>
      </w:r>
    </w:p>
    <w:p w:rsidR="00D033D3" w:rsidRPr="008C7649" w:rsidRDefault="00D033D3" w:rsidP="00D033D3">
      <w:pPr>
        <w:pStyle w:val="ParaIndent"/>
        <w:keepNext/>
        <w:spacing w:after="120"/>
      </w:pPr>
      <w:r w:rsidRPr="008C7649">
        <w:t>However, the Australian Standard (AS/NZS 3831:1998) states that:</w:t>
      </w:r>
    </w:p>
    <w:p w:rsidR="00D033D3" w:rsidRPr="008C7649" w:rsidRDefault="00D033D3" w:rsidP="00D033D3">
      <w:pPr>
        <w:pStyle w:val="ParaIndent"/>
        <w:ind w:left="1701"/>
        <w:rPr>
          <w:sz w:val="18"/>
          <w:szCs w:val="18"/>
        </w:rPr>
      </w:pPr>
      <w:r w:rsidRPr="008C7649">
        <w:rPr>
          <w:sz w:val="18"/>
          <w:szCs w:val="18"/>
        </w:rPr>
        <w:t>The term recycling rate has been omitted from this Standard because it is ambiguous.</w:t>
      </w:r>
    </w:p>
    <w:p w:rsidR="00D033D3" w:rsidRPr="008C7649" w:rsidRDefault="00D033D3" w:rsidP="00D033D3">
      <w:pPr>
        <w:pStyle w:val="ParaIndent"/>
        <w:keepNext/>
        <w:spacing w:after="120"/>
      </w:pPr>
      <w:r w:rsidRPr="008C7649">
        <w:t xml:space="preserve">The Australian Standard does define the recovery rate, being: </w:t>
      </w:r>
    </w:p>
    <w:p w:rsidR="00D033D3" w:rsidRPr="008C7649" w:rsidRDefault="00D033D3" w:rsidP="00D033D3">
      <w:pPr>
        <w:pStyle w:val="ParaIndent"/>
        <w:ind w:left="1701"/>
        <w:rPr>
          <w:sz w:val="18"/>
          <w:szCs w:val="18"/>
        </w:rPr>
      </w:pPr>
      <w:r w:rsidRPr="008C7649">
        <w:rPr>
          <w:sz w:val="18"/>
          <w:szCs w:val="18"/>
        </w:rPr>
        <w:t>The amount of material recovered from a product group as a percentage of overall consumption.</w:t>
      </w:r>
    </w:p>
    <w:p w:rsidR="00D033D3" w:rsidRPr="008C7649" w:rsidRDefault="00D033D3" w:rsidP="00D033D3">
      <w:pPr>
        <w:pStyle w:val="ParaIndent"/>
        <w:keepNext/>
        <w:spacing w:after="120"/>
      </w:pPr>
      <w:r w:rsidRPr="008C7649">
        <w:t xml:space="preserve">But this is different to the definition in </w:t>
      </w:r>
      <w:r w:rsidRPr="008C7649">
        <w:rPr>
          <w:i/>
        </w:rPr>
        <w:t>Victorian Recycling Industry Annual Survey</w:t>
      </w:r>
      <w:r w:rsidRPr="008C7649">
        <w:t xml:space="preserve"> (Sustainability Victoria, 2008), which states:</w:t>
      </w:r>
    </w:p>
    <w:p w:rsidR="00D033D3" w:rsidRPr="008C7649" w:rsidRDefault="00D033D3" w:rsidP="00D033D3">
      <w:pPr>
        <w:pStyle w:val="ParaIndent"/>
        <w:ind w:left="1701"/>
        <w:rPr>
          <w:sz w:val="18"/>
          <w:szCs w:val="18"/>
        </w:rPr>
      </w:pPr>
      <w:r w:rsidRPr="008C7649">
        <w:rPr>
          <w:sz w:val="18"/>
          <w:szCs w:val="18"/>
        </w:rPr>
        <w:t>The recovery rate is the percentage of materials recovered for reprocessing from the</w:t>
      </w:r>
      <w:r w:rsidRPr="008C7649">
        <w:rPr>
          <w:sz w:val="18"/>
          <w:szCs w:val="18"/>
        </w:rPr>
        <w:tab/>
        <w:t>total quantity of waste generated.</w:t>
      </w:r>
    </w:p>
    <w:p w:rsidR="00D033D3" w:rsidRPr="008C7649" w:rsidRDefault="00D033D3" w:rsidP="00D033D3">
      <w:pPr>
        <w:pStyle w:val="ParaIndent"/>
      </w:pPr>
      <w:r w:rsidRPr="008C7649">
        <w:t>The major difference in the definitions of the recycling rate or the recovery rate is the use of consumption or waste generation as the denominator. Consumption tends to be used as the denominator in instances where consumption figures are more readily attainable and/or where a product has a short life span (for example, newspapers). In such cases there is no significant difference between the use of consumption or waste generation as the denominator.</w:t>
      </w:r>
    </w:p>
    <w:p w:rsidR="00D033D3" w:rsidRDefault="00D033D3" w:rsidP="00D033D3">
      <w:pPr>
        <w:pStyle w:val="ParaIndent"/>
      </w:pPr>
      <w:r w:rsidRPr="008C7649">
        <w:t xml:space="preserve">However, where a product or material has a longer life span, or where the consumption rate of a product or material has changed significantly over time, the use of consumption as the denominator can lead to perverse results. For example, given that the number of </w:t>
      </w:r>
      <w:r>
        <w:t>cathode ray tubes (CRTs)</w:t>
      </w:r>
      <w:r w:rsidRPr="008C7649">
        <w:t xml:space="preserve"> </w:t>
      </w:r>
      <w:r>
        <w:t>currently</w:t>
      </w:r>
      <w:r w:rsidRPr="008C7649">
        <w:t xml:space="preserve"> recycled is greater than the number of CRTs currently consumed, using consumption as the denominator to calculate the recycling rate of </w:t>
      </w:r>
      <w:r>
        <w:t>CRTs</w:t>
      </w:r>
      <w:r w:rsidRPr="008C7649">
        <w:t xml:space="preserve"> would generate a rate greater than 100%.</w:t>
      </w:r>
    </w:p>
    <w:p w:rsidR="00D033D3" w:rsidRDefault="00D033D3" w:rsidP="00D033D3">
      <w:pPr>
        <w:pStyle w:val="ParaIndent"/>
      </w:pPr>
      <w:r>
        <w:t>As such, and for the purposes of this report, the recycling rate refers to the amount of product or material (</w:t>
      </w:r>
      <w:r w:rsidRPr="003D498A">
        <w:t>excluding contamination or unwanted components</w:t>
      </w:r>
      <w:r>
        <w:t>) recycled as a proportion of total amount of end-of-life product or material waste generated. That is, the recycling rate is the amount recycled divided by that amount of waste generated.</w:t>
      </w:r>
    </w:p>
    <w:p w:rsidR="00D033D3" w:rsidRDefault="00D033D3" w:rsidP="00D033D3">
      <w:pPr>
        <w:pStyle w:val="ParaIndent"/>
      </w:pPr>
      <w:r>
        <w:t>Similarly, the recovery rate refers to the amount of product and/or material (</w:t>
      </w:r>
      <w:r w:rsidRPr="003D498A">
        <w:t>excluding contamination or unwanted components</w:t>
      </w:r>
      <w:r>
        <w:t>) recycled and recovered for energy as a proportion of total amount of end-of-life product or material disposed of.</w:t>
      </w:r>
    </w:p>
    <w:p w:rsidR="00D033D3" w:rsidRDefault="00D033D3" w:rsidP="00D033D3">
      <w:pPr>
        <w:pStyle w:val="ParaIndent"/>
      </w:pPr>
      <w:r>
        <w:t>Defined in this way, the recovery rate is also often called the diversion rate, which refers to that proportion of waste generated which diverted from landfill.</w:t>
      </w:r>
    </w:p>
    <w:p w:rsidR="00D033D3" w:rsidRDefault="00D033D3" w:rsidP="00D033D3">
      <w:pPr>
        <w:pStyle w:val="Heading3"/>
        <w:numPr>
          <w:ilvl w:val="2"/>
          <w:numId w:val="12"/>
        </w:numPr>
        <w:shd w:val="clear" w:color="auto" w:fill="auto"/>
      </w:pPr>
      <w:r w:rsidRPr="00292416">
        <w:t>Solid waste</w:t>
      </w:r>
    </w:p>
    <w:p w:rsidR="00D033D3" w:rsidRDefault="00D033D3" w:rsidP="00D033D3">
      <w:pPr>
        <w:pStyle w:val="ParaIndent"/>
      </w:pPr>
      <w:r w:rsidRPr="00005EA3">
        <w:t xml:space="preserve">There is no standard definition of ‘solid waste’. </w:t>
      </w:r>
      <w:r>
        <w:t>For example, materials such as sludge and slurries can equally be defined as a liquid or solid waste</w:t>
      </w:r>
      <w:r w:rsidRPr="00005EA3">
        <w:t>. A practical definition is to define a solid waste as anything that is ‘spadeable’, i.e. can be picked up with a spade.</w:t>
      </w:r>
    </w:p>
    <w:p w:rsidR="00D033D3" w:rsidRDefault="00D033D3" w:rsidP="00D033D3">
      <w:pPr>
        <w:pStyle w:val="ParaIndent"/>
      </w:pPr>
      <w:r>
        <w:t xml:space="preserve">In the ACT solid waste is defined as municipal waste and biosolids, while in Victoria the </w:t>
      </w:r>
      <w:r w:rsidRPr="008C7649">
        <w:rPr>
          <w:i/>
        </w:rPr>
        <w:t>Metropolitan Waste and Resource Recovery Strategic Plan</w:t>
      </w:r>
      <w:r w:rsidRPr="00292416">
        <w:t xml:space="preserve"> </w:t>
      </w:r>
      <w:r>
        <w:t>(</w:t>
      </w:r>
      <w:r w:rsidRPr="00292416">
        <w:t>2009</w:t>
      </w:r>
      <w:r>
        <w:t>) defines solid waste as composed of “</w:t>
      </w:r>
      <w:r w:rsidRPr="00AD7F58">
        <w:t>non-hazardous, non-prescribed, solid waste materials ranging from municipal garbage to industrial waste</w:t>
      </w:r>
      <w:r w:rsidRPr="00292416">
        <w:t>.</w:t>
      </w:r>
      <w:r>
        <w:t>”</w:t>
      </w:r>
    </w:p>
    <w:p w:rsidR="00D033D3" w:rsidRDefault="00D033D3" w:rsidP="00D033D3">
      <w:pPr>
        <w:pStyle w:val="ParaIndent"/>
      </w:pPr>
    </w:p>
    <w:p w:rsidR="00D033D3" w:rsidRDefault="00D033D3" w:rsidP="00D033D3">
      <w:pPr>
        <w:pStyle w:val="ParaIndent"/>
      </w:pPr>
      <w:r>
        <w:br w:type="page"/>
      </w:r>
    </w:p>
    <w:p w:rsidR="00D033D3" w:rsidRDefault="00D033D3" w:rsidP="00D033D3">
      <w:pPr>
        <w:pStyle w:val="Heading1"/>
      </w:pPr>
      <w:r>
        <w:t>A MORE UNIFORM APPROACH TO DATA</w:t>
      </w:r>
    </w:p>
    <w:p w:rsidR="00D033D3" w:rsidRPr="000F29C6" w:rsidRDefault="00D033D3" w:rsidP="00D033D3">
      <w:pPr>
        <w:pStyle w:val="ParaIndent"/>
      </w:pPr>
      <w:r w:rsidRPr="000F29C6">
        <w:t>This section details the consideration of the main issues for a more uniform approach to data. It also contains recommendations for the scope of, and approach to</w:t>
      </w:r>
      <w:r>
        <w:t>,</w:t>
      </w:r>
      <w:r w:rsidRPr="000F29C6">
        <w:t xml:space="preserve"> national waste and recycling reporting.</w:t>
      </w:r>
    </w:p>
    <w:p w:rsidR="00D033D3" w:rsidRPr="00283F7D" w:rsidRDefault="00D033D3" w:rsidP="00D033D3">
      <w:pPr>
        <w:pStyle w:val="ParaIndent"/>
      </w:pPr>
      <w:r w:rsidRPr="000F29C6">
        <w:t>For the purposes of this exercise, it is necessary to establish boundaries for the reporting of national waste and recycling data. This section seeks to do that by establishing some principles for general consideration, by addressing areas that are difficult to define within the three major waste streams and by suggestion a common approach to the measurement of data.</w:t>
      </w:r>
    </w:p>
    <w:p w:rsidR="00D033D3" w:rsidRDefault="00D033D3" w:rsidP="00D033D3">
      <w:pPr>
        <w:pStyle w:val="Heading2"/>
        <w:spacing w:before="480" w:after="180"/>
        <w:rPr>
          <w:lang w:eastAsia="en-AU"/>
        </w:rPr>
      </w:pPr>
      <w:r>
        <w:rPr>
          <w:lang w:eastAsia="en-AU"/>
        </w:rPr>
        <w:t>General considerations</w:t>
      </w:r>
    </w:p>
    <w:p w:rsidR="00D033D3" w:rsidRPr="001625B4" w:rsidRDefault="00D033D3" w:rsidP="00D033D3">
      <w:pPr>
        <w:pStyle w:val="ParaIndent"/>
        <w:spacing w:after="120"/>
        <w:rPr>
          <w:lang w:eastAsia="en-AU"/>
        </w:rPr>
      </w:pPr>
      <w:r>
        <w:rPr>
          <w:lang w:eastAsia="en-AU"/>
        </w:rPr>
        <w:t>There is not clear agreement on the exact scope of waste</w:t>
      </w:r>
      <w:r w:rsidRPr="001625B4">
        <w:rPr>
          <w:lang w:eastAsia="en-AU"/>
        </w:rPr>
        <w:t>.</w:t>
      </w:r>
      <w:r w:rsidRPr="003065A8">
        <w:rPr>
          <w:lang w:eastAsia="en-AU"/>
        </w:rPr>
        <w:t xml:space="preserve"> </w:t>
      </w:r>
      <w:r>
        <w:rPr>
          <w:lang w:eastAsia="en-AU"/>
        </w:rPr>
        <w:t xml:space="preserve">What is waste is sometimes subjective, and often reflects the economic value of products and materials within a particular society. </w:t>
      </w:r>
      <w:r w:rsidRPr="001625B4">
        <w:rPr>
          <w:lang w:eastAsia="en-AU"/>
        </w:rPr>
        <w:t>The</w:t>
      </w:r>
      <w:r>
        <w:rPr>
          <w:lang w:eastAsia="en-AU"/>
        </w:rPr>
        <w:t xml:space="preserve"> </w:t>
      </w:r>
      <w:r w:rsidRPr="008A6A9C">
        <w:rPr>
          <w:i/>
          <w:lang w:eastAsia="en-AU"/>
        </w:rPr>
        <w:t>National Waste Policy Regulatory Impact Statement</w:t>
      </w:r>
      <w:r>
        <w:rPr>
          <w:lang w:eastAsia="en-AU"/>
        </w:rPr>
        <w:t xml:space="preserve"> (RIS)</w:t>
      </w:r>
      <w:r w:rsidRPr="001625B4">
        <w:rPr>
          <w:lang w:eastAsia="en-AU"/>
        </w:rPr>
        <w:t xml:space="preserve"> states</w:t>
      </w:r>
      <w:r>
        <w:rPr>
          <w:lang w:eastAsia="en-AU"/>
        </w:rPr>
        <w:t xml:space="preserve"> that</w:t>
      </w:r>
      <w:r w:rsidRPr="001625B4">
        <w:rPr>
          <w:lang w:eastAsia="en-AU"/>
        </w:rPr>
        <w:t>:</w:t>
      </w:r>
    </w:p>
    <w:p w:rsidR="00D033D3" w:rsidRPr="001625B4" w:rsidRDefault="00D033D3" w:rsidP="00D033D3">
      <w:pPr>
        <w:pStyle w:val="ParaIndent"/>
        <w:ind w:left="1701"/>
        <w:rPr>
          <w:sz w:val="18"/>
          <w:szCs w:val="18"/>
          <w:lang w:eastAsia="en-AU"/>
        </w:rPr>
      </w:pPr>
      <w:r w:rsidRPr="001625B4">
        <w:rPr>
          <w:sz w:val="18"/>
          <w:szCs w:val="18"/>
          <w:lang w:eastAsia="en-AU"/>
        </w:rPr>
        <w:t>Defining waste is not simple and there is no single domestic or international definition. This is due to the complex nature of waste, and the fact that the nature of waste is changing rapidly</w:t>
      </w:r>
      <w:r>
        <w:rPr>
          <w:sz w:val="18"/>
          <w:szCs w:val="18"/>
          <w:lang w:eastAsia="en-AU"/>
        </w:rPr>
        <w:t>,</w:t>
      </w:r>
      <w:r w:rsidRPr="001625B4">
        <w:rPr>
          <w:sz w:val="18"/>
          <w:szCs w:val="18"/>
          <w:lang w:eastAsia="en-AU"/>
        </w:rPr>
        <w:t xml:space="preserve"> involving more diverse materials and products as well as new processing and management technologies.</w:t>
      </w:r>
    </w:p>
    <w:p w:rsidR="00D033D3" w:rsidRDefault="00D033D3" w:rsidP="00D033D3">
      <w:pPr>
        <w:pStyle w:val="ParaIndent"/>
        <w:spacing w:after="120"/>
        <w:rPr>
          <w:lang w:eastAsia="en-AU"/>
        </w:rPr>
      </w:pPr>
      <w:r>
        <w:rPr>
          <w:lang w:eastAsia="en-AU"/>
        </w:rPr>
        <w:t xml:space="preserve">The </w:t>
      </w:r>
      <w:r w:rsidRPr="008A6A9C">
        <w:rPr>
          <w:i/>
          <w:lang w:eastAsia="en-AU"/>
        </w:rPr>
        <w:t>National Waste Report 2010</w:t>
      </w:r>
      <w:r>
        <w:rPr>
          <w:lang w:eastAsia="en-AU"/>
        </w:rPr>
        <w:t xml:space="preserve"> includes the following definition of waste:</w:t>
      </w:r>
    </w:p>
    <w:p w:rsidR="00D033D3" w:rsidRDefault="00D033D3" w:rsidP="00D033D3">
      <w:pPr>
        <w:pStyle w:val="ParaIndent"/>
        <w:ind w:left="1701"/>
        <w:rPr>
          <w:sz w:val="18"/>
          <w:szCs w:val="18"/>
          <w:lang w:eastAsia="en-AU"/>
        </w:rPr>
      </w:pPr>
      <w:r w:rsidRPr="009646AA">
        <w:rPr>
          <w:sz w:val="18"/>
          <w:szCs w:val="18"/>
          <w:lang w:eastAsia="en-AU"/>
        </w:rPr>
        <w:t>Any discarded, rejected, unwanted, surplus or abandoned matter; discarded, rejected, unwanted, surplus or abandoned matter intended for recycling, reprocessing, recovery, re-use or purification by a separate operation from that which pr</w:t>
      </w:r>
      <w:r>
        <w:rPr>
          <w:sz w:val="18"/>
          <w:szCs w:val="18"/>
          <w:lang w:eastAsia="en-AU"/>
        </w:rPr>
        <w:t>oduced the matter, or for sale, whether</w:t>
      </w:r>
      <w:r w:rsidRPr="009646AA">
        <w:rPr>
          <w:sz w:val="18"/>
          <w:szCs w:val="18"/>
          <w:lang w:eastAsia="en-AU"/>
        </w:rPr>
        <w:t xml:space="preserve"> of any value or not.</w:t>
      </w:r>
    </w:p>
    <w:p w:rsidR="00D033D3" w:rsidRDefault="00D033D3" w:rsidP="00D033D3">
      <w:pPr>
        <w:pStyle w:val="Heading3"/>
        <w:numPr>
          <w:ilvl w:val="2"/>
          <w:numId w:val="12"/>
        </w:numPr>
        <w:shd w:val="clear" w:color="auto" w:fill="auto"/>
      </w:pPr>
      <w:bookmarkStart w:id="314" w:name="_Toc279510557"/>
      <w:r>
        <w:t>Re-use</w:t>
      </w:r>
      <w:bookmarkEnd w:id="314"/>
    </w:p>
    <w:p w:rsidR="00D033D3" w:rsidRDefault="00D033D3" w:rsidP="00D033D3">
      <w:pPr>
        <w:pStyle w:val="ParaIndent"/>
      </w:pPr>
      <w:r>
        <w:t>The consideration of re-use is often the cause of uncertainty as to what constitutes waste.</w:t>
      </w:r>
      <w:r w:rsidRPr="00973FE1">
        <w:t xml:space="preserve"> </w:t>
      </w:r>
      <w:r>
        <w:t>Disregarding any market failures, perverse incentives or information asymmetries that may exist, re-use can be seen as being proof that a product has not reached end-of-life, that it is still being consumed and that it is not a waste. However, whether re-use occurs or not is often a reflection of the value of products or materials within a particular setting or community. Accordingly, patterns of re-use can vary markedly from place to place, as can the consideration of the waste flows of particular products and materials.</w:t>
      </w:r>
    </w:p>
    <w:p w:rsidR="00D033D3" w:rsidRDefault="00D033D3" w:rsidP="00D033D3">
      <w:pPr>
        <w:pStyle w:val="ParaIndent"/>
      </w:pPr>
      <w:r>
        <w:t>Previous national waste and recycling reporting have compiled figures for waste recycled and waste disposed, with some accommodation of energy recovery from waste; but has not included data on re-use.</w:t>
      </w:r>
    </w:p>
    <w:p w:rsidR="00D033D3" w:rsidRDefault="00D033D3" w:rsidP="00D033D3">
      <w:pPr>
        <w:pStyle w:val="ParaIndent"/>
      </w:pPr>
      <w:r>
        <w:t xml:space="preserve">No jurisdictions provide comprehensive reporting on the re-use of products and materials. The notable exception is earthen materials (see </w:t>
      </w:r>
      <w:r w:rsidR="00B9555F">
        <w:fldChar w:fldCharType="begin"/>
      </w:r>
      <w:r>
        <w:instrText xml:space="preserve"> REF _Ref272154195 \r \h </w:instrText>
      </w:r>
      <w:r w:rsidR="00B9555F">
        <w:fldChar w:fldCharType="separate"/>
      </w:r>
      <w:r w:rsidR="00AE7E3B">
        <w:t>4.2.5</w:t>
      </w:r>
      <w:r w:rsidR="00B9555F">
        <w:fldChar w:fldCharType="end"/>
      </w:r>
      <w:r>
        <w:t>).</w:t>
      </w:r>
    </w:p>
    <w:p w:rsidR="00D033D3" w:rsidRDefault="00D033D3" w:rsidP="00D033D3">
      <w:pPr>
        <w:pStyle w:val="Caption0"/>
        <w:ind w:firstLine="0"/>
        <w:rPr>
          <w:rFonts w:ascii="Arial" w:hAnsi="Arial" w:cs="Arial"/>
        </w:rPr>
      </w:pPr>
      <w:bookmarkStart w:id="315" w:name="_Toc333908394"/>
      <w:r w:rsidRPr="00AC1A86">
        <w:rPr>
          <w:rFonts w:ascii="Arial" w:hAnsi="Arial" w:cs="Arial"/>
        </w:rPr>
        <w:t xml:space="preserve">Recommendation </w:t>
      </w:r>
      <w:r w:rsidR="00B9555F" w:rsidRPr="00AC1A86">
        <w:rPr>
          <w:rFonts w:ascii="Arial" w:hAnsi="Arial" w:cs="Arial"/>
        </w:rPr>
        <w:fldChar w:fldCharType="begin"/>
      </w:r>
      <w:r w:rsidRPr="00AC1A86">
        <w:rPr>
          <w:rFonts w:ascii="Arial" w:hAnsi="Arial" w:cs="Arial"/>
        </w:rPr>
        <w:instrText xml:space="preserve"> SEQ Recommendation \* ARABIC </w:instrText>
      </w:r>
      <w:r w:rsidR="00B9555F" w:rsidRPr="00AC1A86">
        <w:rPr>
          <w:rFonts w:ascii="Arial" w:hAnsi="Arial" w:cs="Arial"/>
        </w:rPr>
        <w:fldChar w:fldCharType="separate"/>
      </w:r>
      <w:r w:rsidR="00AE7E3B">
        <w:rPr>
          <w:rFonts w:ascii="Arial" w:hAnsi="Arial" w:cs="Arial"/>
          <w:noProof/>
        </w:rPr>
        <w:t>3</w:t>
      </w:r>
      <w:r w:rsidR="00B9555F" w:rsidRPr="00AC1A86">
        <w:rPr>
          <w:rFonts w:ascii="Arial" w:hAnsi="Arial" w:cs="Arial"/>
        </w:rPr>
        <w:fldChar w:fldCharType="end"/>
      </w:r>
      <w:r w:rsidRPr="00AC1A86">
        <w:rPr>
          <w:rFonts w:ascii="Arial" w:hAnsi="Arial" w:cs="Arial"/>
        </w:rPr>
        <w:t xml:space="preserve">: The scope </w:t>
      </w:r>
      <w:r>
        <w:rPr>
          <w:rFonts w:ascii="Arial" w:hAnsi="Arial" w:cs="Arial"/>
        </w:rPr>
        <w:t>should be</w:t>
      </w:r>
      <w:r w:rsidRPr="00AC1A86">
        <w:rPr>
          <w:rFonts w:ascii="Arial" w:hAnsi="Arial" w:cs="Arial"/>
        </w:rPr>
        <w:t xml:space="preserve"> limited to waste material that is </w:t>
      </w:r>
      <w:r>
        <w:rPr>
          <w:rFonts w:ascii="Arial" w:hAnsi="Arial" w:cs="Arial"/>
        </w:rPr>
        <w:t>collected</w:t>
      </w:r>
      <w:r w:rsidRPr="00AC1A86">
        <w:rPr>
          <w:rFonts w:ascii="Arial" w:hAnsi="Arial" w:cs="Arial"/>
        </w:rPr>
        <w:t xml:space="preserve"> for recycling, </w:t>
      </w:r>
      <w:r>
        <w:rPr>
          <w:rFonts w:ascii="Arial" w:hAnsi="Arial" w:cs="Arial"/>
        </w:rPr>
        <w:t xml:space="preserve">energy </w:t>
      </w:r>
      <w:r w:rsidRPr="00AC1A86">
        <w:rPr>
          <w:rFonts w:ascii="Arial" w:hAnsi="Arial" w:cs="Arial"/>
        </w:rPr>
        <w:t xml:space="preserve">recovery </w:t>
      </w:r>
      <w:r>
        <w:rPr>
          <w:rFonts w:ascii="Arial" w:hAnsi="Arial" w:cs="Arial"/>
        </w:rPr>
        <w:t>and</w:t>
      </w:r>
      <w:r w:rsidRPr="00AC1A86">
        <w:rPr>
          <w:rFonts w:ascii="Arial" w:hAnsi="Arial" w:cs="Arial"/>
        </w:rPr>
        <w:t xml:space="preserve"> </w:t>
      </w:r>
      <w:r>
        <w:rPr>
          <w:rFonts w:ascii="Arial" w:hAnsi="Arial" w:cs="Arial"/>
        </w:rPr>
        <w:t>disposal, and re-use is excluded from the scope.</w:t>
      </w:r>
      <w:bookmarkEnd w:id="315"/>
    </w:p>
    <w:p w:rsidR="00D033D3" w:rsidRDefault="00D033D3" w:rsidP="00D033D3">
      <w:pPr>
        <w:pStyle w:val="Heading3"/>
        <w:numPr>
          <w:ilvl w:val="2"/>
          <w:numId w:val="12"/>
        </w:numPr>
        <w:shd w:val="clear" w:color="auto" w:fill="auto"/>
      </w:pPr>
      <w:bookmarkStart w:id="316" w:name="_Ref279505498"/>
      <w:bookmarkStart w:id="317" w:name="_Toc279510558"/>
      <w:r>
        <w:t>Waste generation and disposal</w:t>
      </w:r>
      <w:bookmarkEnd w:id="316"/>
      <w:bookmarkEnd w:id="317"/>
    </w:p>
    <w:p w:rsidR="00D033D3" w:rsidRDefault="00D033D3" w:rsidP="00D033D3">
      <w:pPr>
        <w:pStyle w:val="ParaIndent"/>
      </w:pPr>
      <w:r>
        <w:t xml:space="preserve">Putting aside the operational efficiency of a product or material, re-use is a more favourable environmental outcome than recycling, energy recovery or disposal. The waste hierarchy reflects this order of merit. </w:t>
      </w:r>
    </w:p>
    <w:p w:rsidR="00D033D3" w:rsidRDefault="00D033D3" w:rsidP="00D033D3">
      <w:pPr>
        <w:pStyle w:val="ParaIndent"/>
      </w:pPr>
      <w:r>
        <w:t>Re-use prolongs the life of the energy and water that is embodied in a product or material. Re-use also prolongs the life of a material in its current physical state. In doing so, re-use offsets the use of further energy, water or materials to produce new products.</w:t>
      </w:r>
    </w:p>
    <w:p w:rsidR="00D033D3" w:rsidRDefault="00D033D3" w:rsidP="00D033D3">
      <w:pPr>
        <w:pStyle w:val="ParaIndent"/>
      </w:pPr>
      <w:r>
        <w:t>Recycling does not fully recover the embodied energy and water in a product or material. Recycling also often reduces the physical quality of a material. For example, polymers often lose material properties in the process of recycling.</w:t>
      </w:r>
    </w:p>
    <w:p w:rsidR="00D033D3" w:rsidRDefault="00D033D3" w:rsidP="00D033D3">
      <w:pPr>
        <w:pStyle w:val="ParaIndent"/>
      </w:pPr>
      <w:r>
        <w:t>Energy recovery only captures the calorific value of the raw material, and destroys the physical value of a material. Energy recovery does not recover the embodied energy and water required to refine a material or to make a product.</w:t>
      </w:r>
    </w:p>
    <w:p w:rsidR="00D033D3" w:rsidRDefault="00D033D3" w:rsidP="00D033D3">
      <w:pPr>
        <w:pStyle w:val="ParaIndent"/>
      </w:pPr>
      <w:r>
        <w:t>With the exception of methane gas capture, landfilling a product or material represents a complete loss of a resource, and the embodied energy and water within it.</w:t>
      </w:r>
    </w:p>
    <w:tbl>
      <w:tblPr>
        <w:tblStyle w:val="TableGrid"/>
        <w:tblW w:w="4928" w:type="dxa"/>
        <w:tblInd w:w="1134" w:type="dxa"/>
        <w:tblBorders>
          <w:top w:val="none" w:sz="0" w:space="0" w:color="auto"/>
          <w:left w:val="none" w:sz="0" w:space="0" w:color="auto"/>
          <w:bottom w:val="none" w:sz="0" w:space="0" w:color="auto"/>
          <w:right w:val="none" w:sz="0" w:space="0" w:color="auto"/>
          <w:insideH w:val="single" w:sz="12" w:space="0" w:color="7F7F7F" w:themeColor="text1" w:themeTint="80"/>
          <w:insideV w:val="none" w:sz="0" w:space="0" w:color="auto"/>
        </w:tblBorders>
        <w:tblLook w:val="04A0"/>
      </w:tblPr>
      <w:tblGrid>
        <w:gridCol w:w="1668"/>
        <w:gridCol w:w="3260"/>
      </w:tblGrid>
      <w:tr w:rsidR="00D033D3" w:rsidTr="00D033D3">
        <w:trPr>
          <w:trHeight w:hRule="exact" w:val="495"/>
        </w:trPr>
        <w:tc>
          <w:tcPr>
            <w:tcW w:w="4928" w:type="dxa"/>
            <w:gridSpan w:val="2"/>
            <w:tcBorders>
              <w:top w:val="nil"/>
              <w:bottom w:val="nil"/>
            </w:tcBorders>
            <w:shd w:val="clear" w:color="auto" w:fill="auto"/>
          </w:tcPr>
          <w:p w:rsidR="00D033D3" w:rsidRDefault="00D033D3" w:rsidP="00D033D3">
            <w:pPr>
              <w:pStyle w:val="TableHeading"/>
              <w:tabs>
                <w:tab w:val="right" w:pos="7263"/>
              </w:tabs>
            </w:pPr>
            <w:bookmarkStart w:id="318" w:name="_Ref271612105"/>
            <w:r>
              <w:t xml:space="preserve">Figure </w:t>
            </w:r>
            <w:r w:rsidR="00B9555F">
              <w:fldChar w:fldCharType="begin"/>
            </w:r>
            <w:r w:rsidR="000C6B88">
              <w:instrText xml:space="preserve"> SEQ Figure \* ARABIC </w:instrText>
            </w:r>
            <w:r w:rsidR="00B9555F">
              <w:fldChar w:fldCharType="separate"/>
            </w:r>
            <w:r w:rsidR="00AE7E3B">
              <w:rPr>
                <w:noProof/>
              </w:rPr>
              <w:t>33</w:t>
            </w:r>
            <w:r w:rsidR="00B9555F">
              <w:rPr>
                <w:noProof/>
              </w:rPr>
              <w:fldChar w:fldCharType="end"/>
            </w:r>
            <w:bookmarkEnd w:id="318"/>
            <w:r>
              <w:t>: Waste hierarchy</w:t>
            </w:r>
            <w:r>
              <w:rPr>
                <w:rStyle w:val="FootnoteReference"/>
              </w:rPr>
              <w:footnoteReference w:id="30"/>
            </w:r>
            <w:r>
              <w:t xml:space="preserve"> and scope</w:t>
            </w:r>
          </w:p>
          <w:p w:rsidR="00D033D3" w:rsidRDefault="00D033D3" w:rsidP="00D033D3"/>
          <w:p w:rsidR="00D033D3" w:rsidRPr="00B15CEC" w:rsidRDefault="00D033D3" w:rsidP="00D033D3"/>
          <w:p w:rsidR="00D033D3" w:rsidRPr="00B15CEC" w:rsidRDefault="00D033D3" w:rsidP="00D033D3"/>
          <w:p w:rsidR="00D033D3" w:rsidRDefault="00D033D3" w:rsidP="00D033D3">
            <w:pPr>
              <w:pStyle w:val="ParaIndent"/>
              <w:keepNext/>
              <w:ind w:left="0"/>
              <w:rPr>
                <w:noProof/>
                <w:lang w:eastAsia="en-AU"/>
              </w:rPr>
            </w:pPr>
          </w:p>
        </w:tc>
      </w:tr>
      <w:tr w:rsidR="00D033D3" w:rsidTr="00D033D3">
        <w:trPr>
          <w:trHeight w:hRule="exact" w:val="1531"/>
        </w:trPr>
        <w:tc>
          <w:tcPr>
            <w:tcW w:w="1668" w:type="dxa"/>
            <w:tcBorders>
              <w:top w:val="nil"/>
              <w:bottom w:val="single" w:sz="4" w:space="0" w:color="FFFFFF" w:themeColor="background1"/>
            </w:tcBorders>
            <w:shd w:val="clear" w:color="auto" w:fill="auto"/>
            <w:vAlign w:val="center"/>
          </w:tcPr>
          <w:p w:rsidR="00D033D3" w:rsidRDefault="00D033D3" w:rsidP="00D033D3">
            <w:pPr>
              <w:pStyle w:val="ParaIndent"/>
              <w:keepNext/>
              <w:ind w:left="0"/>
              <w:rPr>
                <w:lang w:eastAsia="en-AU"/>
              </w:rPr>
            </w:pPr>
          </w:p>
        </w:tc>
        <w:tc>
          <w:tcPr>
            <w:tcW w:w="3260" w:type="dxa"/>
            <w:tcBorders>
              <w:top w:val="nil"/>
              <w:bottom w:val="single" w:sz="4" w:space="0" w:color="FFFFFF" w:themeColor="background1"/>
            </w:tcBorders>
            <w:shd w:val="clear" w:color="auto" w:fill="auto"/>
          </w:tcPr>
          <w:p w:rsidR="00D033D3" w:rsidRDefault="00B9555F" w:rsidP="00D033D3">
            <w:pPr>
              <w:pStyle w:val="ParaIndent"/>
              <w:keepNext/>
              <w:ind w:left="0"/>
              <w:rPr>
                <w:lang w:eastAsia="en-AU"/>
              </w:rPr>
            </w:pPr>
            <w:r>
              <w:rPr>
                <w:noProof/>
                <w:lang w:eastAsia="en-AU"/>
              </w:rPr>
              <w:pict>
                <v:rect id="Rectangle 13" o:spid="_x0000_s1037" style="position:absolute;margin-left:3.7pt;margin-top:11.8pt;width:198.9pt;height:2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" filled="f" stroked="f">
                  <v:textbox style="mso-fit-shape-to-text:t" inset="0,0,0,0">
                    <w:txbxContent>
                      <w:p w:rsidR="009A0A47" w:rsidRPr="00F32292" w:rsidRDefault="009A0A47" w:rsidP="00D033D3">
                        <w:pPr>
                          <w:rPr>
                            <w:sz w:val="22"/>
                            <w:szCs w:val="22"/>
                          </w:rPr>
                        </w:pPr>
                        <w:r w:rsidRPr="00F32292">
                          <w:rPr>
                            <w:rFonts w:cs="Arial"/>
                            <w:color w:val="FFFFFF"/>
                            <w:sz w:val="22"/>
                            <w:szCs w:val="22"/>
                            <w:lang w:val="en-US"/>
                          </w:rPr>
                          <w:t>AVOIDANCE AND MINIMISATION</w:t>
                        </w:r>
                      </w:p>
                    </w:txbxContent>
                  </v:textbox>
                </v:rect>
              </w:pict>
            </w:r>
            <w:r>
              <w:rPr>
                <w:noProof/>
                <w:lang w:eastAsia="en-AU"/>
              </w:rPr>
              <w:pict>
                <v:shape id="Freeform 8" o:spid="_x0000_s1032" style="position:absolute;margin-left:7.5pt;margin-top:39.15pt;width:200.85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" path="m252,754r3514,l4017,,,,252,754xe" filled="f" strokecolor="#26a232" strokeweight="1e-4mm">
                  <v:stroke endcap="round"/>
                  <v:path arrowok="t" o:connecttype="custom" o:connectlocs="160020,478790;2391410,478790;2550795,0;0,0;160020,478790" o:connectangles="0,0,0,0,0"/>
                </v:shape>
              </w:pict>
            </w:r>
            <w:r>
              <w:rPr>
                <w:noProof/>
                <w:lang w:eastAsia="en-AU"/>
              </w:rPr>
              <w:pict>
                <v:shape id="Freeform 9" o:spid="_x0000_s1033" style="position:absolute;margin-left:7.5pt;margin-top:39.15pt;width:200.85pt;height:3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" path="m252,754r3514,l4017,,,,252,754xe" fillcolor="#26a232" stroked="f">
                  <v:path arrowok="t" o:connecttype="custom" o:connectlocs="160020,478790;2391410,478790;2550795,0;0,0;160020,478790" o:connectangles="0,0,0,0,0"/>
                </v:shape>
              </w:pict>
            </w:r>
            <w:r>
              <w:rPr>
                <w:noProof/>
                <w:lang w:eastAsia="en-AU"/>
              </w:rPr>
              <w:pict>
                <v:shape id="Freeform 10" o:spid="_x0000_s1034" style="position:absolute;margin-left:-5pt;margin-top:1.4pt;width:225.85pt;height: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" path="m250,755r4017,l4517,,,,250,755xe" filled="f" strokecolor="#00613f" strokeweight="1e-4mm">
                  <v:stroke endcap="round"/>
                  <v:path arrowok="t" o:connecttype="custom" o:connectlocs="158750,479425;2709545,479425;2868295,0;0,0;158750,479425" o:connectangles="0,0,0,0,0"/>
                </v:shape>
              </w:pict>
            </w:r>
            <w:r>
              <w:rPr>
                <w:noProof/>
                <w:lang w:eastAsia="en-AU"/>
              </w:rPr>
              <w:pict>
                <v:shape id="Freeform 11" o:spid="_x0000_s1035" style="position:absolute;margin-left:-5pt;margin-top:1.4pt;width:225.85pt;height:3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" path="m250,755r4017,l4517,,,,250,755xe" fillcolor="#00613f" stroked="f">
                  <v:path arrowok="t" o:connecttype="custom" o:connectlocs="158750,479425;2709545,479425;2868295,0;0,0;158750,479425" o:connectangles="0,0,0,0,0"/>
                </v:shape>
              </w:pict>
            </w:r>
            <w:bookmarkStart w:id="319" w:name="ClientDocReport"/>
            <w:bookmarkStart w:id="320" w:name="ClientDoc"/>
            <w:bookmarkEnd w:id="319"/>
            <w:bookmarkEnd w:id="320"/>
          </w:p>
          <w:p w:rsidR="00D033D3" w:rsidRDefault="00D033D3" w:rsidP="00D033D3">
            <w:pPr>
              <w:pStyle w:val="ParaIndent"/>
              <w:keepNext/>
              <w:ind w:left="0"/>
              <w:rPr>
                <w:lang w:eastAsia="en-AU"/>
              </w:rPr>
            </w:pPr>
          </w:p>
          <w:p w:rsidR="00D033D3" w:rsidRDefault="00B9555F" w:rsidP="00D033D3">
            <w:pPr>
              <w:pStyle w:val="ParaIndent"/>
              <w:keepNext/>
              <w:ind w:left="0"/>
              <w:rPr>
                <w:lang w:eastAsia="en-AU"/>
              </w:rPr>
            </w:pPr>
            <w:r>
              <w:rPr>
                <w:noProof/>
                <w:lang w:eastAsia="en-AU"/>
              </w:rPr>
              <w:pict>
                <v:rect id="Rectangle 12" o:spid="_x0000_s1036" style="position:absolute;margin-left:60.75pt;margin-top:7.75pt;width:69.95pt;height:2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" filled="f" stroked="f">
                  <v:textbox style="mso-fit-shape-to-text:t" inset="0,0,0,0">
                    <w:txbxContent>
                      <w:p w:rsidR="009A0A47" w:rsidRPr="00F32292" w:rsidRDefault="009A0A47" w:rsidP="00D033D3">
                        <w:pPr>
                          <w:rPr>
                            <w:sz w:val="22"/>
                            <w:szCs w:val="22"/>
                          </w:rPr>
                        </w:pPr>
                        <w:r w:rsidRPr="00F32292">
                          <w:rPr>
                            <w:rFonts w:cs="Arial"/>
                            <w:color w:val="FFFFFF"/>
                            <w:sz w:val="22"/>
                            <w:szCs w:val="22"/>
                            <w:lang w:val="en-US"/>
                          </w:rPr>
                          <w:t>RE-USE</w:t>
                        </w:r>
                      </w:p>
                    </w:txbxContent>
                  </v:textbox>
                </v:rect>
              </w:pict>
            </w:r>
          </w:p>
          <w:p w:rsidR="00D033D3" w:rsidRDefault="00D033D3" w:rsidP="00D033D3">
            <w:pPr>
              <w:pStyle w:val="ParaIndent"/>
              <w:keepNext/>
              <w:ind w:left="0"/>
              <w:rPr>
                <w:lang w:eastAsia="en-AU"/>
              </w:rPr>
            </w:pPr>
          </w:p>
        </w:tc>
      </w:tr>
      <w:tr w:rsidR="00D033D3" w:rsidTr="00D033D3">
        <w:trPr>
          <w:trHeight w:hRule="exact" w:val="2268"/>
        </w:trPr>
        <w:tc>
          <w:tcPr>
            <w:tcW w:w="1668" w:type="dxa"/>
            <w:tcBorders>
              <w:top w:val="single" w:sz="4" w:space="0" w:color="FFFFFF" w:themeColor="background1"/>
              <w:bottom w:val="single" w:sz="4" w:space="0" w:color="BFBFBF" w:themeColor="background1" w:themeShade="BF"/>
            </w:tcBorders>
            <w:shd w:val="clear" w:color="auto" w:fill="BFBFBF" w:themeFill="background1" w:themeFillShade="BF"/>
            <w:vAlign w:val="center"/>
          </w:tcPr>
          <w:p w:rsidR="00D033D3" w:rsidRPr="00090F5F" w:rsidRDefault="00D033D3" w:rsidP="00D033D3">
            <w:pPr>
              <w:pStyle w:val="ParaIndent"/>
              <w:ind w:left="0"/>
              <w:rPr>
                <w:sz w:val="18"/>
                <w:szCs w:val="18"/>
                <w:lang w:eastAsia="en-AU"/>
              </w:rPr>
            </w:pPr>
            <w:r w:rsidRPr="00090F5F">
              <w:rPr>
                <w:sz w:val="18"/>
                <w:szCs w:val="18"/>
                <w:lang w:eastAsia="en-AU"/>
              </w:rPr>
              <w:t xml:space="preserve">Scope of </w:t>
            </w:r>
            <w:r>
              <w:rPr>
                <w:sz w:val="18"/>
                <w:szCs w:val="18"/>
                <w:lang w:eastAsia="en-AU"/>
              </w:rPr>
              <w:t>waste and recycling reporting</w:t>
            </w:r>
          </w:p>
        </w:tc>
        <w:tc>
          <w:tcPr>
            <w:tcW w:w="3260" w:type="dxa"/>
            <w:tcBorders>
              <w:top w:val="single" w:sz="4" w:space="0" w:color="FFFFFF" w:themeColor="background1"/>
              <w:bottom w:val="single" w:sz="4" w:space="0" w:color="BFBFBF" w:themeColor="background1" w:themeShade="BF"/>
            </w:tcBorders>
            <w:shd w:val="clear" w:color="auto" w:fill="BFBFBF" w:themeFill="background1" w:themeFillShade="BF"/>
          </w:tcPr>
          <w:p w:rsidR="00D033D3" w:rsidRDefault="00B9555F" w:rsidP="00D033D3">
            <w:pPr>
              <w:pStyle w:val="ParaIndent"/>
              <w:ind w:left="0"/>
              <w:rPr>
                <w:lang w:eastAsia="en-AU"/>
              </w:rPr>
            </w:pPr>
            <w:r>
              <w:rPr>
                <w:noProof/>
                <w:lang w:eastAsia="en-AU"/>
              </w:rPr>
              <w:pict>
                <v:rect id="Rectangle 20" o:spid="_x0000_s1044" style="position:absolute;margin-left:50.3pt;margin-top:12.75pt;width:92.55pt;height:2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" filled="f" stroked="f">
                  <v:textbox style="mso-fit-shape-to-text:t" inset="0,0,0,0">
                    <w:txbxContent>
                      <w:p w:rsidR="009A0A47" w:rsidRPr="00F32292" w:rsidRDefault="009A0A47" w:rsidP="00D033D3">
                        <w:pPr>
                          <w:jc w:val="center"/>
                          <w:rPr>
                            <w:sz w:val="22"/>
                            <w:szCs w:val="22"/>
                          </w:rPr>
                        </w:pPr>
                        <w:r>
                          <w:rPr>
                            <w:rFonts w:cs="Arial"/>
                            <w:color w:val="FFFFFF"/>
                            <w:sz w:val="22"/>
                            <w:szCs w:val="22"/>
                            <w:lang w:val="en-US"/>
                          </w:rPr>
                          <w:t>RECYCLING</w:t>
                        </w:r>
                      </w:p>
                    </w:txbxContent>
                  </v:textbox>
                </v:rect>
              </w:pict>
            </w:r>
            <w:r>
              <w:rPr>
                <w:noProof/>
                <w:lang w:eastAsia="en-AU"/>
              </w:rPr>
              <w:pict>
                <v:shape id="Freeform 14" o:spid="_x0000_s1038" style="position:absolute;margin-left:20.1pt;margin-top:.05pt;width:175.7pt;height:3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" path="m251,755r3011,l3514,,,,251,755xe" filled="f" strokecolor="#f9b204" strokeweight="1e-4mm">
                  <v:stroke endcap="round"/>
                  <v:path arrowok="t" o:connecttype="custom" o:connectlocs="159385,479425;2071370,479425;2231390,0;0,0;159385,479425" o:connectangles="0,0,0,0,0"/>
                </v:shape>
              </w:pict>
            </w:r>
            <w:r>
              <w:rPr>
                <w:noProof/>
                <w:lang w:eastAsia="en-AU"/>
              </w:rPr>
              <w:pict>
                <v:shape id="Freeform 15" o:spid="_x0000_s1039" style="position:absolute;margin-left:45.15pt;margin-top:75.1pt;width:125.55pt;height:3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" path="m252,755r2008,l2511,,,,252,755xe" filled="f" strokecolor="#aa072a" strokeweight="1e-4mm">
                  <v:stroke endcap="round"/>
                  <v:path arrowok="t" o:connecttype="custom" o:connectlocs="160020,479425;1435100,479425;1594485,0;0,0;160020,479425" o:connectangles="0,0,0,0,0"/>
                </v:shape>
              </w:pict>
            </w:r>
            <w:r>
              <w:rPr>
                <w:noProof/>
                <w:lang w:eastAsia="en-AU"/>
              </w:rPr>
              <w:pict>
                <v:shape id="Freeform 17" o:spid="_x0000_s1041" style="position:absolute;margin-left:32.65pt;margin-top:37.85pt;width:150.55pt;height:3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" path="m250,754r2511,l3011,,,,250,754xe" filled="f" strokecolor="#ed7906" strokeweight="1e-4mm">
                  <v:stroke endcap="round"/>
                  <v:path arrowok="t" o:connecttype="custom" o:connectlocs="158750,478790;1753235,478790;1911985,0;0,0;158750,478790" o:connectangles="0,0,0,0,0"/>
                </v:shape>
              </w:pict>
            </w:r>
            <w:r>
              <w:rPr>
                <w:noProof/>
                <w:lang w:eastAsia="en-AU"/>
              </w:rPr>
              <w:pict>
                <v:shape id="Freeform 18" o:spid="_x0000_s1042" style="position:absolute;margin-left:45.15pt;margin-top:75.55pt;width:125.55pt;height:3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" path="m252,755r2008,l2511,,,,252,755xe" fillcolor="#aa072a" stroked="f">
                  <v:path arrowok="t" o:connecttype="custom" o:connectlocs="160020,479425;1435100,479425;1594485,0;0,0;160020,479425" o:connectangles="0,0,0,0,0"/>
                </v:shape>
              </w:pict>
            </w:r>
            <w:r>
              <w:rPr>
                <w:noProof/>
                <w:lang w:eastAsia="en-AU"/>
              </w:rPr>
              <w:pict>
                <v:shape id="Freeform 19" o:spid="_x0000_s1043" style="position:absolute;margin-left:20.1pt;margin-top:.05pt;width:175.7pt;height:3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" path="m251,755r3011,l3514,,,,251,755xe" fillcolor="#f9b204" stroked="f">
                  <v:path arrowok="t" o:connecttype="custom" o:connectlocs="159385,479425;2071370,479425;2231390,0;0,0;159385,479425" o:connectangles="0,0,0,0,0"/>
                </v:shape>
              </w:pict>
            </w:r>
          </w:p>
          <w:p w:rsidR="00D033D3" w:rsidRDefault="00B9555F" w:rsidP="00D033D3">
            <w:pPr>
              <w:pStyle w:val="ParaIndent"/>
              <w:ind w:left="0"/>
              <w:rPr>
                <w:lang w:eastAsia="en-AU"/>
              </w:rPr>
            </w:pPr>
            <w:r>
              <w:rPr>
                <w:noProof/>
                <w:lang w:eastAsia="en-AU"/>
              </w:rPr>
              <w:pict>
                <v:shape id="Freeform 16" o:spid="_x0000_s1040" style="position:absolute;margin-left:32.65pt;margin-top:15.85pt;width:150.55pt;height:3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" path="m250,754r2511,l3011,,,,250,754xe" fillcolor="#ed7906" stroked="f">
                  <v:path arrowok="t" o:connecttype="custom" o:connectlocs="158750,478790;1753235,478790;1911985,0;0,0;158750,478790" o:connectangles="0,0,0,0,0"/>
                </v:shape>
              </w:pict>
            </w:r>
          </w:p>
          <w:p w:rsidR="00D033D3" w:rsidRDefault="00B9555F" w:rsidP="00D033D3">
            <w:pPr>
              <w:pStyle w:val="ParaIndent"/>
              <w:ind w:left="0"/>
              <w:rPr>
                <w:lang w:eastAsia="en-AU"/>
              </w:rPr>
            </w:pPr>
            <w:r>
              <w:rPr>
                <w:noProof/>
                <w:lang w:eastAsia="en-AU"/>
              </w:rPr>
              <w:pict>
                <v:rect id="Rectangle 21" o:spid="_x0000_s1045" style="position:absolute;margin-left:54.05pt;margin-top:.95pt;width:90.7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" filled="f" stroked="f">
                  <v:textbox inset="0,0,0,0">
                    <w:txbxContent>
                      <w:p w:rsidR="009A0A47" w:rsidRPr="00F32292" w:rsidRDefault="009A0A47" w:rsidP="00D033D3">
                        <w:pPr>
                          <w:jc w:val="center"/>
                          <w:rPr>
                            <w:sz w:val="22"/>
                            <w:szCs w:val="22"/>
                          </w:rPr>
                        </w:pPr>
                        <w:r>
                          <w:rPr>
                            <w:rFonts w:cs="Arial"/>
                            <w:color w:val="FFFFFF"/>
                            <w:sz w:val="22"/>
                            <w:szCs w:val="22"/>
                            <w:lang w:val="en-US"/>
                          </w:rPr>
                          <w:t>RECOVERY (energy)</w:t>
                        </w:r>
                      </w:p>
                    </w:txbxContent>
                  </v:textbox>
                </v:rect>
              </w:pict>
            </w:r>
          </w:p>
          <w:p w:rsidR="00D033D3" w:rsidRDefault="00B9555F" w:rsidP="00D033D3">
            <w:pPr>
              <w:pStyle w:val="ParaIndent"/>
              <w:keepNext/>
              <w:ind w:left="0"/>
              <w:rPr>
                <w:lang w:eastAsia="en-AU"/>
              </w:rPr>
            </w:pPr>
            <w:r>
              <w:rPr>
                <w:noProof/>
                <w:lang w:eastAsia="en-AU"/>
              </w:rPr>
              <w:pict>
                <v:rect id="Rectangle 22" o:spid="_x0000_s1046" style="position:absolute;margin-left:62.1pt;margin-top:22pt;width:79.75pt;height:2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" filled="f" stroked="f">
                  <v:textbox style="mso-fit-shape-to-text:t" inset="0,0,0,0">
                    <w:txbxContent>
                      <w:p w:rsidR="009A0A47" w:rsidRPr="00F32292" w:rsidRDefault="009A0A47" w:rsidP="00D033D3">
                        <w:pPr>
                          <w:jc w:val="center"/>
                          <w:rPr>
                            <w:sz w:val="22"/>
                            <w:szCs w:val="22"/>
                          </w:rPr>
                        </w:pPr>
                        <w:r>
                          <w:rPr>
                            <w:rFonts w:cs="Arial"/>
                            <w:color w:val="FFFFFF"/>
                            <w:sz w:val="22"/>
                            <w:szCs w:val="22"/>
                            <w:lang w:val="en-US"/>
                          </w:rPr>
                          <w:t>LANDFILL</w:t>
                        </w:r>
                      </w:p>
                    </w:txbxContent>
                  </v:textbox>
                </v:rect>
              </w:pict>
            </w:r>
          </w:p>
        </w:tc>
      </w:tr>
    </w:tbl>
    <w:p w:rsidR="00D033D3" w:rsidRDefault="00D033D3" w:rsidP="00D033D3">
      <w:pPr>
        <w:pStyle w:val="Footer0"/>
      </w:pPr>
    </w:p>
    <w:p w:rsidR="00D033D3" w:rsidRDefault="00D033D3" w:rsidP="00D033D3">
      <w:pPr>
        <w:pStyle w:val="ParaIndent"/>
        <w:rPr>
          <w:lang w:eastAsia="en-AU"/>
        </w:rPr>
      </w:pPr>
      <w:r>
        <w:rPr>
          <w:lang w:eastAsia="en-AU"/>
        </w:rPr>
        <w:t>The exclusion of re-use from the scope of waste and recycling reporting raises an important issue in respect to the key indicators reported, in particular the recycling and recovery rate. If re-use is excluded from the scope of waste and recycling reporting, then the benefit of re-use is not counted in the recycling or recovery rate. In this case, the recycling or recovery rate and the amount of material being disposed can increase simultaneously. This is demonstrative of the fact that recycling and recovery rates do not usually give an indication of the overall consumption of resources.</w:t>
      </w:r>
    </w:p>
    <w:p w:rsidR="00D033D3" w:rsidRDefault="00D033D3" w:rsidP="00D033D3">
      <w:pPr>
        <w:pStyle w:val="ParaIndent"/>
        <w:rPr>
          <w:rFonts w:cs="Arial"/>
        </w:rPr>
      </w:pPr>
      <w:r>
        <w:rPr>
          <w:rFonts w:cs="Arial"/>
        </w:rPr>
        <w:t>The quantity of waste generation and w</w:t>
      </w:r>
      <w:r w:rsidRPr="00AC1A86">
        <w:rPr>
          <w:rFonts w:cs="Arial"/>
        </w:rPr>
        <w:t xml:space="preserve">aste disposal </w:t>
      </w:r>
      <w:r>
        <w:rPr>
          <w:rFonts w:cs="Arial"/>
        </w:rPr>
        <w:t>is more closely aligned with the actual life cycle environmental impacts of waste.</w:t>
      </w:r>
    </w:p>
    <w:p w:rsidR="00D033D3" w:rsidRDefault="00D033D3" w:rsidP="00D033D3">
      <w:pPr>
        <w:pStyle w:val="Caption0"/>
        <w:ind w:firstLine="0"/>
        <w:rPr>
          <w:rFonts w:ascii="Arial" w:hAnsi="Arial" w:cs="Arial"/>
        </w:rPr>
      </w:pPr>
      <w:bookmarkStart w:id="321" w:name="_Toc333908395"/>
      <w:r w:rsidRPr="00AC1A86">
        <w:rPr>
          <w:rFonts w:ascii="Arial" w:hAnsi="Arial" w:cs="Arial"/>
        </w:rPr>
        <w:t xml:space="preserve">Recommendation </w:t>
      </w:r>
      <w:r w:rsidR="00B9555F" w:rsidRPr="00AC1A86">
        <w:rPr>
          <w:rFonts w:ascii="Arial" w:hAnsi="Arial" w:cs="Arial"/>
        </w:rPr>
        <w:fldChar w:fldCharType="begin"/>
      </w:r>
      <w:r w:rsidRPr="00AC1A86">
        <w:rPr>
          <w:rFonts w:ascii="Arial" w:hAnsi="Arial" w:cs="Arial"/>
        </w:rPr>
        <w:instrText xml:space="preserve"> SEQ Recommendation \* ARABIC </w:instrText>
      </w:r>
      <w:r w:rsidR="00B9555F" w:rsidRPr="00AC1A86">
        <w:rPr>
          <w:rFonts w:ascii="Arial" w:hAnsi="Arial" w:cs="Arial"/>
        </w:rPr>
        <w:fldChar w:fldCharType="separate"/>
      </w:r>
      <w:r w:rsidR="00AE7E3B">
        <w:rPr>
          <w:rFonts w:ascii="Arial" w:hAnsi="Arial" w:cs="Arial"/>
          <w:noProof/>
        </w:rPr>
        <w:t>4</w:t>
      </w:r>
      <w:r w:rsidR="00B9555F" w:rsidRPr="00AC1A86">
        <w:rPr>
          <w:rFonts w:ascii="Arial" w:hAnsi="Arial" w:cs="Arial"/>
        </w:rPr>
        <w:fldChar w:fldCharType="end"/>
      </w:r>
      <w:r w:rsidRPr="00AC1A86">
        <w:rPr>
          <w:rFonts w:ascii="Arial" w:hAnsi="Arial" w:cs="Arial"/>
        </w:rPr>
        <w:t xml:space="preserve">: </w:t>
      </w:r>
      <w:r>
        <w:rPr>
          <w:rFonts w:ascii="Arial" w:hAnsi="Arial" w:cs="Arial"/>
        </w:rPr>
        <w:t>Waste generation and waste disposal should be considered</w:t>
      </w:r>
      <w:r w:rsidRPr="00AC1A86">
        <w:rPr>
          <w:rFonts w:ascii="Arial" w:hAnsi="Arial" w:cs="Arial"/>
        </w:rPr>
        <w:t xml:space="preserve"> </w:t>
      </w:r>
      <w:r>
        <w:rPr>
          <w:rFonts w:ascii="Arial" w:hAnsi="Arial" w:cs="Arial"/>
        </w:rPr>
        <w:t>a more useful indicator of environmental impact than recycling and recovery rates.</w:t>
      </w:r>
      <w:bookmarkEnd w:id="321"/>
    </w:p>
    <w:p w:rsidR="00D033D3" w:rsidRDefault="00D033D3" w:rsidP="00D033D3">
      <w:pPr>
        <w:pStyle w:val="ParaIndent"/>
      </w:pPr>
      <w:r>
        <w:t>Having excluded re-use from the scope of waste and recycling reporting, it follows that waste generation should be considered the total of products and materials collected for recycling, energy recovery or disposal.</w:t>
      </w:r>
    </w:p>
    <w:p w:rsidR="00D033D3" w:rsidRPr="009A2C22" w:rsidRDefault="00D033D3" w:rsidP="00D033D3">
      <w:pPr>
        <w:pStyle w:val="Heading3"/>
        <w:numPr>
          <w:ilvl w:val="2"/>
          <w:numId w:val="12"/>
        </w:numPr>
        <w:shd w:val="clear" w:color="auto" w:fill="auto"/>
        <w:rPr>
          <w:lang w:eastAsia="en-AU"/>
        </w:rPr>
      </w:pPr>
      <w:r>
        <w:rPr>
          <w:lang w:eastAsia="en-AU"/>
        </w:rPr>
        <w:t>Liquid and gaseous wastes</w:t>
      </w:r>
    </w:p>
    <w:p w:rsidR="00D033D3" w:rsidRDefault="00D033D3" w:rsidP="00D033D3">
      <w:pPr>
        <w:pStyle w:val="ParaIndent"/>
        <w:keepNext/>
        <w:spacing w:after="120"/>
        <w:rPr>
          <w:lang w:eastAsia="en-AU"/>
        </w:rPr>
      </w:pPr>
      <w:r>
        <w:rPr>
          <w:lang w:eastAsia="en-AU"/>
        </w:rPr>
        <w:t>The scope of the Hyder (2009) report was:</w:t>
      </w:r>
    </w:p>
    <w:p w:rsidR="00D033D3" w:rsidRDefault="00D033D3" w:rsidP="00D033D3">
      <w:pPr>
        <w:pStyle w:val="ParaIndent"/>
        <w:ind w:left="1689"/>
        <w:rPr>
          <w:sz w:val="18"/>
          <w:szCs w:val="18"/>
          <w:lang w:eastAsia="en-AU"/>
        </w:rPr>
      </w:pPr>
      <w:r w:rsidRPr="006E15C0">
        <w:rPr>
          <w:sz w:val="18"/>
          <w:szCs w:val="18"/>
          <w:lang w:eastAsia="en-AU"/>
        </w:rPr>
        <w:t>...</w:t>
      </w:r>
      <w:r>
        <w:rPr>
          <w:sz w:val="18"/>
          <w:szCs w:val="18"/>
          <w:lang w:eastAsia="en-AU"/>
        </w:rPr>
        <w:t xml:space="preserve"> </w:t>
      </w:r>
      <w:r w:rsidRPr="006E15C0">
        <w:rPr>
          <w:sz w:val="18"/>
          <w:szCs w:val="18"/>
          <w:lang w:eastAsia="en-AU"/>
        </w:rPr>
        <w:t>the three major solid waste streams: municipal solid waste (municipal or MSW), commercial and industrial (C&amp;I), and construction and demolition (C&amp;D).</w:t>
      </w:r>
    </w:p>
    <w:p w:rsidR="00D033D3" w:rsidRDefault="00D033D3" w:rsidP="00D033D3">
      <w:pPr>
        <w:pStyle w:val="ParaIndent"/>
        <w:spacing w:after="120"/>
        <w:rPr>
          <w:lang w:eastAsia="en-AU"/>
        </w:rPr>
      </w:pPr>
      <w:r>
        <w:rPr>
          <w:lang w:eastAsia="en-AU"/>
        </w:rPr>
        <w:t xml:space="preserve">This is narrower than the scope of the National Waste Policy, which: </w:t>
      </w:r>
    </w:p>
    <w:p w:rsidR="00D033D3" w:rsidRPr="007A6496" w:rsidRDefault="00D033D3" w:rsidP="00D033D3">
      <w:pPr>
        <w:pStyle w:val="ParaIndent"/>
        <w:ind w:left="1701"/>
        <w:rPr>
          <w:sz w:val="18"/>
          <w:szCs w:val="18"/>
          <w:lang w:eastAsia="en-AU"/>
        </w:rPr>
      </w:pPr>
      <w:r>
        <w:rPr>
          <w:sz w:val="18"/>
          <w:szCs w:val="18"/>
          <w:lang w:eastAsia="en-AU"/>
        </w:rPr>
        <w:t>...</w:t>
      </w:r>
      <w:r w:rsidRPr="007A6496">
        <w:rPr>
          <w:sz w:val="18"/>
          <w:szCs w:val="18"/>
          <w:lang w:eastAsia="en-AU"/>
        </w:rPr>
        <w:t>encompasses wastes, including hazardous wastes and substances, in the municipal, commercial and industrial, construction and demolition waste streams, and covers gaseous, liquid and solid wastes. Radioactive waste is excluded.</w:t>
      </w:r>
    </w:p>
    <w:p w:rsidR="00D033D3" w:rsidRDefault="00D033D3" w:rsidP="00D033D3">
      <w:pPr>
        <w:pStyle w:val="ParaIndent"/>
        <w:rPr>
          <w:lang w:eastAsia="en-AU"/>
        </w:rPr>
      </w:pPr>
      <w:r w:rsidRPr="00670FE3">
        <w:rPr>
          <w:lang w:eastAsia="en-AU"/>
        </w:rPr>
        <w:t>However, the focus of the key directions and strategies, and the implementation plan of the National Waste Policy, is on solid waste. The National Waste Policy RIS, while acknowledging the scope defined above, also restricts its analysis to the three major solid waste streams.</w:t>
      </w:r>
      <w:r>
        <w:rPr>
          <w:lang w:eastAsia="en-AU"/>
        </w:rPr>
        <w:t xml:space="preserve"> </w:t>
      </w:r>
    </w:p>
    <w:p w:rsidR="00D033D3" w:rsidRDefault="00D033D3" w:rsidP="00D033D3">
      <w:pPr>
        <w:pStyle w:val="ParaIndent"/>
      </w:pPr>
      <w:r>
        <w:t>State and territory government reporting of waste is generally constrained to solid waste. Queensland does include liquid wastes within its</w:t>
      </w:r>
      <w:r w:rsidRPr="001B2E99">
        <w:rPr>
          <w:i/>
        </w:rPr>
        <w:t xml:space="preserve"> </w:t>
      </w:r>
      <w:r>
        <w:rPr>
          <w:i/>
        </w:rPr>
        <w:t>S</w:t>
      </w:r>
      <w:r w:rsidRPr="001B2E99">
        <w:rPr>
          <w:i/>
        </w:rPr>
        <w:t>tate</w:t>
      </w:r>
      <w:r>
        <w:rPr>
          <w:i/>
        </w:rPr>
        <w:t xml:space="preserve"> of Waste and Recycling</w:t>
      </w:r>
      <w:r>
        <w:t xml:space="preserve"> reports,</w:t>
      </w:r>
      <w:r>
        <w:rPr>
          <w:i/>
        </w:rPr>
        <w:t xml:space="preserve"> </w:t>
      </w:r>
      <w:r>
        <w:t>but these are listed separately.</w:t>
      </w:r>
    </w:p>
    <w:p w:rsidR="00D033D3" w:rsidRDefault="00D033D3" w:rsidP="00D033D3">
      <w:pPr>
        <w:pStyle w:val="Caption0"/>
        <w:ind w:firstLine="0"/>
        <w:rPr>
          <w:rFonts w:ascii="Arial" w:hAnsi="Arial" w:cs="Arial"/>
        </w:rPr>
      </w:pPr>
      <w:bookmarkStart w:id="322" w:name="_Toc333908396"/>
      <w:r w:rsidRPr="00071433">
        <w:rPr>
          <w:rFonts w:ascii="Arial" w:hAnsi="Arial" w:cs="Arial"/>
        </w:rPr>
        <w:t xml:space="preserve">Recommendation </w:t>
      </w:r>
      <w:r w:rsidR="00B9555F" w:rsidRPr="00071433">
        <w:rPr>
          <w:rFonts w:ascii="Arial" w:hAnsi="Arial" w:cs="Arial"/>
        </w:rPr>
        <w:fldChar w:fldCharType="begin"/>
      </w:r>
      <w:r w:rsidRPr="00071433">
        <w:rPr>
          <w:rFonts w:ascii="Arial" w:hAnsi="Arial" w:cs="Arial"/>
        </w:rPr>
        <w:instrText xml:space="preserve"> SEQ Recommendation \* ARABIC </w:instrText>
      </w:r>
      <w:r w:rsidR="00B9555F" w:rsidRPr="00071433">
        <w:rPr>
          <w:rFonts w:ascii="Arial" w:hAnsi="Arial" w:cs="Arial"/>
        </w:rPr>
        <w:fldChar w:fldCharType="separate"/>
      </w:r>
      <w:r w:rsidR="00AE7E3B">
        <w:rPr>
          <w:rFonts w:ascii="Arial" w:hAnsi="Arial" w:cs="Arial"/>
          <w:noProof/>
        </w:rPr>
        <w:t>5</w:t>
      </w:r>
      <w:r w:rsidR="00B9555F" w:rsidRPr="00071433">
        <w:rPr>
          <w:rFonts w:ascii="Arial" w:hAnsi="Arial" w:cs="Arial"/>
        </w:rPr>
        <w:fldChar w:fldCharType="end"/>
      </w:r>
      <w:r w:rsidRPr="00071433">
        <w:rPr>
          <w:rFonts w:ascii="Arial" w:hAnsi="Arial" w:cs="Arial"/>
        </w:rPr>
        <w:t xml:space="preserve">: Liquid and </w:t>
      </w:r>
      <w:r>
        <w:rPr>
          <w:rFonts w:ascii="Arial" w:hAnsi="Arial" w:cs="Arial"/>
        </w:rPr>
        <w:t>gaseous</w:t>
      </w:r>
      <w:r w:rsidRPr="00071433">
        <w:rPr>
          <w:rFonts w:ascii="Arial" w:hAnsi="Arial" w:cs="Arial"/>
        </w:rPr>
        <w:t xml:space="preserve"> was</w:t>
      </w:r>
      <w:r>
        <w:rPr>
          <w:rFonts w:ascii="Arial" w:hAnsi="Arial" w:cs="Arial"/>
        </w:rPr>
        <w:t>tes should be excluded from the scope at this stage.</w:t>
      </w:r>
      <w:bookmarkEnd w:id="322"/>
    </w:p>
    <w:p w:rsidR="00D033D3" w:rsidRDefault="00D033D3" w:rsidP="00D033D3">
      <w:pPr>
        <w:pStyle w:val="ParaIndent"/>
      </w:pPr>
      <w:r w:rsidRPr="003D498A">
        <w:t>As previously discussed, there is a degree of ambiguity as to what is considered a solid for the purposes of waste definitions. Where data exists, waste to landfill figures may need to be adjusted to take account of the small proportion of viscous liquids contributing to solid waste figures.</w:t>
      </w:r>
      <w:r>
        <w:t xml:space="preserve"> </w:t>
      </w:r>
    </w:p>
    <w:p w:rsidR="00D033D3" w:rsidRDefault="00D033D3" w:rsidP="00D033D3">
      <w:pPr>
        <w:pStyle w:val="ParaIndent"/>
      </w:pPr>
      <w:r>
        <w:t>Liquid wastes cannot be disposed directly to landfill in any jurisdiction. Liquid wastes that are not readily reused or recycled are often solidified to enable their disposal to landfill, usually as a hazardous solid waste. As a result, it is important to note that reported amount of waste disposed to landfill usually includes solidified liquid wastes. Solidified liquid wastes may be a significant proportion of hazardous wastes. However, solidified liquid wastes are likely to be a small</w:t>
      </w:r>
      <w:r w:rsidRPr="00670FE3">
        <w:t xml:space="preserve"> </w:t>
      </w:r>
      <w:r>
        <w:t xml:space="preserve">percentage of total solid waste. </w:t>
      </w:r>
    </w:p>
    <w:p w:rsidR="00D033D3" w:rsidRPr="00B243C9" w:rsidRDefault="00D033D3" w:rsidP="00D033D3">
      <w:pPr>
        <w:pStyle w:val="Heading3"/>
        <w:numPr>
          <w:ilvl w:val="2"/>
          <w:numId w:val="12"/>
        </w:numPr>
        <w:shd w:val="clear" w:color="auto" w:fill="auto"/>
        <w:rPr>
          <w:rFonts w:ascii="Helvetica" w:hAnsi="Helvetica" w:cs="Helvetica"/>
          <w:szCs w:val="24"/>
          <w:lang w:eastAsia="en-AU"/>
        </w:rPr>
      </w:pPr>
      <w:r w:rsidRPr="00B243C9">
        <w:rPr>
          <w:rFonts w:ascii="Helvetica" w:hAnsi="Helvetica" w:cs="Helvetica"/>
          <w:szCs w:val="24"/>
          <w:lang w:eastAsia="en-AU"/>
        </w:rPr>
        <w:t>Waste generation data reporting on a per capita basis</w:t>
      </w:r>
    </w:p>
    <w:p w:rsidR="00D033D3" w:rsidRPr="003C6741" w:rsidRDefault="00D033D3" w:rsidP="00D033D3">
      <w:pPr>
        <w:pStyle w:val="ParaIndent"/>
      </w:pPr>
      <w:r w:rsidRPr="003C6741">
        <w:t>Variation in overall waste</w:t>
      </w:r>
      <w:r>
        <w:t xml:space="preserve"> generation data for each state </w:t>
      </w:r>
      <w:r w:rsidRPr="003C6741">
        <w:t>is expected given the population size of the</w:t>
      </w:r>
      <w:r>
        <w:t xml:space="preserve"> </w:t>
      </w:r>
      <w:r w:rsidRPr="003C6741">
        <w:t>different states/territories. This is corrected for by presenting the data on waste</w:t>
      </w:r>
      <w:r>
        <w:t xml:space="preserve"> on a per capita basis. When presenting data on a per capita basis, the population of the relevant time period (as reported by the Australian Bureau of Statistics) needs to be used to ensure that population growth does not </w:t>
      </w:r>
      <w:r w:rsidR="00A0612A">
        <w:t xml:space="preserve">distort </w:t>
      </w:r>
      <w:r>
        <w:t>the per capita generation rates of the time.</w:t>
      </w:r>
    </w:p>
    <w:p w:rsidR="00D033D3" w:rsidRDefault="00D033D3" w:rsidP="00D033D3">
      <w:pPr>
        <w:pStyle w:val="Caption0"/>
        <w:ind w:firstLine="0"/>
        <w:rPr>
          <w:rFonts w:ascii="Arial" w:hAnsi="Arial" w:cs="Arial"/>
        </w:rPr>
      </w:pPr>
      <w:bookmarkStart w:id="323" w:name="_Toc333908397"/>
      <w:r w:rsidRPr="00071433">
        <w:rPr>
          <w:rFonts w:ascii="Arial" w:hAnsi="Arial" w:cs="Arial"/>
        </w:rPr>
        <w:t xml:space="preserve">Recommendation </w:t>
      </w:r>
      <w:r w:rsidR="00B9555F" w:rsidRPr="00071433">
        <w:rPr>
          <w:rFonts w:ascii="Arial" w:hAnsi="Arial" w:cs="Arial"/>
        </w:rPr>
        <w:fldChar w:fldCharType="begin"/>
      </w:r>
      <w:r w:rsidRPr="00071433">
        <w:rPr>
          <w:rFonts w:ascii="Arial" w:hAnsi="Arial" w:cs="Arial"/>
        </w:rPr>
        <w:instrText xml:space="preserve"> SEQ Recommendation \* ARABIC </w:instrText>
      </w:r>
      <w:r w:rsidR="00B9555F" w:rsidRPr="00071433">
        <w:rPr>
          <w:rFonts w:ascii="Arial" w:hAnsi="Arial" w:cs="Arial"/>
        </w:rPr>
        <w:fldChar w:fldCharType="separate"/>
      </w:r>
      <w:r w:rsidR="00AE7E3B">
        <w:rPr>
          <w:rFonts w:ascii="Arial" w:hAnsi="Arial" w:cs="Arial"/>
          <w:noProof/>
        </w:rPr>
        <w:t>6</w:t>
      </w:r>
      <w:r w:rsidR="00B9555F" w:rsidRPr="00071433">
        <w:rPr>
          <w:rFonts w:ascii="Arial" w:hAnsi="Arial" w:cs="Arial"/>
        </w:rPr>
        <w:fldChar w:fldCharType="end"/>
      </w:r>
      <w:r w:rsidRPr="00071433">
        <w:rPr>
          <w:rFonts w:ascii="Arial" w:hAnsi="Arial" w:cs="Arial"/>
        </w:rPr>
        <w:t xml:space="preserve">: </w:t>
      </w:r>
      <w:r>
        <w:rPr>
          <w:rFonts w:ascii="Arial" w:hAnsi="Arial" w:cs="Arial"/>
        </w:rPr>
        <w:t>Report waste generation data on a per capita basis using population figures that correspond to the reporting period.</w:t>
      </w:r>
      <w:bookmarkEnd w:id="323"/>
    </w:p>
    <w:p w:rsidR="00D033D3" w:rsidRDefault="00D033D3" w:rsidP="00D033D3">
      <w:pPr>
        <w:pStyle w:val="Heading3"/>
        <w:numPr>
          <w:ilvl w:val="2"/>
          <w:numId w:val="12"/>
        </w:numPr>
        <w:shd w:val="clear" w:color="auto" w:fill="auto"/>
        <w:rPr>
          <w:lang w:eastAsia="en-AU"/>
        </w:rPr>
      </w:pPr>
      <w:r>
        <w:rPr>
          <w:lang w:eastAsia="en-AU"/>
        </w:rPr>
        <w:t>Reporting by weight</w:t>
      </w:r>
    </w:p>
    <w:p w:rsidR="00D033D3" w:rsidRDefault="00D033D3" w:rsidP="00D033D3">
      <w:pPr>
        <w:pStyle w:val="ParaIndent"/>
      </w:pPr>
      <w:r>
        <w:t>The approach of previous reports, and that of most states and territories, is to report waste and recycling by weight.</w:t>
      </w:r>
    </w:p>
    <w:p w:rsidR="00D033D3" w:rsidRPr="00901B65" w:rsidRDefault="00D033D3" w:rsidP="00D033D3">
      <w:pPr>
        <w:pStyle w:val="Caption0"/>
        <w:ind w:firstLine="0"/>
        <w:rPr>
          <w:rFonts w:ascii="Arial" w:hAnsi="Arial" w:cs="Arial"/>
        </w:rPr>
      </w:pPr>
      <w:bookmarkStart w:id="324" w:name="_Toc333908398"/>
      <w:r w:rsidRPr="008D722A">
        <w:rPr>
          <w:rFonts w:ascii="Arial" w:hAnsi="Arial" w:cs="Arial"/>
        </w:rPr>
        <w:t xml:space="preserve">Recommendation </w:t>
      </w:r>
      <w:r w:rsidR="00B9555F" w:rsidRPr="008D722A">
        <w:rPr>
          <w:rFonts w:ascii="Arial" w:hAnsi="Arial" w:cs="Arial"/>
        </w:rPr>
        <w:fldChar w:fldCharType="begin"/>
      </w:r>
      <w:r w:rsidRPr="008D722A">
        <w:rPr>
          <w:rFonts w:ascii="Arial" w:hAnsi="Arial" w:cs="Arial"/>
        </w:rPr>
        <w:instrText xml:space="preserve"> SEQ Recommendation \* ARABIC </w:instrText>
      </w:r>
      <w:r w:rsidR="00B9555F" w:rsidRPr="008D722A">
        <w:rPr>
          <w:rFonts w:ascii="Arial" w:hAnsi="Arial" w:cs="Arial"/>
        </w:rPr>
        <w:fldChar w:fldCharType="separate"/>
      </w:r>
      <w:r w:rsidR="00AE7E3B">
        <w:rPr>
          <w:rFonts w:ascii="Arial" w:hAnsi="Arial" w:cs="Arial"/>
          <w:noProof/>
        </w:rPr>
        <w:t>7</w:t>
      </w:r>
      <w:r w:rsidR="00B9555F" w:rsidRPr="008D722A">
        <w:rPr>
          <w:rFonts w:ascii="Arial" w:hAnsi="Arial" w:cs="Arial"/>
        </w:rPr>
        <w:fldChar w:fldCharType="end"/>
      </w:r>
      <w:r w:rsidRPr="008D722A">
        <w:rPr>
          <w:rFonts w:ascii="Arial" w:hAnsi="Arial" w:cs="Arial"/>
        </w:rPr>
        <w:t xml:space="preserve">: Waste </w:t>
      </w:r>
      <w:r>
        <w:rPr>
          <w:rFonts w:ascii="Arial" w:hAnsi="Arial" w:cs="Arial"/>
        </w:rPr>
        <w:t>and recycling should be reported by weight.</w:t>
      </w:r>
      <w:bookmarkEnd w:id="324"/>
      <w:r>
        <w:rPr>
          <w:rFonts w:ascii="Arial" w:hAnsi="Arial" w:cs="Arial"/>
        </w:rPr>
        <w:t xml:space="preserve"> </w:t>
      </w:r>
    </w:p>
    <w:p w:rsidR="00D033D3" w:rsidRDefault="00D033D3" w:rsidP="00D033D3">
      <w:pPr>
        <w:pStyle w:val="ParaIndent"/>
      </w:pPr>
      <w:r>
        <w:t>It should be noted that mass alone does not provide a complete representation of the relative benefits of recycling or disposing collected materials. For example, from the perspective of resource recovery, in particular embodied energy, the diversion of a tonne of aluminium is more important than the diversion of a tonne of timber. Aggregating the disposal of materials by mass does not highlight this important environmental aspect of material disposal.</w:t>
      </w:r>
    </w:p>
    <w:p w:rsidR="00D033D3" w:rsidRDefault="00D033D3" w:rsidP="00D033D3">
      <w:pPr>
        <w:pStyle w:val="ParaIndent"/>
      </w:pPr>
      <w:r>
        <w:t>The full life cycle impacts of the disposal of materials require a more detailed analysis of the embodied resources with a material, the relative benefits of recovering these resources, and any pollution or toxic impact associated with the extraction or recycling of a material. The availability of a raw material is also important to understanding the full benefits of recycling, recovering energy from, or disposal of that material.</w:t>
      </w:r>
    </w:p>
    <w:p w:rsidR="00D033D3" w:rsidRDefault="00D033D3" w:rsidP="00D033D3">
      <w:pPr>
        <w:pStyle w:val="ParaIndent"/>
      </w:pPr>
      <w:r>
        <w:t>However, the weight of end-of-life products and materials that is disposed is critical to understanding the impacts of waste and recycling, and is a very useful first step towards better management and use of materials and resources. It is also the most practical and universal way to measure waste and recycling.</w:t>
      </w:r>
    </w:p>
    <w:p w:rsidR="00D033D3" w:rsidRPr="008D722A" w:rsidRDefault="00D033D3" w:rsidP="00D033D3">
      <w:pPr>
        <w:pStyle w:val="Heading3"/>
        <w:numPr>
          <w:ilvl w:val="2"/>
          <w:numId w:val="12"/>
        </w:numPr>
        <w:shd w:val="clear" w:color="auto" w:fill="auto"/>
      </w:pPr>
      <w:r w:rsidRPr="008D722A">
        <w:t>Waste to energy</w:t>
      </w:r>
    </w:p>
    <w:p w:rsidR="00D033D3" w:rsidRDefault="00D033D3" w:rsidP="00D033D3">
      <w:pPr>
        <w:pStyle w:val="ParaIndent"/>
      </w:pPr>
      <w:r w:rsidRPr="008D722A">
        <w:t>Energy recovery from solid waste can occur through the conversion of material with a useful energy value directly into a combustible fuel, or through the collection and combustion of methane generated through the anaerobic decomposition of organic material.</w:t>
      </w:r>
    </w:p>
    <w:p w:rsidR="00D033D3" w:rsidRDefault="00D033D3" w:rsidP="00D033D3">
      <w:pPr>
        <w:pStyle w:val="ParaIndent"/>
      </w:pPr>
      <w:r w:rsidRPr="003D498A">
        <w:t xml:space="preserve">Previous national waste and recycling reporting has not separated energy recovery from recycling. </w:t>
      </w:r>
      <w:r>
        <w:t>This reflects the approach of most states and territories. However, given the increase in the attention on, and quantification of, waste to energy, particularly methane capture, energy recovery should be separated out from waste and recycling.</w:t>
      </w:r>
    </w:p>
    <w:p w:rsidR="00D033D3" w:rsidRPr="008D722A" w:rsidRDefault="00D033D3" w:rsidP="00D033D3">
      <w:pPr>
        <w:pStyle w:val="Caption0"/>
        <w:ind w:firstLine="0"/>
        <w:rPr>
          <w:rFonts w:ascii="Arial" w:hAnsi="Arial" w:cs="Arial"/>
        </w:rPr>
      </w:pPr>
      <w:bookmarkStart w:id="325" w:name="_Toc333908399"/>
      <w:r w:rsidRPr="008D722A">
        <w:rPr>
          <w:rFonts w:ascii="Arial" w:hAnsi="Arial" w:cs="Arial"/>
        </w:rPr>
        <w:t xml:space="preserve">Recommendation </w:t>
      </w:r>
      <w:r w:rsidR="00B9555F" w:rsidRPr="008D722A">
        <w:rPr>
          <w:rFonts w:ascii="Arial" w:hAnsi="Arial" w:cs="Arial"/>
        </w:rPr>
        <w:fldChar w:fldCharType="begin"/>
      </w:r>
      <w:r w:rsidRPr="008D722A">
        <w:rPr>
          <w:rFonts w:ascii="Arial" w:hAnsi="Arial" w:cs="Arial"/>
        </w:rPr>
        <w:instrText xml:space="preserve"> SEQ Recommendation \* ARABIC </w:instrText>
      </w:r>
      <w:r w:rsidR="00B9555F" w:rsidRPr="008D722A">
        <w:rPr>
          <w:rFonts w:ascii="Arial" w:hAnsi="Arial" w:cs="Arial"/>
        </w:rPr>
        <w:fldChar w:fldCharType="separate"/>
      </w:r>
      <w:r w:rsidR="00AE7E3B">
        <w:rPr>
          <w:rFonts w:ascii="Arial" w:hAnsi="Arial" w:cs="Arial"/>
          <w:noProof/>
        </w:rPr>
        <w:t>8</w:t>
      </w:r>
      <w:r w:rsidR="00B9555F" w:rsidRPr="008D722A">
        <w:rPr>
          <w:rFonts w:ascii="Arial" w:hAnsi="Arial" w:cs="Arial"/>
        </w:rPr>
        <w:fldChar w:fldCharType="end"/>
      </w:r>
      <w:r w:rsidRPr="008D722A">
        <w:rPr>
          <w:rFonts w:ascii="Arial" w:hAnsi="Arial" w:cs="Arial"/>
        </w:rPr>
        <w:t xml:space="preserve">: Waste </w:t>
      </w:r>
      <w:r>
        <w:rPr>
          <w:rFonts w:ascii="Arial" w:hAnsi="Arial" w:cs="Arial"/>
        </w:rPr>
        <w:t>converted</w:t>
      </w:r>
      <w:r w:rsidRPr="008D722A">
        <w:rPr>
          <w:rFonts w:ascii="Arial" w:hAnsi="Arial" w:cs="Arial"/>
        </w:rPr>
        <w:t xml:space="preserve"> </w:t>
      </w:r>
      <w:r>
        <w:rPr>
          <w:rFonts w:ascii="Arial" w:hAnsi="Arial" w:cs="Arial"/>
        </w:rPr>
        <w:t>to</w:t>
      </w:r>
      <w:r w:rsidRPr="008D722A">
        <w:rPr>
          <w:rFonts w:ascii="Arial" w:hAnsi="Arial" w:cs="Arial"/>
        </w:rPr>
        <w:t xml:space="preserve"> energy </w:t>
      </w:r>
      <w:r>
        <w:rPr>
          <w:rFonts w:ascii="Arial" w:hAnsi="Arial" w:cs="Arial"/>
        </w:rPr>
        <w:t>should</w:t>
      </w:r>
      <w:r w:rsidRPr="008D722A">
        <w:rPr>
          <w:rFonts w:ascii="Arial" w:hAnsi="Arial" w:cs="Arial"/>
        </w:rPr>
        <w:t xml:space="preserve"> </w:t>
      </w:r>
      <w:r>
        <w:rPr>
          <w:rFonts w:ascii="Arial" w:hAnsi="Arial" w:cs="Arial"/>
        </w:rPr>
        <w:t>be</w:t>
      </w:r>
      <w:r w:rsidRPr="008D722A">
        <w:rPr>
          <w:rFonts w:ascii="Arial" w:hAnsi="Arial" w:cs="Arial"/>
        </w:rPr>
        <w:t xml:space="preserve"> counted as a separate disposal pathway to recycling and </w:t>
      </w:r>
      <w:r>
        <w:rPr>
          <w:rFonts w:ascii="Arial" w:hAnsi="Arial" w:cs="Arial"/>
        </w:rPr>
        <w:t>disposal</w:t>
      </w:r>
      <w:r w:rsidRPr="008D722A">
        <w:rPr>
          <w:rFonts w:ascii="Arial" w:hAnsi="Arial" w:cs="Arial"/>
        </w:rPr>
        <w:t>.</w:t>
      </w:r>
      <w:bookmarkEnd w:id="325"/>
    </w:p>
    <w:p w:rsidR="00D033D3" w:rsidRPr="008D722A" w:rsidRDefault="00D033D3" w:rsidP="00D033D3">
      <w:pPr>
        <w:pStyle w:val="ParaIndent"/>
      </w:pPr>
      <w:r w:rsidRPr="008D722A">
        <w:t xml:space="preserve">Energy recovered from waste is </w:t>
      </w:r>
      <w:r>
        <w:t>often</w:t>
      </w:r>
      <w:r w:rsidRPr="008D722A">
        <w:t xml:space="preserve"> measured as a unit of energy or a unit of electricity. This presents an issue for the reporting </w:t>
      </w:r>
      <w:r>
        <w:t>on</w:t>
      </w:r>
      <w:r w:rsidRPr="008D722A">
        <w:t xml:space="preserve"> that component of solid waste – measured by weight – that is converted to energy.</w:t>
      </w:r>
    </w:p>
    <w:p w:rsidR="00D033D3" w:rsidRDefault="00D033D3" w:rsidP="00D033D3">
      <w:pPr>
        <w:pStyle w:val="ParaIndent"/>
      </w:pPr>
      <w:r>
        <w:t>When</w:t>
      </w:r>
      <w:r w:rsidRPr="008D722A">
        <w:t xml:space="preserve"> energy is recovered from the conversion of material into a fuel, </w:t>
      </w:r>
      <w:r>
        <w:t>the weight of waste to energy can be relatively easily</w:t>
      </w:r>
      <w:r w:rsidRPr="008D722A">
        <w:t xml:space="preserve"> isolated from material that is recycled or </w:t>
      </w:r>
      <w:r>
        <w:t>disposed</w:t>
      </w:r>
      <w:r w:rsidRPr="008D722A">
        <w:t xml:space="preserve">. </w:t>
      </w:r>
      <w:r>
        <w:t>The weight of material converted to energy is the balance of the weight of</w:t>
      </w:r>
      <w:r w:rsidRPr="008D722A">
        <w:t xml:space="preserve"> residual materials from this process</w:t>
      </w:r>
      <w:r>
        <w:t>.</w:t>
      </w:r>
    </w:p>
    <w:p w:rsidR="00D033D3" w:rsidRDefault="00D033D3" w:rsidP="00D033D3">
      <w:pPr>
        <w:pStyle w:val="ParaIndent"/>
        <w:ind w:left="1689" w:hanging="555"/>
      </w:pPr>
      <w:r>
        <w:t>N.B.</w:t>
      </w:r>
      <w:r>
        <w:tab/>
        <w:t xml:space="preserve">Energy recovery </w:t>
      </w:r>
      <w:r w:rsidRPr="008D722A">
        <w:t>from the conversion of material into a fuel</w:t>
      </w:r>
      <w:r>
        <w:t xml:space="preserve"> for a defined purpose is distinct from the incineration of material that does not involve the use – recovery – of that energy (see section </w:t>
      </w:r>
      <w:r w:rsidR="00B9555F">
        <w:fldChar w:fldCharType="begin"/>
      </w:r>
      <w:r>
        <w:instrText xml:space="preserve"> REF _Ref277164373 \r \h </w:instrText>
      </w:r>
      <w:r w:rsidR="00B9555F">
        <w:fldChar w:fldCharType="separate"/>
      </w:r>
      <w:r w:rsidR="00AE7E3B">
        <w:t>0</w:t>
      </w:r>
      <w:r w:rsidR="00B9555F">
        <w:fldChar w:fldCharType="end"/>
      </w:r>
      <w:r>
        <w:t>). In Australia, incineration is mainly confined to the treatment of biosolids, hazardous and/or quarantine wastes.</w:t>
      </w:r>
    </w:p>
    <w:p w:rsidR="00D033D3" w:rsidRDefault="00D033D3" w:rsidP="00D033D3">
      <w:pPr>
        <w:pStyle w:val="ParaIndent"/>
      </w:pPr>
      <w:r w:rsidRPr="008D722A">
        <w:t>More difficult in a waste accounting sense is the recovery of energy from the dec</w:t>
      </w:r>
      <w:r>
        <w:t xml:space="preserve">omposition of organic material. </w:t>
      </w:r>
      <w:r w:rsidRPr="008D722A">
        <w:t>Methane collected in an anaerobic digester</w:t>
      </w:r>
      <w:r>
        <w:t xml:space="preserve"> </w:t>
      </w:r>
      <w:r w:rsidRPr="008D722A">
        <w:t xml:space="preserve">– either mixed waste or organics only – can be reasonably easily accounted for. Assuming that the amount of digestate is recorded at the end of the anaerobic digestion process, the material mass related to energy recovery </w:t>
      </w:r>
      <w:r>
        <w:t>can be said to be the</w:t>
      </w:r>
      <w:r w:rsidRPr="008D722A">
        <w:t xml:space="preserve"> total material received, less digestate.</w:t>
      </w:r>
    </w:p>
    <w:p w:rsidR="00D033D3" w:rsidRDefault="00D033D3" w:rsidP="00D033D3">
      <w:pPr>
        <w:pStyle w:val="TableHeading"/>
        <w:tabs>
          <w:tab w:val="left" w:pos="567"/>
          <w:tab w:val="left" w:pos="1134"/>
          <w:tab w:val="left" w:pos="1701"/>
          <w:tab w:val="left" w:pos="2268"/>
          <w:tab w:val="left" w:pos="2835"/>
          <w:tab w:val="left" w:pos="3402"/>
          <w:tab w:val="left" w:pos="3969"/>
          <w:tab w:val="left" w:pos="4536"/>
          <w:tab w:val="left" w:pos="5103"/>
          <w:tab w:val="left" w:pos="5772"/>
        </w:tabs>
        <w:spacing w:after="180"/>
      </w:pPr>
      <w:r>
        <w:tab/>
      </w:r>
      <w:r>
        <w:tab/>
      </w:r>
      <w:r>
        <w:tab/>
        <w:t xml:space="preserve">Figure </w:t>
      </w:r>
      <w:r w:rsidR="00B9555F">
        <w:fldChar w:fldCharType="begin"/>
      </w:r>
      <w:r w:rsidR="000C6B88">
        <w:instrText xml:space="preserve"> SEQ Figure \* ARABIC </w:instrText>
      </w:r>
      <w:r w:rsidR="00B9555F">
        <w:fldChar w:fldCharType="separate"/>
      </w:r>
      <w:r w:rsidR="00AE7E3B">
        <w:rPr>
          <w:noProof/>
        </w:rPr>
        <w:t>34</w:t>
      </w:r>
      <w:r w:rsidR="00B9555F">
        <w:rPr>
          <w:noProof/>
        </w:rPr>
        <w:fldChar w:fldCharType="end"/>
      </w:r>
      <w:r>
        <w:t>: Mass flow of organic material in an anaerobic digester</w:t>
      </w:r>
      <w:r>
        <w:tab/>
      </w:r>
    </w:p>
    <w:p w:rsidR="00D033D3" w:rsidRDefault="00D033D3" w:rsidP="00D033D3">
      <w:pPr>
        <w:pStyle w:val="ParaIndent"/>
      </w:pPr>
      <w:r>
        <w:rPr>
          <w:noProof/>
          <w:lang w:eastAsia="en-AU"/>
        </w:rPr>
        <w:drawing>
          <wp:inline distT="0" distB="0" distL="0" distR="0">
            <wp:extent cx="5288590" cy="1492370"/>
            <wp:effectExtent l="19050" t="0" r="7310" b="0"/>
            <wp:docPr id="57" name="Picture 20" descr="AW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T.emf"/>
                    <pic:cNvPicPr/>
                  </pic:nvPicPr>
                  <pic:blipFill>
                    <a:blip r:embed="rId90" cstate="print"/>
                    <a:stretch>
                      <a:fillRect/>
                    </a:stretch>
                  </pic:blipFill>
                  <pic:spPr>
                    <a:xfrm>
                      <a:off x="0" y="0"/>
                      <a:ext cx="5297793" cy="1494967"/>
                    </a:xfrm>
                    <a:prstGeom prst="rect">
                      <a:avLst/>
                    </a:prstGeom>
                  </pic:spPr>
                </pic:pic>
              </a:graphicData>
            </a:graphic>
          </wp:inline>
        </w:drawing>
      </w:r>
    </w:p>
    <w:p w:rsidR="00D033D3" w:rsidRDefault="00D033D3" w:rsidP="00D033D3">
      <w:pPr>
        <w:pStyle w:val="ParaIndent"/>
      </w:pPr>
      <w:r>
        <w:t>The accounting of energy recovered from landfill is less straightforward. The mass of material that is disposed of to landfill is recorded regardless of any energy recovery that subsequently occurs. In the case where energy recovery occurs and is recorded, the mass of material that is converted into energy is counted twice. A mass conversion factor could be applied, using the amount of energy produced on-site as the input data, to determine what mass of material disposed to landfill has been converted to energy. This mass of methane captured could be converted back into an equivalent mass of organic material, subtracted from the reported mass landfilled and recorded as mass related to energy recovery.</w:t>
      </w:r>
    </w:p>
    <w:p w:rsidR="00D033D3" w:rsidRDefault="00D033D3" w:rsidP="00D033D3">
      <w:pPr>
        <w:pStyle w:val="ParaIndent"/>
      </w:pPr>
      <w:r w:rsidRPr="00A17151">
        <w:t xml:space="preserve">For the purposes of the </w:t>
      </w:r>
      <w:r>
        <w:t>national waste and recycling reporting</w:t>
      </w:r>
      <w:r w:rsidRPr="00A17151">
        <w:t xml:space="preserve">, methane that is created in landfill but migrates from the site </w:t>
      </w:r>
      <w:r>
        <w:t>(methane leakage)</w:t>
      </w:r>
      <w:r w:rsidRPr="00A17151">
        <w:t xml:space="preserve"> should be still be counted as waste to landfill.</w:t>
      </w:r>
    </w:p>
    <w:p w:rsidR="00D033D3" w:rsidRDefault="00D033D3" w:rsidP="00D033D3">
      <w:pPr>
        <w:pStyle w:val="Caption0"/>
        <w:keepNext/>
        <w:ind w:firstLine="0"/>
        <w:rPr>
          <w:rFonts w:ascii="Arial" w:hAnsi="Arial"/>
          <w:color w:val="495F70"/>
          <w:sz w:val="18"/>
        </w:rPr>
      </w:pPr>
      <w:r w:rsidRPr="00FC6C18">
        <w:rPr>
          <w:rFonts w:ascii="Arial" w:hAnsi="Arial"/>
          <w:color w:val="495F70"/>
          <w:sz w:val="18"/>
        </w:rPr>
        <w:t xml:space="preserve">Figure </w:t>
      </w:r>
      <w:r w:rsidR="00B9555F" w:rsidRPr="00FC6C18">
        <w:rPr>
          <w:rFonts w:ascii="Arial" w:hAnsi="Arial"/>
          <w:color w:val="495F70"/>
          <w:sz w:val="18"/>
        </w:rPr>
        <w:fldChar w:fldCharType="begin"/>
      </w:r>
      <w:r w:rsidRPr="00FC6C18">
        <w:rPr>
          <w:rFonts w:ascii="Arial" w:hAnsi="Arial"/>
          <w:color w:val="495F70"/>
          <w:sz w:val="18"/>
        </w:rPr>
        <w:instrText xml:space="preserve"> SEQ Figure \* ARABIC </w:instrText>
      </w:r>
      <w:r w:rsidR="00B9555F" w:rsidRPr="00FC6C18">
        <w:rPr>
          <w:rFonts w:ascii="Arial" w:hAnsi="Arial"/>
          <w:color w:val="495F70"/>
          <w:sz w:val="18"/>
        </w:rPr>
        <w:fldChar w:fldCharType="separate"/>
      </w:r>
      <w:r w:rsidR="00AE7E3B">
        <w:rPr>
          <w:rFonts w:ascii="Arial" w:hAnsi="Arial"/>
          <w:noProof/>
          <w:color w:val="495F70"/>
          <w:sz w:val="18"/>
        </w:rPr>
        <w:t>35</w:t>
      </w:r>
      <w:r w:rsidR="00B9555F" w:rsidRPr="00FC6C18">
        <w:rPr>
          <w:rFonts w:ascii="Arial" w:hAnsi="Arial"/>
          <w:color w:val="495F70"/>
          <w:sz w:val="18"/>
        </w:rPr>
        <w:fldChar w:fldCharType="end"/>
      </w:r>
      <w:r>
        <w:rPr>
          <w:rFonts w:ascii="Arial" w:hAnsi="Arial"/>
          <w:color w:val="495F70"/>
          <w:sz w:val="18"/>
        </w:rPr>
        <w:t xml:space="preserve">: </w:t>
      </w:r>
      <w:r w:rsidRPr="00FC6C18">
        <w:rPr>
          <w:rFonts w:ascii="Arial" w:hAnsi="Arial"/>
          <w:color w:val="495F70"/>
          <w:sz w:val="18"/>
        </w:rPr>
        <w:t>Mass</w:t>
      </w:r>
      <w:r>
        <w:rPr>
          <w:rFonts w:ascii="Arial" w:hAnsi="Arial"/>
          <w:color w:val="495F70"/>
          <w:sz w:val="18"/>
        </w:rPr>
        <w:t xml:space="preserve"> flow of organic material in landfill</w:t>
      </w:r>
    </w:p>
    <w:p w:rsidR="00D033D3" w:rsidRDefault="00D033D3" w:rsidP="00D033D3">
      <w:pPr>
        <w:pStyle w:val="Caption0"/>
        <w:keepNext/>
        <w:ind w:left="567" w:firstLine="567"/>
      </w:pPr>
      <w:r>
        <w:rPr>
          <w:noProof/>
          <w:lang w:eastAsia="en-AU"/>
        </w:rPr>
        <w:drawing>
          <wp:inline distT="0" distB="0" distL="0" distR="0">
            <wp:extent cx="4800601" cy="1371600"/>
            <wp:effectExtent l="19050" t="0" r="0" b="0"/>
            <wp:docPr id="58" name="Picture 0" descr="Landfil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fill.emf"/>
                    <pic:cNvPicPr/>
                  </pic:nvPicPr>
                  <pic:blipFill>
                    <a:blip r:embed="rId20" cstate="print"/>
                    <a:stretch>
                      <a:fillRect/>
                    </a:stretch>
                  </pic:blipFill>
                  <pic:spPr>
                    <a:xfrm>
                      <a:off x="0" y="0"/>
                      <a:ext cx="4803764" cy="1372504"/>
                    </a:xfrm>
                    <a:prstGeom prst="rect">
                      <a:avLst/>
                    </a:prstGeom>
                  </pic:spPr>
                </pic:pic>
              </a:graphicData>
            </a:graphic>
          </wp:inline>
        </w:drawing>
      </w:r>
      <w:r>
        <w:tab/>
      </w:r>
      <w:r>
        <w:tab/>
      </w:r>
      <w:r>
        <w:tab/>
      </w:r>
    </w:p>
    <w:p w:rsidR="00D033D3" w:rsidRDefault="00D033D3" w:rsidP="00D033D3">
      <w:pPr>
        <w:pStyle w:val="ParaIndent"/>
      </w:pPr>
      <w:r>
        <w:t>This method provides some representation of the relative merits of methane collection from landfill. In some cases (using best practice landfill design and management), landfill can be an efficient means of capturing methane from the decomposition of degradable organic carbon. However, the disposal of this material usually means a loss of the organic resource for any other purposes, in particular as a compost or fertiliser.</w:t>
      </w:r>
    </w:p>
    <w:p w:rsidR="00D033D3" w:rsidRDefault="00D033D3" w:rsidP="00D033D3">
      <w:pPr>
        <w:pStyle w:val="ParaIndent"/>
      </w:pPr>
      <w:r>
        <w:t>States and territories have a variety of approaches to the reporting of energy recovered from waste.</w:t>
      </w:r>
    </w:p>
    <w:p w:rsidR="00D033D3" w:rsidRDefault="00D033D3" w:rsidP="00D033D3">
      <w:pPr>
        <w:pStyle w:val="ParaIndent"/>
      </w:pPr>
      <w:r>
        <w:t>NSW does not report on energy recovered. Material collected at AWTs is reported as a mass balance excluding energy recovered.</w:t>
      </w:r>
    </w:p>
    <w:p w:rsidR="00D033D3" w:rsidRDefault="00D033D3" w:rsidP="00D033D3">
      <w:pPr>
        <w:pStyle w:val="ParaIndent"/>
      </w:pPr>
      <w:r>
        <w:t>Victoria includes energy recovery from rubber (by weight) in its recycling figures.</w:t>
      </w:r>
    </w:p>
    <w:p w:rsidR="00D033D3" w:rsidRPr="00046E3F" w:rsidRDefault="00D033D3" w:rsidP="00D033D3">
      <w:pPr>
        <w:pStyle w:val="ParaIndent"/>
      </w:pPr>
      <w:r>
        <w:t>Queensland typically counts energy recovery within, but not distinct from, its recycling amounts.</w:t>
      </w:r>
    </w:p>
    <w:p w:rsidR="00D033D3" w:rsidRDefault="00D033D3" w:rsidP="00D033D3">
      <w:pPr>
        <w:pStyle w:val="ParaIndent"/>
      </w:pPr>
      <w:r>
        <w:t>South Australia records timber used in cement kilns (by weight) as an energy source distinct from other recorded material.</w:t>
      </w:r>
    </w:p>
    <w:p w:rsidR="00D033D3" w:rsidRDefault="00D033D3" w:rsidP="00D033D3">
      <w:pPr>
        <w:pStyle w:val="Heading2"/>
        <w:spacing w:before="480" w:after="180"/>
        <w:rPr>
          <w:lang w:eastAsia="en-AU"/>
        </w:rPr>
      </w:pPr>
      <w:bookmarkStart w:id="326" w:name="_Ref272214670"/>
      <w:bookmarkStart w:id="327" w:name="_Toc279510563"/>
      <w:r>
        <w:rPr>
          <w:lang w:eastAsia="en-AU"/>
        </w:rPr>
        <w:t>Waste streams</w:t>
      </w:r>
      <w:bookmarkEnd w:id="326"/>
      <w:bookmarkEnd w:id="327"/>
    </w:p>
    <w:p w:rsidR="00D033D3" w:rsidRPr="00271915" w:rsidRDefault="00D033D3" w:rsidP="00D033D3">
      <w:pPr>
        <w:pStyle w:val="ParaIndent"/>
        <w:spacing w:after="120"/>
        <w:rPr>
          <w:lang w:eastAsia="en-AU"/>
        </w:rPr>
      </w:pPr>
      <w:r w:rsidRPr="00271915">
        <w:rPr>
          <w:lang w:eastAsia="en-AU"/>
        </w:rPr>
        <w:t>Waste streams are useful in providing an indication of the source of waste material</w:t>
      </w:r>
      <w:r>
        <w:rPr>
          <w:lang w:eastAsia="en-AU"/>
        </w:rPr>
        <w:t xml:space="preserve">. </w:t>
      </w:r>
      <w:r w:rsidRPr="00271915">
        <w:rPr>
          <w:lang w:eastAsia="en-AU"/>
        </w:rPr>
        <w:t>However, from the perspective of trying to understand the environmental and resource consumption impact of waste and recycling, making a distinction between the points of generation of waste is less important than understanding the composition of waste.</w:t>
      </w:r>
    </w:p>
    <w:p w:rsidR="00D033D3" w:rsidRDefault="00D033D3" w:rsidP="00D033D3">
      <w:pPr>
        <w:pStyle w:val="ParaIndent"/>
      </w:pPr>
      <w:r w:rsidRPr="00271915">
        <w:t xml:space="preserve">Nonetheless, taking account of material collected by waste stream </w:t>
      </w:r>
      <w:r>
        <w:t>is</w:t>
      </w:r>
      <w:r w:rsidRPr="00271915">
        <w:t xml:space="preserve"> important in actually establishing the composition of waste collected. This is particularly so for </w:t>
      </w:r>
      <w:r>
        <w:t xml:space="preserve">the </w:t>
      </w:r>
      <w:r w:rsidRPr="00271915">
        <w:t>C&amp;D waste stream, which is defined principally by its material type, as opposed to the municipal and C&amp;I waste streams which are defined by their source.</w:t>
      </w:r>
    </w:p>
    <w:p w:rsidR="00D033D3" w:rsidRDefault="00D033D3" w:rsidP="00D033D3">
      <w:pPr>
        <w:pStyle w:val="ParaIndent"/>
      </w:pPr>
      <w:r>
        <w:t>Information on waste and recycling by waste streams also helps inform investment and infrastructure decisions made by industry and state, territory and local governments regarding collection and treatment facilities.</w:t>
      </w:r>
    </w:p>
    <w:p w:rsidR="00D033D3" w:rsidRDefault="00D033D3" w:rsidP="00D033D3">
      <w:pPr>
        <w:pStyle w:val="ParaIndent"/>
        <w:keepNext/>
        <w:spacing w:after="120"/>
        <w:rPr>
          <w:lang w:eastAsia="en-AU"/>
        </w:rPr>
      </w:pPr>
      <w:r>
        <w:rPr>
          <w:lang w:eastAsia="en-AU"/>
        </w:rPr>
        <w:t xml:space="preserve">The </w:t>
      </w:r>
      <w:r w:rsidRPr="00352E8A">
        <w:rPr>
          <w:i/>
          <w:lang w:eastAsia="en-AU"/>
        </w:rPr>
        <w:t>National Waste Report 2010</w:t>
      </w:r>
      <w:r>
        <w:rPr>
          <w:lang w:eastAsia="en-AU"/>
        </w:rPr>
        <w:t xml:space="preserve"> provides the following definitions as a guide for the three major solid waste streams:</w:t>
      </w:r>
    </w:p>
    <w:p w:rsidR="00D033D3" w:rsidRPr="00CB67DC" w:rsidRDefault="00D033D3" w:rsidP="00D033D3">
      <w:pPr>
        <w:pStyle w:val="ParaIndent"/>
        <w:numPr>
          <w:ilvl w:val="0"/>
          <w:numId w:val="26"/>
        </w:numPr>
        <w:spacing w:after="120"/>
        <w:ind w:left="1984" w:hanging="425"/>
        <w:rPr>
          <w:sz w:val="18"/>
          <w:szCs w:val="18"/>
          <w:lang w:eastAsia="en-AU"/>
        </w:rPr>
      </w:pPr>
      <w:r w:rsidRPr="00CB67DC">
        <w:rPr>
          <w:sz w:val="18"/>
          <w:szCs w:val="18"/>
          <w:lang w:eastAsia="en-AU"/>
        </w:rPr>
        <w:t>Municipal</w:t>
      </w:r>
      <w:r>
        <w:rPr>
          <w:sz w:val="18"/>
          <w:szCs w:val="18"/>
          <w:lang w:eastAsia="en-AU"/>
        </w:rPr>
        <w:t xml:space="preserve"> solid waste (MSW)</w:t>
      </w:r>
      <w:r w:rsidRPr="00CB67DC">
        <w:rPr>
          <w:sz w:val="18"/>
          <w:szCs w:val="18"/>
          <w:lang w:eastAsia="en-AU"/>
        </w:rPr>
        <w:t xml:space="preserve">: </w:t>
      </w:r>
      <w:r w:rsidRPr="000E088C">
        <w:rPr>
          <w:sz w:val="18"/>
          <w:szCs w:val="18"/>
          <w:lang w:eastAsia="en-AU"/>
        </w:rPr>
        <w:t>waste produced primarily by households and council facilities, including biodegradable material, recyclable materials such as bottles, paper, cardboard and aluminium cans, and a wide range of non</w:t>
      </w:r>
      <w:r>
        <w:rPr>
          <w:sz w:val="18"/>
          <w:szCs w:val="18"/>
          <w:lang w:eastAsia="en-AU"/>
        </w:rPr>
        <w:t>-</w:t>
      </w:r>
      <w:r w:rsidRPr="000E088C">
        <w:rPr>
          <w:sz w:val="18"/>
          <w:szCs w:val="18"/>
          <w:lang w:eastAsia="en-AU"/>
        </w:rPr>
        <w:t>degradable material including paint, appliances, old furniture and household lighting.</w:t>
      </w:r>
    </w:p>
    <w:p w:rsidR="00D033D3" w:rsidRPr="000E088C" w:rsidRDefault="00D033D3" w:rsidP="00D033D3">
      <w:pPr>
        <w:pStyle w:val="ParaIndent"/>
        <w:numPr>
          <w:ilvl w:val="0"/>
          <w:numId w:val="26"/>
        </w:numPr>
        <w:spacing w:after="120"/>
        <w:ind w:left="1984" w:hanging="425"/>
        <w:rPr>
          <w:sz w:val="18"/>
          <w:szCs w:val="18"/>
          <w:lang w:eastAsia="en-AU"/>
        </w:rPr>
      </w:pPr>
      <w:r w:rsidRPr="000E088C">
        <w:rPr>
          <w:sz w:val="18"/>
          <w:szCs w:val="18"/>
          <w:lang w:eastAsia="en-AU"/>
        </w:rPr>
        <w:t>Commercial and industrial (C&amp;</w:t>
      </w:r>
      <w:r>
        <w:rPr>
          <w:sz w:val="18"/>
          <w:szCs w:val="18"/>
          <w:lang w:eastAsia="en-AU"/>
        </w:rPr>
        <w:t>I</w:t>
      </w:r>
      <w:r w:rsidRPr="000E088C">
        <w:rPr>
          <w:sz w:val="18"/>
          <w:szCs w:val="18"/>
          <w:lang w:eastAsia="en-AU"/>
        </w:rPr>
        <w:t>) waste: waste that is produced by institutions and businesses; includes waste from schools, restaurants, offices, retail and wholesale businesses, and industries including manufacturing.</w:t>
      </w:r>
    </w:p>
    <w:p w:rsidR="00D033D3" w:rsidRDefault="00D033D3" w:rsidP="00D033D3">
      <w:pPr>
        <w:pStyle w:val="ParaIndent"/>
        <w:numPr>
          <w:ilvl w:val="0"/>
          <w:numId w:val="26"/>
        </w:numPr>
        <w:ind w:left="1984" w:hanging="425"/>
        <w:rPr>
          <w:sz w:val="18"/>
          <w:szCs w:val="18"/>
          <w:lang w:eastAsia="en-AU"/>
        </w:rPr>
      </w:pPr>
      <w:r w:rsidRPr="00CB67DC">
        <w:rPr>
          <w:sz w:val="18"/>
          <w:szCs w:val="18"/>
          <w:lang w:eastAsia="en-AU"/>
        </w:rPr>
        <w:t>Construction and demolition</w:t>
      </w:r>
      <w:r>
        <w:rPr>
          <w:sz w:val="18"/>
          <w:szCs w:val="18"/>
          <w:lang w:eastAsia="en-AU"/>
        </w:rPr>
        <w:t xml:space="preserve"> (C&amp;D)</w:t>
      </w:r>
      <w:r w:rsidRPr="00CB67DC">
        <w:rPr>
          <w:sz w:val="18"/>
          <w:szCs w:val="18"/>
          <w:lang w:eastAsia="en-AU"/>
        </w:rPr>
        <w:t xml:space="preserve"> waste</w:t>
      </w:r>
      <w:r>
        <w:rPr>
          <w:sz w:val="18"/>
          <w:szCs w:val="18"/>
          <w:lang w:eastAsia="en-AU"/>
        </w:rPr>
        <w:t>:</w:t>
      </w:r>
      <w:r w:rsidRPr="00CB67DC">
        <w:rPr>
          <w:sz w:val="18"/>
          <w:szCs w:val="18"/>
          <w:lang w:eastAsia="en-AU"/>
        </w:rPr>
        <w:t xml:space="preserve"> </w:t>
      </w:r>
      <w:r w:rsidRPr="000E088C">
        <w:rPr>
          <w:sz w:val="18"/>
          <w:szCs w:val="18"/>
          <w:lang w:eastAsia="en-AU"/>
        </w:rPr>
        <w:t>refers to waste produced by demolition and building activities, including road and rail construction and maintenance and excavation of land associated with construction activities. The C&amp;D waste stream usually covers only some of the generation, disposal and recycling of C&amp;D wastes, as these materials can also be found in the MSW and C&amp;I streams, or as</w:t>
      </w:r>
      <w:r>
        <w:rPr>
          <w:sz w:val="18"/>
          <w:szCs w:val="18"/>
          <w:lang w:eastAsia="en-AU"/>
        </w:rPr>
        <w:t xml:space="preserve"> </w:t>
      </w:r>
      <w:r w:rsidRPr="000E088C">
        <w:rPr>
          <w:sz w:val="18"/>
          <w:szCs w:val="18"/>
          <w:lang w:eastAsia="en-AU"/>
        </w:rPr>
        <w:t>hazardous wastes.</w:t>
      </w:r>
    </w:p>
    <w:p w:rsidR="00D033D3" w:rsidRDefault="00D033D3" w:rsidP="00D033D3">
      <w:pPr>
        <w:pStyle w:val="Caption0"/>
        <w:ind w:firstLine="0"/>
        <w:rPr>
          <w:rFonts w:ascii="Arial" w:hAnsi="Arial" w:cs="Arial"/>
        </w:rPr>
      </w:pPr>
      <w:bookmarkStart w:id="328" w:name="_Toc333908400"/>
      <w:r w:rsidRPr="00F665F7">
        <w:rPr>
          <w:rFonts w:ascii="Arial" w:hAnsi="Arial" w:cs="Arial"/>
        </w:rPr>
        <w:t xml:space="preserve">Recommendation </w:t>
      </w:r>
      <w:r w:rsidR="00B9555F" w:rsidRPr="00F665F7">
        <w:rPr>
          <w:rFonts w:ascii="Arial" w:hAnsi="Arial" w:cs="Arial"/>
        </w:rPr>
        <w:fldChar w:fldCharType="begin"/>
      </w:r>
      <w:r w:rsidRPr="00F665F7">
        <w:rPr>
          <w:rFonts w:ascii="Arial" w:hAnsi="Arial" w:cs="Arial"/>
        </w:rPr>
        <w:instrText xml:space="preserve"> SEQ Recommendation \* ARABIC </w:instrText>
      </w:r>
      <w:r w:rsidR="00B9555F" w:rsidRPr="00F665F7">
        <w:rPr>
          <w:rFonts w:ascii="Arial" w:hAnsi="Arial" w:cs="Arial"/>
        </w:rPr>
        <w:fldChar w:fldCharType="separate"/>
      </w:r>
      <w:r w:rsidR="00AE7E3B">
        <w:rPr>
          <w:rFonts w:ascii="Arial" w:hAnsi="Arial" w:cs="Arial"/>
          <w:noProof/>
        </w:rPr>
        <w:t>9</w:t>
      </w:r>
      <w:r w:rsidR="00B9555F" w:rsidRPr="00F665F7">
        <w:rPr>
          <w:rFonts w:ascii="Arial" w:hAnsi="Arial" w:cs="Arial"/>
        </w:rPr>
        <w:fldChar w:fldCharType="end"/>
      </w:r>
      <w:r w:rsidRPr="00F665F7">
        <w:rPr>
          <w:rFonts w:ascii="Arial" w:hAnsi="Arial" w:cs="Arial"/>
        </w:rPr>
        <w:t xml:space="preserve">: </w:t>
      </w:r>
      <w:r>
        <w:rPr>
          <w:rFonts w:ascii="Arial" w:hAnsi="Arial" w:cs="Arial"/>
        </w:rPr>
        <w:t xml:space="preserve">The definitions in the </w:t>
      </w:r>
      <w:r w:rsidRPr="00B24717">
        <w:rPr>
          <w:rFonts w:ascii="Arial" w:hAnsi="Arial" w:cs="Arial"/>
          <w:i/>
        </w:rPr>
        <w:t>National Waste Report 2010</w:t>
      </w:r>
      <w:r>
        <w:rPr>
          <w:rFonts w:ascii="Arial" w:hAnsi="Arial" w:cs="Arial"/>
        </w:rPr>
        <w:t xml:space="preserve"> for the three major solid waste streams should be used.</w:t>
      </w:r>
      <w:bookmarkEnd w:id="328"/>
    </w:p>
    <w:p w:rsidR="00D033D3" w:rsidRDefault="00D033D3" w:rsidP="00D033D3">
      <w:pPr>
        <w:pStyle w:val="Heading3"/>
        <w:numPr>
          <w:ilvl w:val="2"/>
          <w:numId w:val="12"/>
        </w:numPr>
        <w:shd w:val="clear" w:color="auto" w:fill="auto"/>
        <w:rPr>
          <w:lang w:eastAsia="en-AU"/>
        </w:rPr>
      </w:pPr>
      <w:r>
        <w:rPr>
          <w:lang w:eastAsia="en-AU"/>
        </w:rPr>
        <w:t>Primary production wastes</w:t>
      </w:r>
    </w:p>
    <w:p w:rsidR="00D033D3" w:rsidRDefault="00D033D3" w:rsidP="00D033D3">
      <w:pPr>
        <w:pStyle w:val="ParaIndent"/>
        <w:rPr>
          <w:lang w:eastAsia="en-AU"/>
        </w:rPr>
      </w:pPr>
      <w:r w:rsidRPr="006B3B29">
        <w:rPr>
          <w:lang w:eastAsia="en-AU"/>
        </w:rPr>
        <w:t>Pri</w:t>
      </w:r>
      <w:r>
        <w:rPr>
          <w:lang w:eastAsia="en-AU"/>
        </w:rPr>
        <w:t>mary production is defined here</w:t>
      </w:r>
      <w:r w:rsidRPr="006B3B29">
        <w:rPr>
          <w:lang w:eastAsia="en-AU"/>
        </w:rPr>
        <w:t xml:space="preserve"> </w:t>
      </w:r>
      <w:r>
        <w:rPr>
          <w:lang w:eastAsia="en-AU"/>
        </w:rPr>
        <w:t>as the conversion of</w:t>
      </w:r>
      <w:r w:rsidRPr="006B3B29">
        <w:rPr>
          <w:lang w:eastAsia="en-AU"/>
        </w:rPr>
        <w:t xml:space="preserve"> natural resources into primary products, usually for use as raw materials by other industries. Although primary production is considered an industrial activity, the C&amp;I waste stream includes only wastes from the secondary, tertiary and quaternary industrial sectors; wast</w:t>
      </w:r>
      <w:r>
        <w:rPr>
          <w:lang w:eastAsia="en-AU"/>
        </w:rPr>
        <w:t>es from the primary sector don’</w:t>
      </w:r>
      <w:r w:rsidRPr="006B3B29">
        <w:rPr>
          <w:lang w:eastAsia="en-AU"/>
        </w:rPr>
        <w:t>t fall within the definition of C&amp;I waste.</w:t>
      </w:r>
    </w:p>
    <w:p w:rsidR="00D033D3" w:rsidRDefault="00D033D3" w:rsidP="00D033D3">
      <w:pPr>
        <w:pStyle w:val="ParaIndent"/>
        <w:rPr>
          <w:lang w:eastAsia="en-AU"/>
        </w:rPr>
      </w:pPr>
      <w:r>
        <w:rPr>
          <w:lang w:eastAsia="en-AU"/>
        </w:rPr>
        <w:t>Furthermore, the ‘disposal’ pathway</w:t>
      </w:r>
      <w:r w:rsidRPr="009873CD">
        <w:rPr>
          <w:lang w:eastAsia="en-AU"/>
        </w:rPr>
        <w:t xml:space="preserve"> of</w:t>
      </w:r>
      <w:r>
        <w:rPr>
          <w:lang w:eastAsia="en-AU"/>
        </w:rPr>
        <w:t xml:space="preserve"> primary production waste</w:t>
      </w:r>
      <w:r w:rsidRPr="009873CD">
        <w:rPr>
          <w:lang w:eastAsia="en-AU"/>
        </w:rPr>
        <w:t xml:space="preserve"> is often analogous</w:t>
      </w:r>
      <w:r>
        <w:rPr>
          <w:lang w:eastAsia="en-AU"/>
        </w:rPr>
        <w:t xml:space="preserve"> to,</w:t>
      </w:r>
      <w:r w:rsidRPr="009873CD">
        <w:rPr>
          <w:lang w:eastAsia="en-AU"/>
        </w:rPr>
        <w:t xml:space="preserve"> </w:t>
      </w:r>
      <w:r>
        <w:rPr>
          <w:lang w:eastAsia="en-AU"/>
        </w:rPr>
        <w:t>or chemically indistinguishable from</w:t>
      </w:r>
      <w:r w:rsidRPr="009873CD">
        <w:rPr>
          <w:lang w:eastAsia="en-AU"/>
        </w:rPr>
        <w:t xml:space="preserve"> natural</w:t>
      </w:r>
      <w:r>
        <w:rPr>
          <w:lang w:eastAsia="en-AU"/>
        </w:rPr>
        <w:t xml:space="preserve"> processes. For example, sawdust created during the felling of trees is difficult to distinguish from the natural decomposition of trees and tree limbs in a forest. As a result, primary production wastes are often disposed of on-site, and often don’t follow the same disposal routes for the three major solid waste streams.</w:t>
      </w:r>
    </w:p>
    <w:p w:rsidR="00D033D3" w:rsidRDefault="00D033D3" w:rsidP="00D033D3">
      <w:pPr>
        <w:pStyle w:val="ParaIndent"/>
        <w:rPr>
          <w:lang w:eastAsia="en-AU"/>
        </w:rPr>
      </w:pPr>
      <w:r>
        <w:rPr>
          <w:lang w:eastAsia="en-AU"/>
        </w:rPr>
        <w:t>The consideration of wastes from primary production is also important from the perspective of making meaningful comparisons between different states and territories. The amount of primary production and primary production waste varies markedly between different jurisdictions, principally because of the different natural resource conditions in states and territories.</w:t>
      </w:r>
    </w:p>
    <w:p w:rsidR="00D033D3" w:rsidRDefault="00D033D3" w:rsidP="00D033D3">
      <w:pPr>
        <w:pStyle w:val="Caption0"/>
        <w:ind w:firstLine="0"/>
        <w:rPr>
          <w:rFonts w:ascii="Arial" w:hAnsi="Arial" w:cs="Arial"/>
        </w:rPr>
      </w:pPr>
      <w:bookmarkStart w:id="329" w:name="_Toc333908401"/>
      <w:r w:rsidRPr="002C4F2C">
        <w:rPr>
          <w:rFonts w:ascii="Arial" w:hAnsi="Arial" w:cs="Arial"/>
        </w:rPr>
        <w:t xml:space="preserve">Recommendation </w:t>
      </w:r>
      <w:r w:rsidR="00B9555F" w:rsidRPr="002C4F2C">
        <w:rPr>
          <w:rFonts w:ascii="Arial" w:hAnsi="Arial" w:cs="Arial"/>
        </w:rPr>
        <w:fldChar w:fldCharType="begin"/>
      </w:r>
      <w:r w:rsidRPr="002C4F2C">
        <w:rPr>
          <w:rFonts w:ascii="Arial" w:hAnsi="Arial" w:cs="Arial"/>
        </w:rPr>
        <w:instrText xml:space="preserve"> SEQ Recommendation \* ARABIC </w:instrText>
      </w:r>
      <w:r w:rsidR="00B9555F" w:rsidRPr="002C4F2C">
        <w:rPr>
          <w:rFonts w:ascii="Arial" w:hAnsi="Arial" w:cs="Arial"/>
        </w:rPr>
        <w:fldChar w:fldCharType="separate"/>
      </w:r>
      <w:r w:rsidR="00AE7E3B">
        <w:rPr>
          <w:rFonts w:ascii="Arial" w:hAnsi="Arial" w:cs="Arial"/>
          <w:noProof/>
        </w:rPr>
        <w:t>10</w:t>
      </w:r>
      <w:r w:rsidR="00B9555F" w:rsidRPr="002C4F2C">
        <w:rPr>
          <w:rFonts w:ascii="Arial" w:hAnsi="Arial" w:cs="Arial"/>
        </w:rPr>
        <w:fldChar w:fldCharType="end"/>
      </w:r>
      <w:r w:rsidRPr="002C4F2C">
        <w:rPr>
          <w:rFonts w:ascii="Arial" w:hAnsi="Arial" w:cs="Arial"/>
        </w:rPr>
        <w:t xml:space="preserve">: </w:t>
      </w:r>
      <w:r>
        <w:rPr>
          <w:rFonts w:ascii="Arial" w:hAnsi="Arial" w:cs="Arial"/>
        </w:rPr>
        <w:t>Wastes generated by the core processes</w:t>
      </w:r>
      <w:r w:rsidRPr="002C4F2C">
        <w:rPr>
          <w:rFonts w:ascii="Arial" w:hAnsi="Arial" w:cs="Arial"/>
        </w:rPr>
        <w:t xml:space="preserve"> of primary production </w:t>
      </w:r>
      <w:r>
        <w:rPr>
          <w:rFonts w:ascii="Arial" w:hAnsi="Arial" w:cs="Arial"/>
        </w:rPr>
        <w:t>should be</w:t>
      </w:r>
      <w:r w:rsidRPr="002C4F2C">
        <w:rPr>
          <w:rFonts w:ascii="Arial" w:hAnsi="Arial" w:cs="Arial"/>
        </w:rPr>
        <w:t xml:space="preserve"> </w:t>
      </w:r>
      <w:r>
        <w:rPr>
          <w:rFonts w:ascii="Arial" w:hAnsi="Arial" w:cs="Arial"/>
        </w:rPr>
        <w:t>excluded from the scope</w:t>
      </w:r>
      <w:r w:rsidRPr="002C4F2C">
        <w:rPr>
          <w:rFonts w:ascii="Arial" w:hAnsi="Arial" w:cs="Arial"/>
        </w:rPr>
        <w:t>.</w:t>
      </w:r>
      <w:bookmarkEnd w:id="329"/>
    </w:p>
    <w:p w:rsidR="00D033D3" w:rsidRDefault="00D033D3" w:rsidP="00D033D3">
      <w:pPr>
        <w:pStyle w:val="ParaIndent"/>
        <w:rPr>
          <w:lang w:eastAsia="en-AU"/>
        </w:rPr>
      </w:pPr>
      <w:r>
        <w:rPr>
          <w:lang w:eastAsia="en-AU"/>
        </w:rPr>
        <w:t>Core processes refers to waste from the primary production process itself, rather than wastes ancillary to primary production. For example, end-of-life mining equipment should be considered to be C&amp;I waste and not be considered primary production waste.</w:t>
      </w:r>
    </w:p>
    <w:p w:rsidR="00D033D3" w:rsidRDefault="00D033D3" w:rsidP="00D033D3">
      <w:pPr>
        <w:pStyle w:val="Heading3"/>
        <w:numPr>
          <w:ilvl w:val="2"/>
          <w:numId w:val="12"/>
        </w:numPr>
        <w:shd w:val="clear" w:color="auto" w:fill="auto"/>
        <w:rPr>
          <w:lang w:eastAsia="en-AU"/>
        </w:rPr>
      </w:pPr>
      <w:r>
        <w:rPr>
          <w:lang w:eastAsia="en-AU"/>
        </w:rPr>
        <w:t xml:space="preserve">Pre-consumer wastes </w:t>
      </w:r>
    </w:p>
    <w:p w:rsidR="00D033D3" w:rsidRDefault="00D033D3" w:rsidP="00D033D3">
      <w:pPr>
        <w:pStyle w:val="ParaIndent"/>
        <w:rPr>
          <w:lang w:eastAsia="en-AU"/>
        </w:rPr>
      </w:pPr>
      <w:r w:rsidRPr="00AB353E">
        <w:rPr>
          <w:lang w:eastAsia="en-AU"/>
        </w:rPr>
        <w:t xml:space="preserve">Pre-consumer waste typically refers to the scrap from </w:t>
      </w:r>
      <w:r>
        <w:rPr>
          <w:lang w:eastAsia="en-AU"/>
        </w:rPr>
        <w:t xml:space="preserve">manufacturing </w:t>
      </w:r>
      <w:r w:rsidRPr="00AB353E">
        <w:rPr>
          <w:lang w:eastAsia="en-AU"/>
        </w:rPr>
        <w:t xml:space="preserve">inefficiencies </w:t>
      </w:r>
      <w:r>
        <w:rPr>
          <w:lang w:eastAsia="en-AU"/>
        </w:rPr>
        <w:t xml:space="preserve">or malfunctions. Pre-consumer wastes are part of the industrial process and could be considered within the definition of C&amp;I waste. However, pre-consumer wastes are usually only considered in waste and recycling reporting when they are disposed of offsite. </w:t>
      </w:r>
    </w:p>
    <w:p w:rsidR="00D033D3" w:rsidRDefault="00D033D3" w:rsidP="00D033D3">
      <w:pPr>
        <w:pStyle w:val="ParaIndent"/>
        <w:rPr>
          <w:lang w:eastAsia="en-AU"/>
        </w:rPr>
      </w:pPr>
      <w:r>
        <w:rPr>
          <w:lang w:eastAsia="en-AU"/>
        </w:rPr>
        <w:t>Where pre-consumer wastes are fed back into the manufacturing process this is what is referred to in the Australian Standard (AS/NZS 3831:1998) as “closed loop recycling”.</w:t>
      </w:r>
      <w:r w:rsidRPr="00363CD1">
        <w:rPr>
          <w:lang w:eastAsia="en-AU"/>
        </w:rPr>
        <w:t xml:space="preserve"> </w:t>
      </w:r>
      <w:r w:rsidRPr="0083228F">
        <w:rPr>
          <w:lang w:eastAsia="en-AU"/>
        </w:rPr>
        <w:t xml:space="preserve">‘Mill broke’ </w:t>
      </w:r>
      <w:r>
        <w:rPr>
          <w:lang w:eastAsia="en-AU"/>
        </w:rPr>
        <w:t>generated during</w:t>
      </w:r>
      <w:r w:rsidRPr="0083228F">
        <w:rPr>
          <w:lang w:eastAsia="en-AU"/>
        </w:rPr>
        <w:t xml:space="preserve"> the production of paper </w:t>
      </w:r>
      <w:r>
        <w:rPr>
          <w:lang w:eastAsia="en-AU"/>
        </w:rPr>
        <w:t xml:space="preserve">that is </w:t>
      </w:r>
      <w:r w:rsidRPr="0083228F">
        <w:rPr>
          <w:lang w:eastAsia="en-AU"/>
        </w:rPr>
        <w:t xml:space="preserve">fed back into the </w:t>
      </w:r>
      <w:r>
        <w:rPr>
          <w:lang w:eastAsia="en-AU"/>
        </w:rPr>
        <w:t>manufacturing</w:t>
      </w:r>
      <w:r w:rsidRPr="0083228F">
        <w:rPr>
          <w:lang w:eastAsia="en-AU"/>
        </w:rPr>
        <w:t xml:space="preserve"> process</w:t>
      </w:r>
      <w:r>
        <w:rPr>
          <w:lang w:eastAsia="en-AU"/>
        </w:rPr>
        <w:t xml:space="preserve"> is an example of closed loop recycling.</w:t>
      </w:r>
    </w:p>
    <w:p w:rsidR="00D033D3" w:rsidRDefault="00D033D3" w:rsidP="00D033D3">
      <w:pPr>
        <w:pStyle w:val="ParaIndent"/>
        <w:rPr>
          <w:lang w:eastAsia="en-AU"/>
        </w:rPr>
      </w:pPr>
      <w:r>
        <w:rPr>
          <w:lang w:eastAsia="en-AU"/>
        </w:rPr>
        <w:t xml:space="preserve">Closed loop recycling is usually excluded from waste and recycling reporting, and is sometimes excluded from the definition of recycling (see </w:t>
      </w:r>
      <w:r w:rsidR="00B9555F">
        <w:rPr>
          <w:lang w:eastAsia="en-AU"/>
        </w:rPr>
        <w:fldChar w:fldCharType="begin"/>
      </w:r>
      <w:r>
        <w:rPr>
          <w:lang w:eastAsia="en-AU"/>
        </w:rPr>
        <w:instrText xml:space="preserve"> REF _Ref272139359 \r \h </w:instrText>
      </w:r>
      <w:r w:rsidR="00B9555F">
        <w:rPr>
          <w:lang w:eastAsia="en-AU"/>
        </w:rPr>
      </w:r>
      <w:r w:rsidR="00B9555F">
        <w:rPr>
          <w:lang w:eastAsia="en-AU"/>
        </w:rPr>
        <w:fldChar w:fldCharType="separate"/>
      </w:r>
      <w:r w:rsidR="00AE7E3B">
        <w:rPr>
          <w:lang w:eastAsia="en-AU"/>
        </w:rPr>
        <w:t>0</w:t>
      </w:r>
      <w:r w:rsidR="00B9555F">
        <w:rPr>
          <w:lang w:eastAsia="en-AU"/>
        </w:rPr>
        <w:fldChar w:fldCharType="end"/>
      </w:r>
      <w:r>
        <w:rPr>
          <w:lang w:eastAsia="en-AU"/>
        </w:rPr>
        <w:t xml:space="preserve">). Closed loop recycling can be considered to be something that is done “as a </w:t>
      </w:r>
      <w:r w:rsidRPr="007711AC">
        <w:rPr>
          <w:lang w:eastAsia="en-AU"/>
        </w:rPr>
        <w:t>matter of course to the efficient operation of the site</w:t>
      </w:r>
      <w:r>
        <w:rPr>
          <w:lang w:eastAsia="en-AU"/>
        </w:rPr>
        <w:t>” (</w:t>
      </w:r>
      <w:r w:rsidRPr="007711AC">
        <w:rPr>
          <w:lang w:eastAsia="en-AU"/>
        </w:rPr>
        <w:t>Hyder, 2008c</w:t>
      </w:r>
      <w:r>
        <w:rPr>
          <w:lang w:eastAsia="en-AU"/>
        </w:rPr>
        <w:t>).</w:t>
      </w:r>
    </w:p>
    <w:p w:rsidR="00D033D3" w:rsidRDefault="00D033D3" w:rsidP="00D033D3">
      <w:pPr>
        <w:pStyle w:val="ParaIndent"/>
        <w:rPr>
          <w:lang w:eastAsia="en-AU"/>
        </w:rPr>
      </w:pPr>
      <w:r>
        <w:rPr>
          <w:lang w:eastAsia="en-AU"/>
        </w:rPr>
        <w:t>Conversely, the generation of waste during an industrial process can be considered to be the result of inefficient operation of the site, either by design or by malfunction. If closed loop recycling was to be included in waste and recycling reporting, then an increase in the inefficiencies of the industrial processes would be represented as an increase in recycling.</w:t>
      </w:r>
      <w:r>
        <w:rPr>
          <w:rStyle w:val="FootnoteReference"/>
          <w:lang w:eastAsia="en-AU"/>
        </w:rPr>
        <w:footnoteReference w:id="31"/>
      </w:r>
    </w:p>
    <w:p w:rsidR="00D033D3" w:rsidRDefault="00D033D3" w:rsidP="00D033D3">
      <w:pPr>
        <w:pStyle w:val="Caption0"/>
        <w:ind w:firstLine="0"/>
        <w:rPr>
          <w:rFonts w:ascii="Arial" w:hAnsi="Arial" w:cs="Arial"/>
        </w:rPr>
      </w:pPr>
      <w:bookmarkStart w:id="330" w:name="_Toc333908402"/>
      <w:r w:rsidRPr="00327DDB">
        <w:rPr>
          <w:rFonts w:ascii="Arial" w:hAnsi="Arial" w:cs="Arial"/>
        </w:rPr>
        <w:t xml:space="preserve">Recommendation </w:t>
      </w:r>
      <w:r w:rsidR="00B9555F" w:rsidRPr="00327DDB">
        <w:rPr>
          <w:rFonts w:ascii="Arial" w:hAnsi="Arial" w:cs="Arial"/>
        </w:rPr>
        <w:fldChar w:fldCharType="begin"/>
      </w:r>
      <w:r w:rsidRPr="00327DDB">
        <w:rPr>
          <w:rFonts w:ascii="Arial" w:hAnsi="Arial" w:cs="Arial"/>
        </w:rPr>
        <w:instrText xml:space="preserve"> SEQ Recommendation \* ARABIC </w:instrText>
      </w:r>
      <w:r w:rsidR="00B9555F" w:rsidRPr="00327DDB">
        <w:rPr>
          <w:rFonts w:ascii="Arial" w:hAnsi="Arial" w:cs="Arial"/>
        </w:rPr>
        <w:fldChar w:fldCharType="separate"/>
      </w:r>
      <w:r w:rsidR="00AE7E3B">
        <w:rPr>
          <w:rFonts w:ascii="Arial" w:hAnsi="Arial" w:cs="Arial"/>
          <w:noProof/>
        </w:rPr>
        <w:t>11</w:t>
      </w:r>
      <w:r w:rsidR="00B9555F" w:rsidRPr="00327DDB">
        <w:rPr>
          <w:rFonts w:ascii="Arial" w:hAnsi="Arial" w:cs="Arial"/>
        </w:rPr>
        <w:fldChar w:fldCharType="end"/>
      </w:r>
      <w:r w:rsidRPr="00327DDB">
        <w:rPr>
          <w:rFonts w:ascii="Arial" w:hAnsi="Arial" w:cs="Arial"/>
        </w:rPr>
        <w:t xml:space="preserve">: </w:t>
      </w:r>
      <w:r>
        <w:rPr>
          <w:rFonts w:ascii="Arial" w:hAnsi="Arial" w:cs="Arial"/>
        </w:rPr>
        <w:t>Pre-consumer</w:t>
      </w:r>
      <w:r w:rsidRPr="00327DDB">
        <w:rPr>
          <w:rFonts w:ascii="Arial" w:hAnsi="Arial" w:cs="Arial"/>
        </w:rPr>
        <w:t xml:space="preserve"> wastes that are recycled </w:t>
      </w:r>
      <w:r>
        <w:rPr>
          <w:rFonts w:ascii="Arial" w:hAnsi="Arial" w:cs="Arial"/>
        </w:rPr>
        <w:t>on-site as part of the manufacturing process</w:t>
      </w:r>
      <w:r w:rsidRPr="00327DDB">
        <w:rPr>
          <w:rFonts w:ascii="Arial" w:hAnsi="Arial" w:cs="Arial"/>
        </w:rPr>
        <w:t xml:space="preserve"> </w:t>
      </w:r>
      <w:r>
        <w:rPr>
          <w:rFonts w:ascii="Arial" w:hAnsi="Arial" w:cs="Arial"/>
        </w:rPr>
        <w:t>should be</w:t>
      </w:r>
      <w:r w:rsidRPr="00327DDB">
        <w:rPr>
          <w:rFonts w:ascii="Arial" w:hAnsi="Arial" w:cs="Arial"/>
        </w:rPr>
        <w:t xml:space="preserve"> excluded from the scope.</w:t>
      </w:r>
      <w:bookmarkEnd w:id="330"/>
    </w:p>
    <w:p w:rsidR="00D033D3" w:rsidRDefault="00D033D3" w:rsidP="00D033D3">
      <w:pPr>
        <w:pStyle w:val="ParaIndent"/>
        <w:rPr>
          <w:lang w:eastAsia="en-AU"/>
        </w:rPr>
      </w:pPr>
      <w:r>
        <w:rPr>
          <w:lang w:eastAsia="en-AU"/>
        </w:rPr>
        <w:t>By contrast, post-consumer wastes are clearly within the scope of waste and recycling reporting. Most products and materials that enter the municipal waste stream are clearly post-consumer wastes and are relatively easy to define within this stream.</w:t>
      </w:r>
    </w:p>
    <w:p w:rsidR="00D033D3" w:rsidRDefault="00D033D3" w:rsidP="00D033D3">
      <w:pPr>
        <w:pStyle w:val="ParaIndent"/>
        <w:rPr>
          <w:lang w:eastAsia="en-AU"/>
        </w:rPr>
      </w:pPr>
      <w:r>
        <w:rPr>
          <w:lang w:eastAsia="en-AU"/>
        </w:rPr>
        <w:t xml:space="preserve">Most products and materials in the C&amp;D waste stream are also clearly post-consumer wastes, although there are a number of raw materials in the C&amp;D stream, most notably earthen materials, which are more difficult to define (see </w:t>
      </w:r>
      <w:r w:rsidR="00B9555F">
        <w:rPr>
          <w:lang w:eastAsia="en-AU"/>
        </w:rPr>
        <w:fldChar w:fldCharType="begin"/>
      </w:r>
      <w:r>
        <w:rPr>
          <w:lang w:eastAsia="en-AU"/>
        </w:rPr>
        <w:instrText xml:space="preserve"> REF _Ref272158822 \r \h </w:instrText>
      </w:r>
      <w:r w:rsidR="00B9555F">
        <w:rPr>
          <w:lang w:eastAsia="en-AU"/>
        </w:rPr>
      </w:r>
      <w:r w:rsidR="00B9555F">
        <w:rPr>
          <w:lang w:eastAsia="en-AU"/>
        </w:rPr>
        <w:fldChar w:fldCharType="separate"/>
      </w:r>
      <w:r w:rsidR="00AE7E3B">
        <w:rPr>
          <w:lang w:eastAsia="en-AU"/>
        </w:rPr>
        <w:t>4.2.5</w:t>
      </w:r>
      <w:r w:rsidR="00B9555F">
        <w:rPr>
          <w:lang w:eastAsia="en-AU"/>
        </w:rPr>
        <w:fldChar w:fldCharType="end"/>
      </w:r>
      <w:r>
        <w:rPr>
          <w:lang w:eastAsia="en-AU"/>
        </w:rPr>
        <w:t>).</w:t>
      </w:r>
    </w:p>
    <w:p w:rsidR="00D033D3" w:rsidRPr="00D02785" w:rsidRDefault="00D033D3" w:rsidP="00D033D3">
      <w:pPr>
        <w:pStyle w:val="Caption0"/>
        <w:keepNext/>
        <w:ind w:firstLine="0"/>
        <w:rPr>
          <w:rFonts w:ascii="Arial" w:hAnsi="Arial"/>
          <w:color w:val="495F70"/>
          <w:sz w:val="18"/>
        </w:rPr>
      </w:pPr>
      <w:r w:rsidRPr="007D574A">
        <w:rPr>
          <w:rFonts w:ascii="Arial" w:hAnsi="Arial"/>
          <w:color w:val="495F70"/>
          <w:sz w:val="18"/>
        </w:rPr>
        <w:t xml:space="preserve">Figure </w:t>
      </w:r>
      <w:r w:rsidR="00B9555F" w:rsidRPr="007D574A">
        <w:rPr>
          <w:rFonts w:ascii="Arial" w:hAnsi="Arial"/>
          <w:color w:val="495F70"/>
          <w:sz w:val="18"/>
        </w:rPr>
        <w:fldChar w:fldCharType="begin"/>
      </w:r>
      <w:r w:rsidRPr="007D574A">
        <w:rPr>
          <w:rFonts w:ascii="Arial" w:hAnsi="Arial"/>
          <w:color w:val="495F70"/>
          <w:sz w:val="18"/>
        </w:rPr>
        <w:instrText xml:space="preserve"> SEQ Figure \* ARABIC </w:instrText>
      </w:r>
      <w:r w:rsidR="00B9555F" w:rsidRPr="007D574A">
        <w:rPr>
          <w:rFonts w:ascii="Arial" w:hAnsi="Arial"/>
          <w:color w:val="495F70"/>
          <w:sz w:val="18"/>
        </w:rPr>
        <w:fldChar w:fldCharType="separate"/>
      </w:r>
      <w:r w:rsidR="00AE7E3B">
        <w:rPr>
          <w:rFonts w:ascii="Arial" w:hAnsi="Arial"/>
          <w:noProof/>
          <w:color w:val="495F70"/>
          <w:sz w:val="18"/>
        </w:rPr>
        <w:t>36</w:t>
      </w:r>
      <w:r w:rsidR="00B9555F" w:rsidRPr="007D574A">
        <w:rPr>
          <w:rFonts w:ascii="Arial" w:hAnsi="Arial"/>
          <w:color w:val="495F70"/>
          <w:sz w:val="18"/>
        </w:rPr>
        <w:fldChar w:fldCharType="end"/>
      </w:r>
      <w:r w:rsidRPr="007D574A">
        <w:rPr>
          <w:rFonts w:ascii="Arial" w:hAnsi="Arial"/>
          <w:color w:val="495F70"/>
          <w:sz w:val="18"/>
        </w:rPr>
        <w:t>: Scope of national waste and recycling reporting by production stage</w:t>
      </w:r>
    </w:p>
    <w:p w:rsidR="00D033D3" w:rsidRDefault="00D033D3" w:rsidP="00D033D3">
      <w:pPr>
        <w:pStyle w:val="ParaIndent"/>
        <w:rPr>
          <w:lang w:eastAsia="en-AU"/>
        </w:rPr>
      </w:pPr>
      <w:r>
        <w:rPr>
          <w:noProof/>
          <w:lang w:eastAsia="en-AU"/>
        </w:rPr>
        <w:drawing>
          <wp:inline distT="0" distB="0" distL="0" distR="0">
            <wp:extent cx="5359179" cy="3240304"/>
            <wp:effectExtent l="0" t="0" r="0" b="0"/>
            <wp:docPr id="59" name="Picture 12" descr="Sco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emf"/>
                    <pic:cNvPicPr/>
                  </pic:nvPicPr>
                  <pic:blipFill>
                    <a:blip r:embed="rId22" cstate="print"/>
                    <a:stretch>
                      <a:fillRect/>
                    </a:stretch>
                  </pic:blipFill>
                  <pic:spPr>
                    <a:xfrm>
                      <a:off x="0" y="0"/>
                      <a:ext cx="5364141" cy="3243304"/>
                    </a:xfrm>
                    <a:prstGeom prst="rect">
                      <a:avLst/>
                    </a:prstGeom>
                  </pic:spPr>
                </pic:pic>
              </a:graphicData>
            </a:graphic>
          </wp:inline>
        </w:drawing>
      </w:r>
    </w:p>
    <w:p w:rsidR="00D033D3" w:rsidRDefault="00D033D3" w:rsidP="00D033D3">
      <w:pPr>
        <w:pStyle w:val="ParaIndent"/>
        <w:rPr>
          <w:lang w:eastAsia="en-AU"/>
        </w:rPr>
      </w:pPr>
      <w:r>
        <w:rPr>
          <w:lang w:eastAsia="en-AU"/>
        </w:rPr>
        <w:t>The scope of waste and recycling reporting can also be approximately defined by the point of disposal for wastes. Products and materials included within the scope of waste and recycling are usually those disposed of offsite, from non-primary production sources. Conversely, materials excluded from the scope are usually primary production or pre-consumer wastes that are close to their raw form and that are disposed of on-site.</w:t>
      </w:r>
    </w:p>
    <w:p w:rsidR="00D033D3" w:rsidRDefault="00D033D3" w:rsidP="00D033D3">
      <w:pPr>
        <w:pStyle w:val="Heading3"/>
        <w:numPr>
          <w:ilvl w:val="2"/>
          <w:numId w:val="12"/>
        </w:numPr>
        <w:shd w:val="clear" w:color="auto" w:fill="auto"/>
      </w:pPr>
      <w:r w:rsidRPr="00853B0E">
        <w:t>Bark and sawdust from forestry operations</w:t>
      </w:r>
      <w:r>
        <w:t>,</w:t>
      </w:r>
      <w:r w:rsidRPr="00853B0E">
        <w:t xml:space="preserve"> and mining and mineral processing wastes</w:t>
      </w:r>
    </w:p>
    <w:p w:rsidR="00D033D3" w:rsidRDefault="00D033D3" w:rsidP="00D033D3">
      <w:pPr>
        <w:pStyle w:val="ParaIndent"/>
      </w:pPr>
      <w:r>
        <w:t>Bark and sawdust from forestry operations, and mining wastes are all primary production wastes. Bark and sawdust generated from forestry operations is distinct from those generated in secondary industrial processes, such as timber mills.</w:t>
      </w:r>
    </w:p>
    <w:p w:rsidR="00D033D3" w:rsidRDefault="00D033D3" w:rsidP="00D033D3">
      <w:pPr>
        <w:pStyle w:val="Caption0"/>
        <w:ind w:firstLine="0"/>
        <w:rPr>
          <w:rFonts w:ascii="Arial" w:hAnsi="Arial" w:cs="Arial"/>
        </w:rPr>
      </w:pPr>
      <w:bookmarkStart w:id="331" w:name="_Toc333908403"/>
      <w:r w:rsidRPr="00F03E3F">
        <w:rPr>
          <w:rFonts w:ascii="Arial" w:hAnsi="Arial" w:cs="Arial"/>
        </w:rPr>
        <w:t xml:space="preserve">Recommendation </w:t>
      </w:r>
      <w:r w:rsidR="00B9555F" w:rsidRPr="00F03E3F">
        <w:rPr>
          <w:rFonts w:ascii="Arial" w:hAnsi="Arial" w:cs="Arial"/>
        </w:rPr>
        <w:fldChar w:fldCharType="begin"/>
      </w:r>
      <w:r w:rsidRPr="00F03E3F">
        <w:rPr>
          <w:rFonts w:ascii="Arial" w:hAnsi="Arial" w:cs="Arial"/>
        </w:rPr>
        <w:instrText xml:space="preserve"> SEQ Recommendation \* ARABIC </w:instrText>
      </w:r>
      <w:r w:rsidR="00B9555F" w:rsidRPr="00F03E3F">
        <w:rPr>
          <w:rFonts w:ascii="Arial" w:hAnsi="Arial" w:cs="Arial"/>
        </w:rPr>
        <w:fldChar w:fldCharType="separate"/>
      </w:r>
      <w:r w:rsidR="00AE7E3B">
        <w:rPr>
          <w:rFonts w:ascii="Arial" w:hAnsi="Arial" w:cs="Arial"/>
          <w:noProof/>
        </w:rPr>
        <w:t>12</w:t>
      </w:r>
      <w:r w:rsidR="00B9555F" w:rsidRPr="00F03E3F">
        <w:rPr>
          <w:rFonts w:ascii="Arial" w:hAnsi="Arial" w:cs="Arial"/>
        </w:rPr>
        <w:fldChar w:fldCharType="end"/>
      </w:r>
      <w:r>
        <w:rPr>
          <w:rFonts w:ascii="Arial" w:hAnsi="Arial" w:cs="Arial"/>
        </w:rPr>
        <w:t>: Bark and sawdust from forestry operations, and mining and mineral processing wastes should be excluded from the scope.</w:t>
      </w:r>
      <w:bookmarkEnd w:id="331"/>
    </w:p>
    <w:p w:rsidR="00D033D3" w:rsidRPr="003D498A" w:rsidRDefault="00D033D3" w:rsidP="00D033D3">
      <w:pPr>
        <w:pStyle w:val="ParaIndent"/>
      </w:pPr>
      <w:r w:rsidRPr="003D498A">
        <w:t>No states or territories treat the disposal of bark and sawdust to landfill any differently to other landfilled material. However, many do account for the recycling of bark and sawdust from forestry separately. A number of these jurisdictions use Organics Recycling in Australia – Industry Statistics compiled by Compost Australia to generate the breakdown of organic material. This report lists sawdust and barks from forestry residuals as a separate item.</w:t>
      </w:r>
    </w:p>
    <w:p w:rsidR="00D033D3" w:rsidRDefault="00D033D3" w:rsidP="00D033D3">
      <w:pPr>
        <w:ind w:left="1134" w:firstLine="6"/>
      </w:pPr>
      <w:r w:rsidRPr="003D498A">
        <w:t>NSW reports bark and sawdust from forestry residuals as distinct items in reporting on recycled organic material.</w:t>
      </w:r>
    </w:p>
    <w:p w:rsidR="00D033D3" w:rsidRPr="003D498A" w:rsidRDefault="00D033D3" w:rsidP="00D033D3">
      <w:pPr>
        <w:pStyle w:val="ParaIndent"/>
      </w:pPr>
      <w:r w:rsidRPr="00FE5862">
        <w:t xml:space="preserve">Victoria </w:t>
      </w:r>
      <w:r>
        <w:t>reports saw</w:t>
      </w:r>
      <w:r w:rsidRPr="00FE5862">
        <w:t>dust &amp; other forestry residuals</w:t>
      </w:r>
      <w:r>
        <w:t>,</w:t>
      </w:r>
      <w:r w:rsidRPr="00FE5862">
        <w:t xml:space="preserve"> but do</w:t>
      </w:r>
      <w:r>
        <w:t>es</w:t>
      </w:r>
      <w:r w:rsidRPr="00FE5862">
        <w:t xml:space="preserve"> not distinguish the origin of the material. </w:t>
      </w:r>
      <w:r>
        <w:t>Bark</w:t>
      </w:r>
      <w:r w:rsidRPr="00FE5862">
        <w:t xml:space="preserve"> and sawdust </w:t>
      </w:r>
      <w:r>
        <w:t xml:space="preserve">is reported separately </w:t>
      </w:r>
      <w:r w:rsidRPr="00FE5862">
        <w:t xml:space="preserve">from other materials </w:t>
      </w:r>
      <w:r>
        <w:t>regardless of</w:t>
      </w:r>
      <w:r w:rsidRPr="00FE5862">
        <w:t xml:space="preserve"> where it comes from. </w:t>
      </w:r>
    </w:p>
    <w:p w:rsidR="00D033D3" w:rsidRPr="003D498A" w:rsidRDefault="00D033D3" w:rsidP="00D033D3">
      <w:pPr>
        <w:pStyle w:val="ParaIndent"/>
      </w:pPr>
      <w:r w:rsidRPr="003D498A">
        <w:t xml:space="preserve">Western Australia records and reports on forestry waste collected for reprocessing but does not include it in its reported organic materials collected for reprocessing. </w:t>
      </w:r>
    </w:p>
    <w:p w:rsidR="00D033D3" w:rsidRPr="00A17151" w:rsidRDefault="00D033D3" w:rsidP="00D033D3">
      <w:pPr>
        <w:pStyle w:val="ParaIndent"/>
      </w:pPr>
      <w:r w:rsidRPr="003D498A">
        <w:t>South Australia reports barks and sawdust from forestry residuals in combination with all other timber wastes.</w:t>
      </w:r>
    </w:p>
    <w:p w:rsidR="00D033D3" w:rsidRDefault="00D033D3" w:rsidP="00D033D3">
      <w:pPr>
        <w:pStyle w:val="Heading3"/>
        <w:numPr>
          <w:ilvl w:val="2"/>
          <w:numId w:val="12"/>
        </w:numPr>
        <w:shd w:val="clear" w:color="auto" w:fill="auto"/>
      </w:pPr>
      <w:r>
        <w:t>Agricultural wastes</w:t>
      </w:r>
    </w:p>
    <w:p w:rsidR="00D033D3" w:rsidRDefault="00D033D3" w:rsidP="00D033D3">
      <w:pPr>
        <w:pStyle w:val="ParaIndent"/>
      </w:pPr>
      <w:r>
        <w:t>Agricultural wastes are generated through primary production activities. For the purposes of waste and recycling reporting, agricultural waste should not include waste material ancillary to the core primary production. For example, fencing wire should be considered C&amp;I waste, and not agricultural waste.</w:t>
      </w:r>
    </w:p>
    <w:p w:rsidR="00D033D3" w:rsidRDefault="00D033D3" w:rsidP="00D033D3">
      <w:pPr>
        <w:pStyle w:val="Caption0"/>
        <w:ind w:firstLine="0"/>
        <w:rPr>
          <w:rFonts w:ascii="Arial" w:hAnsi="Arial" w:cs="Arial"/>
        </w:rPr>
      </w:pPr>
      <w:bookmarkStart w:id="332" w:name="_Toc333908404"/>
      <w:r w:rsidRPr="00412632" w:rsidDel="009778DA">
        <w:rPr>
          <w:rFonts w:ascii="Arial" w:hAnsi="Arial" w:cs="Arial"/>
        </w:rPr>
        <w:t xml:space="preserve">Recommendation </w:t>
      </w:r>
      <w:r w:rsidR="00B9555F" w:rsidRPr="00412632" w:rsidDel="009778DA">
        <w:rPr>
          <w:rFonts w:ascii="Arial" w:hAnsi="Arial" w:cs="Arial"/>
        </w:rPr>
        <w:fldChar w:fldCharType="begin"/>
      </w:r>
      <w:r w:rsidRPr="00412632" w:rsidDel="009778DA">
        <w:rPr>
          <w:rFonts w:ascii="Arial" w:hAnsi="Arial" w:cs="Arial"/>
        </w:rPr>
        <w:instrText xml:space="preserve"> SEQ Recommendation \* ARABIC </w:instrText>
      </w:r>
      <w:r w:rsidR="00B9555F" w:rsidRPr="00412632" w:rsidDel="009778DA">
        <w:rPr>
          <w:rFonts w:ascii="Arial" w:hAnsi="Arial" w:cs="Arial"/>
        </w:rPr>
        <w:fldChar w:fldCharType="separate"/>
      </w:r>
      <w:r w:rsidR="00AE7E3B">
        <w:rPr>
          <w:rFonts w:ascii="Arial" w:hAnsi="Arial" w:cs="Arial"/>
          <w:noProof/>
        </w:rPr>
        <w:t>13</w:t>
      </w:r>
      <w:r w:rsidR="00B9555F" w:rsidRPr="00412632" w:rsidDel="009778DA">
        <w:rPr>
          <w:rFonts w:ascii="Arial" w:hAnsi="Arial" w:cs="Arial"/>
        </w:rPr>
        <w:fldChar w:fldCharType="end"/>
      </w:r>
      <w:r w:rsidRPr="00412632" w:rsidDel="009778DA">
        <w:rPr>
          <w:rFonts w:ascii="Arial" w:hAnsi="Arial" w:cs="Arial"/>
        </w:rPr>
        <w:t xml:space="preserve">: Agricultural wastes </w:t>
      </w:r>
      <w:r>
        <w:rPr>
          <w:rFonts w:ascii="Arial" w:hAnsi="Arial" w:cs="Arial"/>
        </w:rPr>
        <w:t>are</w:t>
      </w:r>
      <w:r w:rsidRPr="00412632" w:rsidDel="009778DA">
        <w:rPr>
          <w:rFonts w:ascii="Arial" w:hAnsi="Arial" w:cs="Arial"/>
        </w:rPr>
        <w:t xml:space="preserve"> excluded from the scope.</w:t>
      </w:r>
      <w:bookmarkEnd w:id="332"/>
    </w:p>
    <w:p w:rsidR="00D033D3" w:rsidRDefault="00D033D3" w:rsidP="00D033D3">
      <w:pPr>
        <w:pStyle w:val="ParaIndent"/>
      </w:pPr>
      <w:r w:rsidRPr="00D877D4">
        <w:t>Agricultural wastes are likely to be subject to different treatments depending on where the industry is located. Agricultural wastes generated in more remote areas are likely to be disposed of on-site and are unlikely to be recorded. Conversely, agricultural waste generated adjacent to more highly populated areas are more likely to be disposed of at specific organic waste treatment facilities and are more likely to be recorded in recycling activity.</w:t>
      </w:r>
    </w:p>
    <w:p w:rsidR="00D033D3" w:rsidRPr="003D498A" w:rsidRDefault="00D033D3" w:rsidP="00D033D3">
      <w:pPr>
        <w:pStyle w:val="ParaIndent"/>
      </w:pPr>
      <w:r w:rsidRPr="003D498A">
        <w:t>In all states, agricultural waste that is disposed of to landfill is not reported on separately. Jurisdictions that do report on agricultural wastes do so only for reprocessing.</w:t>
      </w:r>
    </w:p>
    <w:p w:rsidR="00D033D3" w:rsidRPr="003D498A" w:rsidRDefault="00D033D3" w:rsidP="00D033D3">
      <w:pPr>
        <w:pStyle w:val="ParaIndent"/>
      </w:pPr>
      <w:r w:rsidRPr="003D498A">
        <w:t>NSW reports agricultural waste received for reprocessing as a component of its organic stream.</w:t>
      </w:r>
    </w:p>
    <w:p w:rsidR="00D033D3" w:rsidRPr="003D498A" w:rsidRDefault="00D033D3" w:rsidP="00D033D3">
      <w:pPr>
        <w:pStyle w:val="ParaIndent"/>
      </w:pPr>
      <w:r w:rsidRPr="003D498A">
        <w:t xml:space="preserve">Queensland reports manure and other agricultural wastes recovered. </w:t>
      </w:r>
    </w:p>
    <w:p w:rsidR="00D033D3" w:rsidRPr="003D498A" w:rsidRDefault="00D033D3" w:rsidP="00D033D3">
      <w:pPr>
        <w:pStyle w:val="ParaIndent"/>
      </w:pPr>
      <w:r w:rsidRPr="003D498A">
        <w:t>Western Australia reports agricultural waste, excluding manures, collected for reprocessing.</w:t>
      </w:r>
    </w:p>
    <w:p w:rsidR="00D033D3" w:rsidRDefault="00D033D3" w:rsidP="00D033D3">
      <w:pPr>
        <w:pStyle w:val="ParaIndent"/>
      </w:pPr>
      <w:r w:rsidRPr="003D498A">
        <w:t>South Australia includes waste from agricultural processes collected for reprocessing in the ‘other organics’ category.</w:t>
      </w:r>
    </w:p>
    <w:p w:rsidR="00D033D3" w:rsidRDefault="00D033D3" w:rsidP="00D033D3">
      <w:pPr>
        <w:pStyle w:val="Heading3"/>
        <w:numPr>
          <w:ilvl w:val="2"/>
          <w:numId w:val="12"/>
        </w:numPr>
        <w:shd w:val="clear" w:color="auto" w:fill="auto"/>
      </w:pPr>
      <w:bookmarkStart w:id="333" w:name="_Ref272154195"/>
      <w:bookmarkStart w:id="334" w:name="_Ref272158822"/>
      <w:bookmarkStart w:id="335" w:name="_Toc279510568"/>
      <w:r w:rsidRPr="004E53E4">
        <w:t>Soil</w:t>
      </w:r>
      <w:r>
        <w:t>, sand and rock</w:t>
      </w:r>
      <w:bookmarkEnd w:id="333"/>
      <w:bookmarkEnd w:id="334"/>
      <w:bookmarkEnd w:id="335"/>
    </w:p>
    <w:p w:rsidR="00D033D3" w:rsidRDefault="00D033D3" w:rsidP="00D033D3">
      <w:pPr>
        <w:pStyle w:val="ParaIndent"/>
        <w:spacing w:after="120"/>
        <w:rPr>
          <w:lang w:eastAsia="en-AU"/>
        </w:rPr>
      </w:pPr>
      <w:r w:rsidRPr="00CC7B41">
        <w:rPr>
          <w:lang w:eastAsia="en-AU"/>
        </w:rPr>
        <w:t>Soil, sand and rock, can be considered a primary product. Soil, sand and rock also have the capacity to be re-used on-site, although this is limited in many circumstances. By this account, they should be considered for exclusion from the scope of waste and recycling reporting.</w:t>
      </w:r>
    </w:p>
    <w:p w:rsidR="00D033D3" w:rsidRDefault="00D033D3" w:rsidP="00D033D3">
      <w:pPr>
        <w:pStyle w:val="ParaIndent"/>
        <w:spacing w:after="120"/>
        <w:rPr>
          <w:lang w:eastAsia="en-AU"/>
        </w:rPr>
      </w:pPr>
      <w:r>
        <w:rPr>
          <w:lang w:eastAsia="en-AU"/>
        </w:rPr>
        <w:t xml:space="preserve">However, soil, sand and rock are an anomaly in one important respect. While still in their raw state, soil, sand and rock are earthen materials. And putting soil, sand or rock in landfill can be considered a re-use of materials. </w:t>
      </w:r>
    </w:p>
    <w:p w:rsidR="00D033D3" w:rsidRDefault="00D033D3" w:rsidP="00D033D3">
      <w:pPr>
        <w:pStyle w:val="ParaIndent"/>
        <w:spacing w:after="120"/>
        <w:rPr>
          <w:lang w:eastAsia="en-AU"/>
        </w:rPr>
      </w:pPr>
      <w:r>
        <w:rPr>
          <w:lang w:eastAsia="en-AU"/>
        </w:rPr>
        <w:t>As such, soil can either be included or excluded from the landfill ledger, but cannot be included in the recycling ledger; when soil, sand and rock is used as fill it is a re-use of the material, but it is not recycling.</w:t>
      </w:r>
    </w:p>
    <w:p w:rsidR="00D033D3" w:rsidRDefault="00D033D3" w:rsidP="00D033D3">
      <w:pPr>
        <w:pStyle w:val="ParaIndent"/>
        <w:spacing w:after="120"/>
        <w:rPr>
          <w:lang w:eastAsia="en-AU"/>
        </w:rPr>
      </w:pPr>
      <w:r>
        <w:rPr>
          <w:lang w:eastAsia="en-AU"/>
        </w:rPr>
        <w:t>E</w:t>
      </w:r>
      <w:r w:rsidRPr="004C528A">
        <w:rPr>
          <w:lang w:eastAsia="en-AU"/>
        </w:rPr>
        <w:t xml:space="preserve">xcluding soil entirely from the scope would </w:t>
      </w:r>
      <w:r>
        <w:rPr>
          <w:lang w:eastAsia="en-AU"/>
        </w:rPr>
        <w:t xml:space="preserve">also </w:t>
      </w:r>
      <w:r w:rsidRPr="004C528A">
        <w:rPr>
          <w:lang w:eastAsia="en-AU"/>
        </w:rPr>
        <w:t xml:space="preserve">present a </w:t>
      </w:r>
      <w:r>
        <w:rPr>
          <w:lang w:eastAsia="en-AU"/>
        </w:rPr>
        <w:t>practical issue</w:t>
      </w:r>
      <w:r w:rsidRPr="004C528A">
        <w:rPr>
          <w:lang w:eastAsia="en-AU"/>
        </w:rPr>
        <w:t xml:space="preserve">. Data on soil disposed to landfill is </w:t>
      </w:r>
      <w:r>
        <w:rPr>
          <w:lang w:eastAsia="en-AU"/>
        </w:rPr>
        <w:t xml:space="preserve">often not </w:t>
      </w:r>
      <w:r w:rsidRPr="004C528A">
        <w:rPr>
          <w:lang w:eastAsia="en-AU"/>
        </w:rPr>
        <w:t xml:space="preserve">separated from other materials. </w:t>
      </w:r>
      <w:r>
        <w:rPr>
          <w:lang w:eastAsia="en-AU"/>
        </w:rPr>
        <w:t>Furthermore, given that there is usually demand for clean fill, it can be reasonably postulated that much of the soil that is disposed of to landfill is not clean fill, and is likely to contain other C&amp;D waste.</w:t>
      </w:r>
    </w:p>
    <w:p w:rsidR="00D033D3" w:rsidRDefault="00D033D3" w:rsidP="00D033D3">
      <w:pPr>
        <w:pStyle w:val="Caption0"/>
        <w:ind w:firstLine="0"/>
        <w:rPr>
          <w:rFonts w:ascii="Arial" w:hAnsi="Arial" w:cs="Arial"/>
          <w:lang w:eastAsia="en-AU"/>
        </w:rPr>
      </w:pPr>
      <w:bookmarkStart w:id="336" w:name="_Toc333908405"/>
      <w:r w:rsidRPr="00AF38FF">
        <w:rPr>
          <w:rFonts w:ascii="Arial" w:hAnsi="Arial" w:cs="Arial"/>
        </w:rPr>
        <w:t xml:space="preserve">Recommendation </w:t>
      </w:r>
      <w:r w:rsidR="00B9555F" w:rsidRPr="00AF38FF">
        <w:rPr>
          <w:rFonts w:ascii="Arial" w:hAnsi="Arial" w:cs="Arial"/>
        </w:rPr>
        <w:fldChar w:fldCharType="begin"/>
      </w:r>
      <w:r w:rsidRPr="00AF38FF">
        <w:rPr>
          <w:rFonts w:ascii="Arial" w:hAnsi="Arial" w:cs="Arial"/>
        </w:rPr>
        <w:instrText xml:space="preserve"> SEQ Recommendation \* ARABIC </w:instrText>
      </w:r>
      <w:r w:rsidR="00B9555F" w:rsidRPr="00AF38FF">
        <w:rPr>
          <w:rFonts w:ascii="Arial" w:hAnsi="Arial" w:cs="Arial"/>
        </w:rPr>
        <w:fldChar w:fldCharType="separate"/>
      </w:r>
      <w:r w:rsidR="00AE7E3B">
        <w:rPr>
          <w:rFonts w:ascii="Arial" w:hAnsi="Arial" w:cs="Arial"/>
          <w:noProof/>
        </w:rPr>
        <w:t>14</w:t>
      </w:r>
      <w:r w:rsidR="00B9555F" w:rsidRPr="00AF38FF">
        <w:rPr>
          <w:rFonts w:ascii="Arial" w:hAnsi="Arial" w:cs="Arial"/>
        </w:rPr>
        <w:fldChar w:fldCharType="end"/>
      </w:r>
      <w:r>
        <w:rPr>
          <w:rFonts w:ascii="Arial" w:hAnsi="Arial" w:cs="Arial"/>
        </w:rPr>
        <w:t xml:space="preserve">: Soil, sand and rock should be included </w:t>
      </w:r>
      <w:r>
        <w:rPr>
          <w:rFonts w:ascii="Arial" w:hAnsi="Arial" w:cs="Arial"/>
          <w:lang w:eastAsia="en-AU"/>
        </w:rPr>
        <w:t>the scope, but be reported separately to the total of all other materials included within the scope.</w:t>
      </w:r>
      <w:bookmarkEnd w:id="336"/>
    </w:p>
    <w:p w:rsidR="00D033D3" w:rsidRPr="00446696" w:rsidRDefault="00D033D3" w:rsidP="00D033D3">
      <w:pPr>
        <w:pStyle w:val="ParaIndent"/>
      </w:pPr>
      <w:r w:rsidRPr="00CC7B41">
        <w:t xml:space="preserve">For the purposes of waste and recycling reporting, soil sand and rock refers to earthen material in its raw or unrefined state, and that is not mixed with another material. </w:t>
      </w:r>
    </w:p>
    <w:p w:rsidR="00D033D3" w:rsidRDefault="00D033D3" w:rsidP="00D033D3">
      <w:pPr>
        <w:pStyle w:val="Heading3"/>
        <w:numPr>
          <w:ilvl w:val="2"/>
          <w:numId w:val="12"/>
        </w:numPr>
        <w:shd w:val="clear" w:color="auto" w:fill="auto"/>
        <w:rPr>
          <w:lang w:eastAsia="en-AU"/>
        </w:rPr>
      </w:pPr>
      <w:r>
        <w:t>Daily and intermediate landfill cover</w:t>
      </w:r>
      <w:r>
        <w:rPr>
          <w:lang w:eastAsia="en-AU"/>
        </w:rPr>
        <w:t xml:space="preserve"> </w:t>
      </w:r>
    </w:p>
    <w:p w:rsidR="00D033D3" w:rsidRDefault="00D033D3" w:rsidP="00D033D3">
      <w:pPr>
        <w:pStyle w:val="ParaIndent"/>
        <w:rPr>
          <w:lang w:eastAsia="en-AU"/>
        </w:rPr>
      </w:pPr>
      <w:r>
        <w:rPr>
          <w:lang w:eastAsia="en-AU"/>
        </w:rPr>
        <w:t>Daily and intermediate landfill cover refers to soil or other inert material used to temporarily cover contained cells in modern landfills. Where landfills use daily cover, the soil, sand and rock that is disposed of at the landfill is likely to be used for this purpose.</w:t>
      </w:r>
    </w:p>
    <w:p w:rsidR="00D033D3" w:rsidRDefault="00D033D3" w:rsidP="00D033D3">
      <w:pPr>
        <w:pStyle w:val="ParaIndent"/>
        <w:rPr>
          <w:lang w:eastAsia="en-AU"/>
        </w:rPr>
      </w:pPr>
      <w:r>
        <w:rPr>
          <w:lang w:eastAsia="en-AU"/>
        </w:rPr>
        <w:t>The inclusion of daily cover in landfill figures is an anomaly for the same reasons that the inclusion of soil is an anomaly. The consistent approach would be to treat daily cover as a component of soil, sand and rock.</w:t>
      </w:r>
    </w:p>
    <w:p w:rsidR="00D033D3" w:rsidRPr="00C64124" w:rsidRDefault="00D033D3" w:rsidP="00D033D3">
      <w:pPr>
        <w:pStyle w:val="Caption0"/>
        <w:ind w:firstLine="0"/>
        <w:rPr>
          <w:rFonts w:ascii="Arial" w:hAnsi="Arial" w:cs="Arial"/>
        </w:rPr>
      </w:pPr>
      <w:bookmarkStart w:id="337" w:name="_Toc333908406"/>
      <w:r w:rsidRPr="00C64124">
        <w:rPr>
          <w:rFonts w:ascii="Arial" w:hAnsi="Arial" w:cs="Arial"/>
        </w:rPr>
        <w:t xml:space="preserve">Recommendation </w:t>
      </w:r>
      <w:r w:rsidR="00B9555F" w:rsidRPr="00C64124">
        <w:rPr>
          <w:rFonts w:ascii="Arial" w:hAnsi="Arial" w:cs="Arial"/>
        </w:rPr>
        <w:fldChar w:fldCharType="begin"/>
      </w:r>
      <w:r w:rsidRPr="00C64124">
        <w:rPr>
          <w:rFonts w:ascii="Arial" w:hAnsi="Arial" w:cs="Arial"/>
        </w:rPr>
        <w:instrText xml:space="preserve"> SEQ Recommendation \* ARABIC </w:instrText>
      </w:r>
      <w:r w:rsidR="00B9555F" w:rsidRPr="00C64124">
        <w:rPr>
          <w:rFonts w:ascii="Arial" w:hAnsi="Arial" w:cs="Arial"/>
        </w:rPr>
        <w:fldChar w:fldCharType="separate"/>
      </w:r>
      <w:r w:rsidR="00AE7E3B">
        <w:rPr>
          <w:rFonts w:ascii="Arial" w:hAnsi="Arial" w:cs="Arial"/>
          <w:noProof/>
        </w:rPr>
        <w:t>15</w:t>
      </w:r>
      <w:r w:rsidR="00B9555F" w:rsidRPr="00C64124">
        <w:rPr>
          <w:rFonts w:ascii="Arial" w:hAnsi="Arial" w:cs="Arial"/>
        </w:rPr>
        <w:fldChar w:fldCharType="end"/>
      </w:r>
      <w:r>
        <w:rPr>
          <w:rFonts w:ascii="Arial" w:hAnsi="Arial" w:cs="Arial"/>
        </w:rPr>
        <w:t>: Daily cover should be included in reporting on soil, sand and rock</w:t>
      </w:r>
      <w:r>
        <w:rPr>
          <w:rFonts w:ascii="Arial" w:hAnsi="Arial" w:cs="Arial"/>
          <w:lang w:eastAsia="en-AU"/>
        </w:rPr>
        <w:t>.</w:t>
      </w:r>
      <w:bookmarkEnd w:id="337"/>
    </w:p>
    <w:p w:rsidR="00D033D3" w:rsidRDefault="00D033D3" w:rsidP="00D033D3">
      <w:pPr>
        <w:pStyle w:val="ParaIndent"/>
        <w:rPr>
          <w:lang w:eastAsia="en-AU"/>
        </w:rPr>
      </w:pPr>
      <w:r>
        <w:rPr>
          <w:lang w:eastAsia="en-AU"/>
        </w:rPr>
        <w:t>In some jurisdictions, the amount of material disposed to landfill is adjusted downward to account for daily cover, irrespective of whether that daily cover is generated on-site. Accounting for daily cover in the recommended way would better account for the disposal of daily cover generated on-site.</w:t>
      </w:r>
    </w:p>
    <w:p w:rsidR="00D033D3" w:rsidRDefault="00D033D3" w:rsidP="00D033D3">
      <w:pPr>
        <w:pStyle w:val="ParaIndent"/>
        <w:rPr>
          <w:lang w:eastAsia="en-AU"/>
        </w:rPr>
      </w:pPr>
      <w:r>
        <w:rPr>
          <w:lang w:eastAsia="en-AU"/>
        </w:rPr>
        <w:t>Most states and territories list soil or daily cover as a separate material, though the way it is accounted for varies greatly between jurisdictions. Daily cover practices also differ between jurisdictions, at different landfill types and under different conditions.</w:t>
      </w:r>
    </w:p>
    <w:p w:rsidR="00D033D3" w:rsidRDefault="00D033D3" w:rsidP="00D033D3">
      <w:pPr>
        <w:pStyle w:val="ParaIndent"/>
        <w:rPr>
          <w:lang w:eastAsia="en-AU"/>
        </w:rPr>
      </w:pPr>
      <w:r>
        <w:rPr>
          <w:lang w:eastAsia="en-AU"/>
        </w:rPr>
        <w:t>NSW counts soil, including daily cover, as waste disposed to landfill. Earth based material is reported as a particular material in the domestic waste stream. Soil is not reported separately from other C&amp;D waste.</w:t>
      </w:r>
    </w:p>
    <w:p w:rsidR="00D033D3" w:rsidRDefault="00D033D3" w:rsidP="00D033D3">
      <w:pPr>
        <w:pStyle w:val="ParaIndent"/>
        <w:rPr>
          <w:lang w:eastAsia="en-AU"/>
        </w:rPr>
      </w:pPr>
      <w:r w:rsidRPr="00670FE3">
        <w:rPr>
          <w:lang w:eastAsia="en-AU"/>
        </w:rPr>
        <w:t>In Victoria, landfill operators are granted a fixed rebate equal to 15% of all “waste deposited onto land at the premises” to allow for daily cover. As a result, the data reported on waste disposed of to landfill is less than the actual amount disposed to landfill. The shortfall is equal to the amount equal to 15% of all waste disposed to landfill. Victoria also reports soil and sand as a material recovered for reprocessing.</w:t>
      </w:r>
    </w:p>
    <w:p w:rsidR="00D033D3" w:rsidRDefault="00D033D3" w:rsidP="00D033D3">
      <w:pPr>
        <w:pStyle w:val="ParaIndent"/>
        <w:rPr>
          <w:lang w:eastAsia="en-AU"/>
        </w:rPr>
      </w:pPr>
      <w:r>
        <w:rPr>
          <w:lang w:eastAsia="en-AU"/>
        </w:rPr>
        <w:t>Queensland reports clean fill disposed to landfill as a discrete item. Queensland previously made allowances for daily cover, but no longer does so.</w:t>
      </w:r>
    </w:p>
    <w:p w:rsidR="00D033D3" w:rsidRPr="003A4873" w:rsidRDefault="00D033D3" w:rsidP="00D033D3">
      <w:pPr>
        <w:pStyle w:val="ParaIndent"/>
        <w:rPr>
          <w:lang w:eastAsia="en-AU"/>
        </w:rPr>
      </w:pPr>
      <w:r w:rsidRPr="003A4873">
        <w:rPr>
          <w:lang w:eastAsia="en-AU"/>
        </w:rPr>
        <w:t xml:space="preserve">Western Australia </w:t>
      </w:r>
      <w:r>
        <w:rPr>
          <w:lang w:eastAsia="en-AU"/>
        </w:rPr>
        <w:t>provides separate data on “sand, soil, clean fill and rubble” in its materials recovery reporting. In calculating the landfill levy, some landfill sites are able to make an allowance for daily cover up to 8% of the waste received.</w:t>
      </w:r>
    </w:p>
    <w:p w:rsidR="00D033D3" w:rsidRDefault="00D033D3" w:rsidP="00D033D3">
      <w:pPr>
        <w:pStyle w:val="ParaIndent"/>
        <w:rPr>
          <w:lang w:eastAsia="en-AU"/>
        </w:rPr>
      </w:pPr>
      <w:r>
        <w:rPr>
          <w:lang w:eastAsia="en-AU"/>
        </w:rPr>
        <w:t>South Australia reports soil in combination with brick, tile and rubble. Clean fill is exempt from the landfill levy and is reported separately in the landfill levy accounts. No special accounting is made for daily cover.</w:t>
      </w:r>
    </w:p>
    <w:p w:rsidR="00D033D3" w:rsidRPr="006412F7" w:rsidRDefault="00D033D3" w:rsidP="00D033D3">
      <w:pPr>
        <w:pStyle w:val="ParaIndent"/>
        <w:rPr>
          <w:lang w:eastAsia="en-AU"/>
        </w:rPr>
      </w:pPr>
      <w:r>
        <w:rPr>
          <w:lang w:eastAsia="en-AU"/>
        </w:rPr>
        <w:t>Tasmania excludes clean fill from landfill reporting and does not make any allowance for daily cover.</w:t>
      </w:r>
    </w:p>
    <w:p w:rsidR="00D033D3" w:rsidRPr="00F03E3F" w:rsidRDefault="00D033D3" w:rsidP="00D033D3">
      <w:pPr>
        <w:pStyle w:val="Heading3"/>
        <w:numPr>
          <w:ilvl w:val="2"/>
          <w:numId w:val="12"/>
        </w:numPr>
        <w:shd w:val="clear" w:color="auto" w:fill="auto"/>
      </w:pPr>
      <w:r w:rsidRPr="00F03E3F">
        <w:t>Fly ash</w:t>
      </w:r>
    </w:p>
    <w:p w:rsidR="00D033D3" w:rsidRDefault="00D033D3" w:rsidP="00D033D3">
      <w:pPr>
        <w:pStyle w:val="ParaIndent"/>
        <w:keepNext/>
        <w:rPr>
          <w:lang w:eastAsia="en-AU"/>
        </w:rPr>
      </w:pPr>
      <w:r>
        <w:rPr>
          <w:lang w:eastAsia="en-AU"/>
        </w:rPr>
        <w:t>Fly ash is a pre-consumer waste generated during the combustion of material, most usually coal for electricity generation. It is sometimes classified as a hazardous or regulated waste.</w:t>
      </w:r>
    </w:p>
    <w:p w:rsidR="00D033D3" w:rsidRDefault="00D033D3" w:rsidP="00D033D3">
      <w:pPr>
        <w:pStyle w:val="ParaIndent"/>
        <w:keepNext/>
        <w:rPr>
          <w:lang w:eastAsia="en-AU"/>
        </w:rPr>
      </w:pPr>
      <w:r>
        <w:rPr>
          <w:lang w:eastAsia="en-AU"/>
        </w:rPr>
        <w:t>Fly ash is unusual in that that where it is not recycled, it is usually disposed of into ‘ash dams’ located adjacent to mines and power stations. In this respect, fly ash can be considered to be disposed of on-site.</w:t>
      </w:r>
    </w:p>
    <w:p w:rsidR="00D033D3" w:rsidRDefault="00D033D3" w:rsidP="00D033D3">
      <w:pPr>
        <w:pStyle w:val="ParaIndent"/>
        <w:keepNext/>
        <w:rPr>
          <w:lang w:eastAsia="en-AU"/>
        </w:rPr>
      </w:pPr>
      <w:r>
        <w:rPr>
          <w:lang w:eastAsia="en-AU"/>
        </w:rPr>
        <w:t xml:space="preserve">However, unlike primary production and pre-consumer wastes disposed of on-site, fly ash is clearly a solid industrial waste that should be disposed of in a controlled way. The on-site disposal of fly ash is more by virtue of the fact that it is generated adjacent to a site which is available for disposal. But for this, it is likely that fly ash would be subject to stringent requirements for disposal through routes for conventional or hazardous wastes. </w:t>
      </w:r>
    </w:p>
    <w:p w:rsidR="00D033D3" w:rsidRDefault="00D033D3" w:rsidP="00D033D3">
      <w:pPr>
        <w:pStyle w:val="Caption0"/>
        <w:ind w:firstLine="0"/>
        <w:rPr>
          <w:rFonts w:ascii="Arial" w:hAnsi="Arial" w:cs="Arial"/>
        </w:rPr>
      </w:pPr>
      <w:bookmarkStart w:id="338" w:name="_Toc333908407"/>
      <w:r w:rsidRPr="00AF38FF">
        <w:rPr>
          <w:rFonts w:ascii="Arial" w:hAnsi="Arial" w:cs="Arial"/>
        </w:rPr>
        <w:t xml:space="preserve">Recommendation </w:t>
      </w:r>
      <w:r w:rsidR="00B9555F" w:rsidRPr="00AF38FF">
        <w:rPr>
          <w:rFonts w:ascii="Arial" w:hAnsi="Arial" w:cs="Arial"/>
        </w:rPr>
        <w:fldChar w:fldCharType="begin"/>
      </w:r>
      <w:r w:rsidRPr="00AF38FF">
        <w:rPr>
          <w:rFonts w:ascii="Arial" w:hAnsi="Arial" w:cs="Arial"/>
        </w:rPr>
        <w:instrText xml:space="preserve"> SEQ Recommendation \* ARABIC </w:instrText>
      </w:r>
      <w:r w:rsidR="00B9555F" w:rsidRPr="00AF38FF">
        <w:rPr>
          <w:rFonts w:ascii="Arial" w:hAnsi="Arial" w:cs="Arial"/>
        </w:rPr>
        <w:fldChar w:fldCharType="separate"/>
      </w:r>
      <w:r w:rsidR="00AE7E3B">
        <w:rPr>
          <w:rFonts w:ascii="Arial" w:hAnsi="Arial" w:cs="Arial"/>
          <w:noProof/>
        </w:rPr>
        <w:t>16</w:t>
      </w:r>
      <w:r w:rsidR="00B9555F" w:rsidRPr="00AF38FF">
        <w:rPr>
          <w:rFonts w:ascii="Arial" w:hAnsi="Arial" w:cs="Arial"/>
        </w:rPr>
        <w:fldChar w:fldCharType="end"/>
      </w:r>
      <w:r w:rsidRPr="00AF38FF">
        <w:rPr>
          <w:rFonts w:ascii="Arial" w:hAnsi="Arial" w:cs="Arial"/>
        </w:rPr>
        <w:t xml:space="preserve">: </w:t>
      </w:r>
      <w:r>
        <w:rPr>
          <w:rFonts w:ascii="Arial" w:hAnsi="Arial" w:cs="Arial"/>
        </w:rPr>
        <w:t>F</w:t>
      </w:r>
      <w:r w:rsidRPr="00AF38FF">
        <w:rPr>
          <w:rFonts w:ascii="Arial" w:hAnsi="Arial" w:cs="Arial"/>
        </w:rPr>
        <w:t>ly ash</w:t>
      </w:r>
      <w:r>
        <w:rPr>
          <w:rFonts w:ascii="Arial" w:hAnsi="Arial" w:cs="Arial"/>
        </w:rPr>
        <w:t xml:space="preserve"> should</w:t>
      </w:r>
      <w:r w:rsidRPr="00AF38FF">
        <w:rPr>
          <w:rFonts w:ascii="Arial" w:hAnsi="Arial" w:cs="Arial"/>
        </w:rPr>
        <w:t xml:space="preserve"> </w:t>
      </w:r>
      <w:r>
        <w:rPr>
          <w:rFonts w:ascii="Arial" w:hAnsi="Arial" w:cs="Arial"/>
        </w:rPr>
        <w:t xml:space="preserve">be included in the scope, but </w:t>
      </w:r>
      <w:r>
        <w:rPr>
          <w:rFonts w:ascii="Arial" w:hAnsi="Arial" w:cs="Arial"/>
          <w:lang w:eastAsia="en-AU"/>
        </w:rPr>
        <w:t>is reported separately to the total of all other materials included in the scope.</w:t>
      </w:r>
      <w:bookmarkEnd w:id="338"/>
    </w:p>
    <w:p w:rsidR="00D033D3" w:rsidRDefault="00D033D3" w:rsidP="00D033D3">
      <w:pPr>
        <w:pStyle w:val="ParaIndent"/>
        <w:keepNext/>
        <w:rPr>
          <w:lang w:eastAsia="en-AU"/>
        </w:rPr>
      </w:pPr>
      <w:r>
        <w:t>Most states and territories do not record fly ash separately as part of solid waste data.</w:t>
      </w:r>
    </w:p>
    <w:p w:rsidR="00D033D3" w:rsidRPr="000459DF" w:rsidRDefault="00D033D3" w:rsidP="00D033D3">
      <w:pPr>
        <w:pStyle w:val="ParaIndent"/>
      </w:pPr>
      <w:r w:rsidRPr="000459DF">
        <w:t xml:space="preserve">Queensland </w:t>
      </w:r>
      <w:r>
        <w:t>lists</w:t>
      </w:r>
      <w:r w:rsidRPr="000459DF">
        <w:t xml:space="preserve"> fly ash </w:t>
      </w:r>
      <w:r>
        <w:t>as a separate item in the reporting of waste</w:t>
      </w:r>
      <w:r w:rsidRPr="000459DF">
        <w:t xml:space="preserve"> from industrial facilities. </w:t>
      </w:r>
    </w:p>
    <w:p w:rsidR="00D033D3" w:rsidRDefault="00D033D3" w:rsidP="00D033D3">
      <w:pPr>
        <w:pStyle w:val="ParaIndent"/>
      </w:pPr>
      <w:r>
        <w:t>South Australia also reports on fly ash separately to other materials, and records it as a specific waste type in the composition of recycled materials.</w:t>
      </w:r>
    </w:p>
    <w:p w:rsidR="00D033D3" w:rsidRDefault="00D033D3" w:rsidP="00D033D3">
      <w:pPr>
        <w:pStyle w:val="Heading3"/>
        <w:numPr>
          <w:ilvl w:val="2"/>
          <w:numId w:val="12"/>
        </w:numPr>
        <w:shd w:val="clear" w:color="auto" w:fill="auto"/>
      </w:pPr>
      <w:r w:rsidRPr="00F03E3F">
        <w:t>Biosolids</w:t>
      </w:r>
    </w:p>
    <w:p w:rsidR="00D033D3" w:rsidRDefault="00D033D3" w:rsidP="00D033D3">
      <w:pPr>
        <w:pStyle w:val="ParaIndent"/>
      </w:pPr>
      <w:r w:rsidRPr="003D498A">
        <w:t xml:space="preserve">Biosolids </w:t>
      </w:r>
      <w:r>
        <w:t xml:space="preserve">are the residual material from sewage treatment plants and industrial wastewater treatment. Biosolids are </w:t>
      </w:r>
      <w:r w:rsidRPr="003D498A">
        <w:t>clearly a post-consumer waste</w:t>
      </w:r>
      <w:r>
        <w:t>.</w:t>
      </w:r>
    </w:p>
    <w:p w:rsidR="00D033D3" w:rsidRDefault="00D033D3" w:rsidP="00D033D3">
      <w:pPr>
        <w:pStyle w:val="ParaIndent"/>
      </w:pPr>
      <w:r w:rsidRPr="003D498A">
        <w:t xml:space="preserve">Although biosolids are often kept in storage cells on-site, this is not </w:t>
      </w:r>
      <w:r>
        <w:t xml:space="preserve">usually </w:t>
      </w:r>
      <w:r w:rsidRPr="003D498A">
        <w:t>the final point of disposal for biosolids.</w:t>
      </w:r>
      <w:r>
        <w:t xml:space="preserve"> It is perhaps for this reason, and for its extraction from a liquid waste, that biosolids are not always included in waste and recycling reporting.</w:t>
      </w:r>
    </w:p>
    <w:p w:rsidR="00D033D3" w:rsidRDefault="00D033D3" w:rsidP="00D033D3">
      <w:pPr>
        <w:pStyle w:val="Caption0"/>
        <w:ind w:firstLine="0"/>
        <w:rPr>
          <w:rFonts w:ascii="Arial" w:hAnsi="Arial" w:cs="Arial"/>
        </w:rPr>
      </w:pPr>
      <w:bookmarkStart w:id="339" w:name="_Toc333908408"/>
      <w:r w:rsidRPr="004E53E4">
        <w:rPr>
          <w:rFonts w:ascii="Arial" w:hAnsi="Arial" w:cs="Arial"/>
        </w:rPr>
        <w:t xml:space="preserve">Recommendation </w:t>
      </w:r>
      <w:r w:rsidR="00B9555F" w:rsidRPr="004E53E4">
        <w:rPr>
          <w:rFonts w:ascii="Arial" w:hAnsi="Arial" w:cs="Arial"/>
        </w:rPr>
        <w:fldChar w:fldCharType="begin"/>
      </w:r>
      <w:r w:rsidRPr="004E53E4">
        <w:rPr>
          <w:rFonts w:ascii="Arial" w:hAnsi="Arial" w:cs="Arial"/>
        </w:rPr>
        <w:instrText xml:space="preserve"> SEQ Recommendation \* ARABIC </w:instrText>
      </w:r>
      <w:r w:rsidR="00B9555F" w:rsidRPr="004E53E4">
        <w:rPr>
          <w:rFonts w:ascii="Arial" w:hAnsi="Arial" w:cs="Arial"/>
        </w:rPr>
        <w:fldChar w:fldCharType="separate"/>
      </w:r>
      <w:r w:rsidR="00AE7E3B">
        <w:rPr>
          <w:rFonts w:ascii="Arial" w:hAnsi="Arial" w:cs="Arial"/>
          <w:noProof/>
        </w:rPr>
        <w:t>17</w:t>
      </w:r>
      <w:r w:rsidR="00B9555F" w:rsidRPr="004E53E4">
        <w:rPr>
          <w:rFonts w:ascii="Arial" w:hAnsi="Arial" w:cs="Arial"/>
        </w:rPr>
        <w:fldChar w:fldCharType="end"/>
      </w:r>
      <w:r>
        <w:rPr>
          <w:rFonts w:ascii="Arial" w:hAnsi="Arial" w:cs="Arial"/>
        </w:rPr>
        <w:t>: Bio-solids should be</w:t>
      </w:r>
      <w:r w:rsidRPr="00126813">
        <w:rPr>
          <w:rFonts w:ascii="Arial" w:hAnsi="Arial" w:cs="Arial"/>
        </w:rPr>
        <w:t xml:space="preserve"> included in </w:t>
      </w:r>
      <w:r>
        <w:rPr>
          <w:rFonts w:ascii="Arial" w:hAnsi="Arial" w:cs="Arial"/>
        </w:rPr>
        <w:t>the scope.</w:t>
      </w:r>
      <w:bookmarkEnd w:id="339"/>
    </w:p>
    <w:p w:rsidR="00D033D3" w:rsidRDefault="00D033D3" w:rsidP="00D033D3">
      <w:pPr>
        <w:pStyle w:val="ParaIndent"/>
        <w:spacing w:after="120"/>
      </w:pPr>
      <w:r w:rsidRPr="00D5271B">
        <w:t>In some states and territories, biosolids are landfilled</w:t>
      </w:r>
      <w:r>
        <w:t xml:space="preserve"> or incinerated</w:t>
      </w:r>
      <w:r w:rsidRPr="00D5271B">
        <w:t>, but not are specifically identified or reported separately. However, in many instances, accurate data can be garnered from hazardous or controlled waste reporting, and/or from wastewater treatment facilities.</w:t>
      </w:r>
    </w:p>
    <w:p w:rsidR="00D033D3" w:rsidRDefault="00D033D3" w:rsidP="00D033D3">
      <w:pPr>
        <w:pStyle w:val="ParaIndent"/>
        <w:spacing w:after="120"/>
      </w:pPr>
      <w:r>
        <w:t>NSW reports biosolids, grit and screenings as a distinct material type in the composition of organic material received for reprocessing.</w:t>
      </w:r>
    </w:p>
    <w:p w:rsidR="00D033D3" w:rsidRDefault="00D033D3" w:rsidP="00D033D3">
      <w:pPr>
        <w:pStyle w:val="ParaIndent"/>
        <w:spacing w:after="120"/>
      </w:pPr>
      <w:r w:rsidRPr="009F6EE2">
        <w:t xml:space="preserve">Victoria measures biosolids separately from other wastes, and </w:t>
      </w:r>
      <w:r>
        <w:t xml:space="preserve">reports on it separately to </w:t>
      </w:r>
      <w:r w:rsidRPr="009F6EE2">
        <w:t>reports on recycling and landfilling activity.</w:t>
      </w:r>
    </w:p>
    <w:p w:rsidR="00D033D3" w:rsidRDefault="00D033D3" w:rsidP="00D033D3">
      <w:pPr>
        <w:pStyle w:val="ParaIndent"/>
        <w:spacing w:after="120"/>
      </w:pPr>
      <w:r>
        <w:t>Queensland reports biosolids separately both in terms of material landfilled and material recovered. In recording biosolids, an attempt is made to measure the dry weight of the material, where possible.</w:t>
      </w:r>
    </w:p>
    <w:p w:rsidR="00D033D3" w:rsidRDefault="00D033D3" w:rsidP="00D033D3">
      <w:pPr>
        <w:pStyle w:val="ParaIndent"/>
        <w:spacing w:after="120"/>
      </w:pPr>
      <w:r>
        <w:t>Western Australia records biosolids that are collected for reprocessing, but reports them separately to other organic wastes.</w:t>
      </w:r>
    </w:p>
    <w:p w:rsidR="00D033D3" w:rsidRDefault="00D033D3" w:rsidP="00D033D3">
      <w:pPr>
        <w:pStyle w:val="ParaIndent"/>
        <w:spacing w:after="120"/>
      </w:pPr>
      <w:r>
        <w:t>South Australia excludes biosolids from its reported recycling.</w:t>
      </w:r>
    </w:p>
    <w:p w:rsidR="00D033D3" w:rsidRPr="00F03E3F" w:rsidRDefault="00D033D3" w:rsidP="00D033D3">
      <w:pPr>
        <w:pStyle w:val="Heading3"/>
        <w:numPr>
          <w:ilvl w:val="2"/>
          <w:numId w:val="12"/>
        </w:numPr>
        <w:shd w:val="clear" w:color="auto" w:fill="auto"/>
      </w:pPr>
      <w:r w:rsidRPr="00F03E3F">
        <w:t>Hazardous, prescribed or clinical wastes</w:t>
      </w:r>
    </w:p>
    <w:p w:rsidR="00D033D3" w:rsidRPr="00D53D4C" w:rsidRDefault="00D033D3" w:rsidP="00D033D3">
      <w:pPr>
        <w:pStyle w:val="ParaIndent"/>
      </w:pPr>
      <w:r w:rsidRPr="00D53D4C">
        <w:t xml:space="preserve">Hazardous, prescribed or clinical wastes have been excluded from previous </w:t>
      </w:r>
      <w:r>
        <w:t xml:space="preserve">national waste and recycling </w:t>
      </w:r>
      <w:r w:rsidRPr="00D53D4C">
        <w:t xml:space="preserve">reports, which reflect the reporting approach of </w:t>
      </w:r>
      <w:r>
        <w:t xml:space="preserve">most </w:t>
      </w:r>
      <w:r w:rsidRPr="00D53D4C">
        <w:t xml:space="preserve">states and territories. </w:t>
      </w:r>
      <w:r>
        <w:t>However, this</w:t>
      </w:r>
      <w:r w:rsidRPr="00D53D4C">
        <w:t xml:space="preserve"> exclusion raises a number of issues.</w:t>
      </w:r>
    </w:p>
    <w:p w:rsidR="00D033D3" w:rsidRPr="00D53D4C" w:rsidRDefault="00D033D3" w:rsidP="00D033D3">
      <w:pPr>
        <w:pStyle w:val="ParaIndent"/>
      </w:pPr>
      <w:r w:rsidRPr="00D53D4C">
        <w:t>Hazardous wastes often refer to the state of a particular product or material, rather than a distinct product or material type. In such instances, non-hazardous quantities of these product</w:t>
      </w:r>
      <w:r>
        <w:t>s</w:t>
      </w:r>
      <w:r w:rsidRPr="00D53D4C">
        <w:t xml:space="preserve"> or materials are counted as waste. For example, </w:t>
      </w:r>
      <w:r>
        <w:t xml:space="preserve">contaminated steel and plastic containers may be excluded from solid waste data, but clean containers are included in both recycling and landfilling figures. </w:t>
      </w:r>
    </w:p>
    <w:p w:rsidR="00D033D3" w:rsidRDefault="00D033D3" w:rsidP="00D033D3">
      <w:pPr>
        <w:pStyle w:val="ParaIndent"/>
      </w:pPr>
      <w:r w:rsidRPr="00D53D4C">
        <w:t xml:space="preserve">Secondly, different jurisdictions have different classifications for hazardous, prescribed or clinical wastes. Instances </w:t>
      </w:r>
      <w:r>
        <w:t>may a</w:t>
      </w:r>
      <w:r w:rsidRPr="00D53D4C">
        <w:t xml:space="preserve">rise where materials </w:t>
      </w:r>
      <w:r>
        <w:t>are included in solid waste data in one jurisdiction but excluded in another on the basis of different classification methods for hazardous wastes.</w:t>
      </w:r>
    </w:p>
    <w:p w:rsidR="00D033D3" w:rsidRDefault="00D033D3" w:rsidP="00D033D3">
      <w:pPr>
        <w:pStyle w:val="Caption0"/>
        <w:ind w:firstLine="0"/>
        <w:rPr>
          <w:rFonts w:ascii="Arial" w:hAnsi="Arial" w:cs="Arial"/>
          <w:lang w:eastAsia="en-AU"/>
        </w:rPr>
      </w:pPr>
      <w:bookmarkStart w:id="340" w:name="_Toc333908409"/>
      <w:r w:rsidRPr="0049286C">
        <w:rPr>
          <w:rFonts w:ascii="Arial" w:hAnsi="Arial" w:cs="Arial"/>
        </w:rPr>
        <w:t xml:space="preserve">Recommendation </w:t>
      </w:r>
      <w:r w:rsidR="00B9555F" w:rsidRPr="0049286C">
        <w:rPr>
          <w:rFonts w:ascii="Arial" w:hAnsi="Arial" w:cs="Arial"/>
        </w:rPr>
        <w:fldChar w:fldCharType="begin"/>
      </w:r>
      <w:r w:rsidRPr="0049286C">
        <w:rPr>
          <w:rFonts w:ascii="Arial" w:hAnsi="Arial" w:cs="Arial"/>
        </w:rPr>
        <w:instrText xml:space="preserve"> SEQ Recommendation \* ARABIC </w:instrText>
      </w:r>
      <w:r w:rsidR="00B9555F" w:rsidRPr="0049286C">
        <w:rPr>
          <w:rFonts w:ascii="Arial" w:hAnsi="Arial" w:cs="Arial"/>
        </w:rPr>
        <w:fldChar w:fldCharType="separate"/>
      </w:r>
      <w:r w:rsidR="00AE7E3B">
        <w:rPr>
          <w:rFonts w:ascii="Arial" w:hAnsi="Arial" w:cs="Arial"/>
          <w:noProof/>
        </w:rPr>
        <w:t>18</w:t>
      </w:r>
      <w:r w:rsidR="00B9555F" w:rsidRPr="0049286C">
        <w:rPr>
          <w:rFonts w:ascii="Arial" w:hAnsi="Arial" w:cs="Arial"/>
        </w:rPr>
        <w:fldChar w:fldCharType="end"/>
      </w:r>
      <w:r w:rsidRPr="0049286C">
        <w:rPr>
          <w:rFonts w:ascii="Arial" w:hAnsi="Arial" w:cs="Arial"/>
          <w:lang w:eastAsia="en-AU"/>
        </w:rPr>
        <w:t xml:space="preserve">: </w:t>
      </w:r>
      <w:r>
        <w:rPr>
          <w:rFonts w:ascii="Arial" w:hAnsi="Arial" w:cs="Arial"/>
          <w:lang w:eastAsia="en-AU"/>
        </w:rPr>
        <w:t>H</w:t>
      </w:r>
      <w:r w:rsidRPr="0049286C">
        <w:rPr>
          <w:rFonts w:ascii="Arial" w:hAnsi="Arial" w:cs="Arial"/>
          <w:lang w:eastAsia="en-AU"/>
        </w:rPr>
        <w:t xml:space="preserve">azardous, prescribed or clinical wastes </w:t>
      </w:r>
      <w:r>
        <w:rPr>
          <w:rFonts w:ascii="Arial" w:hAnsi="Arial" w:cs="Arial"/>
        </w:rPr>
        <w:t xml:space="preserve">should </w:t>
      </w:r>
      <w:r>
        <w:rPr>
          <w:rFonts w:ascii="Arial" w:hAnsi="Arial" w:cs="Arial"/>
          <w:lang w:eastAsia="en-AU"/>
        </w:rPr>
        <w:t>be included in the scope.</w:t>
      </w:r>
      <w:bookmarkEnd w:id="340"/>
    </w:p>
    <w:p w:rsidR="00D033D3" w:rsidRPr="00B80964" w:rsidRDefault="00D033D3" w:rsidP="00D033D3">
      <w:pPr>
        <w:pStyle w:val="ParaIndent"/>
        <w:rPr>
          <w:lang w:eastAsia="en-AU"/>
        </w:rPr>
      </w:pPr>
      <w:r w:rsidRPr="00B80964">
        <w:rPr>
          <w:lang w:eastAsia="en-AU"/>
        </w:rPr>
        <w:t xml:space="preserve">Hazardous wastes that fall into any other category that is recommended for exclusion from the scope elsewhere in this report, in particular liquid wastes, should </w:t>
      </w:r>
      <w:r>
        <w:rPr>
          <w:lang w:eastAsia="en-AU"/>
        </w:rPr>
        <w:t xml:space="preserve">also </w:t>
      </w:r>
      <w:r w:rsidRPr="00B80964">
        <w:rPr>
          <w:lang w:eastAsia="en-AU"/>
        </w:rPr>
        <w:t xml:space="preserve">be excluded. </w:t>
      </w:r>
      <w:r>
        <w:rPr>
          <w:lang w:eastAsia="en-AU"/>
        </w:rPr>
        <w:t>Accordingly, c</w:t>
      </w:r>
      <w:r w:rsidRPr="00B80964">
        <w:rPr>
          <w:lang w:eastAsia="en-AU"/>
        </w:rPr>
        <w:t xml:space="preserve">ontaminated soil should </w:t>
      </w:r>
      <w:r>
        <w:rPr>
          <w:lang w:eastAsia="en-AU"/>
        </w:rPr>
        <w:t xml:space="preserve">also </w:t>
      </w:r>
      <w:r w:rsidRPr="00B80964">
        <w:rPr>
          <w:lang w:eastAsia="en-AU"/>
        </w:rPr>
        <w:t>be treated in the same way as other soil, sand and rock. In most cases, data is available from jurisdictions on the amount of hazardous material that is soil.</w:t>
      </w:r>
    </w:p>
    <w:p w:rsidR="00D033D3" w:rsidRDefault="00D033D3" w:rsidP="00D033D3">
      <w:pPr>
        <w:pStyle w:val="ParaIndent"/>
        <w:rPr>
          <w:lang w:eastAsia="en-AU"/>
        </w:rPr>
      </w:pPr>
      <w:r w:rsidRPr="00B80964">
        <w:rPr>
          <w:lang w:eastAsia="en-AU"/>
        </w:rPr>
        <w:t xml:space="preserve">Where hazardous wastes are clearly reported as a </w:t>
      </w:r>
      <w:r>
        <w:rPr>
          <w:lang w:eastAsia="en-AU"/>
        </w:rPr>
        <w:t xml:space="preserve">particular </w:t>
      </w:r>
      <w:r w:rsidRPr="00B80964">
        <w:rPr>
          <w:lang w:eastAsia="en-AU"/>
        </w:rPr>
        <w:t xml:space="preserve">product or material </w:t>
      </w:r>
      <w:r>
        <w:rPr>
          <w:lang w:eastAsia="en-AU"/>
        </w:rPr>
        <w:t xml:space="preserve">that is within </w:t>
      </w:r>
      <w:r w:rsidRPr="00B80964">
        <w:rPr>
          <w:lang w:eastAsia="en-AU"/>
        </w:rPr>
        <w:t xml:space="preserve">the scope of this report, data should be recorded </w:t>
      </w:r>
      <w:r>
        <w:rPr>
          <w:lang w:eastAsia="en-AU"/>
        </w:rPr>
        <w:t>along with other waste and recycling of</w:t>
      </w:r>
      <w:r w:rsidRPr="00B80964">
        <w:rPr>
          <w:lang w:eastAsia="en-AU"/>
        </w:rPr>
        <w:t xml:space="preserve"> that </w:t>
      </w:r>
      <w:r>
        <w:rPr>
          <w:lang w:eastAsia="en-AU"/>
        </w:rPr>
        <w:t xml:space="preserve">particular </w:t>
      </w:r>
      <w:r w:rsidRPr="00B80964">
        <w:rPr>
          <w:lang w:eastAsia="en-AU"/>
        </w:rPr>
        <w:t>product or material. Any remaining, unallocated hazardous waste should be recorded as a generalised hazardous waste</w:t>
      </w:r>
      <w:r>
        <w:rPr>
          <w:lang w:eastAsia="en-AU"/>
        </w:rPr>
        <w:t xml:space="preserve"> (see </w:t>
      </w:r>
      <w:r w:rsidR="00B9555F">
        <w:rPr>
          <w:lang w:eastAsia="en-AU"/>
        </w:rPr>
        <w:fldChar w:fldCharType="begin"/>
      </w:r>
      <w:r>
        <w:rPr>
          <w:lang w:eastAsia="en-AU"/>
        </w:rPr>
        <w:instrText xml:space="preserve"> REF _Ref272163409 \r \h </w:instrText>
      </w:r>
      <w:r w:rsidR="00B9555F">
        <w:rPr>
          <w:lang w:eastAsia="en-AU"/>
        </w:rPr>
      </w:r>
      <w:r w:rsidR="00B9555F">
        <w:rPr>
          <w:lang w:eastAsia="en-AU"/>
        </w:rPr>
        <w:fldChar w:fldCharType="separate"/>
      </w:r>
      <w:r w:rsidR="00AE7E3B">
        <w:rPr>
          <w:lang w:eastAsia="en-AU"/>
        </w:rPr>
        <w:t>0</w:t>
      </w:r>
      <w:r w:rsidR="00B9555F">
        <w:rPr>
          <w:lang w:eastAsia="en-AU"/>
        </w:rPr>
        <w:fldChar w:fldCharType="end"/>
      </w:r>
      <w:r>
        <w:rPr>
          <w:lang w:eastAsia="en-AU"/>
        </w:rPr>
        <w:t>)</w:t>
      </w:r>
      <w:r w:rsidRPr="00B80964">
        <w:rPr>
          <w:lang w:eastAsia="en-AU"/>
        </w:rPr>
        <w:t>.</w:t>
      </w:r>
    </w:p>
    <w:p w:rsidR="00D033D3" w:rsidRPr="003D498A" w:rsidRDefault="00D033D3" w:rsidP="00D033D3">
      <w:pPr>
        <w:pStyle w:val="ParaIndent"/>
        <w:rPr>
          <w:lang w:eastAsia="en-AU"/>
        </w:rPr>
      </w:pPr>
      <w:r w:rsidRPr="003D498A">
        <w:rPr>
          <w:lang w:eastAsia="en-AU"/>
        </w:rPr>
        <w:t>Most jurisdictions keep separate databases for hazardous, prescribed or clinical wastes, or are in the process of developing them. The National Pollutant Inventory also provides a point of consolidated information on particular pollutants</w:t>
      </w:r>
      <w:r>
        <w:rPr>
          <w:lang w:eastAsia="en-AU"/>
        </w:rPr>
        <w:t xml:space="preserve"> and their transportation</w:t>
      </w:r>
      <w:r w:rsidRPr="003D498A">
        <w:rPr>
          <w:lang w:eastAsia="en-AU"/>
        </w:rPr>
        <w:t>.</w:t>
      </w:r>
    </w:p>
    <w:p w:rsidR="00D033D3" w:rsidRPr="003D498A" w:rsidRDefault="00D033D3" w:rsidP="00D033D3">
      <w:pPr>
        <w:pStyle w:val="ParaIndent"/>
        <w:rPr>
          <w:lang w:eastAsia="en-AU"/>
        </w:rPr>
      </w:pPr>
      <w:r w:rsidRPr="003D498A">
        <w:rPr>
          <w:lang w:eastAsia="en-AU"/>
        </w:rPr>
        <w:t>NSW reports hazardous waste as a component of domestic waste and includes it within its reports.</w:t>
      </w:r>
    </w:p>
    <w:p w:rsidR="00D033D3" w:rsidRPr="003D498A" w:rsidRDefault="00D033D3" w:rsidP="00D033D3">
      <w:pPr>
        <w:pStyle w:val="ParaIndent"/>
        <w:rPr>
          <w:lang w:eastAsia="en-AU"/>
        </w:rPr>
      </w:pPr>
      <w:r w:rsidRPr="003D498A">
        <w:rPr>
          <w:lang w:eastAsia="en-AU"/>
        </w:rPr>
        <w:t xml:space="preserve">Victoria has accurate data for prescribed industrial waste disposed of to landfill, but </w:t>
      </w:r>
      <w:r>
        <w:rPr>
          <w:lang w:eastAsia="en-AU"/>
        </w:rPr>
        <w:t xml:space="preserve">data on this waste is reported separately to data on municipal and industrial </w:t>
      </w:r>
      <w:r w:rsidRPr="003D498A">
        <w:rPr>
          <w:lang w:eastAsia="en-AU"/>
        </w:rPr>
        <w:t>waste.</w:t>
      </w:r>
    </w:p>
    <w:p w:rsidR="00D033D3" w:rsidRPr="003D498A" w:rsidRDefault="00D033D3" w:rsidP="00D033D3">
      <w:pPr>
        <w:pStyle w:val="ParaIndent"/>
        <w:rPr>
          <w:lang w:eastAsia="en-AU"/>
        </w:rPr>
      </w:pPr>
      <w:r w:rsidRPr="003D498A">
        <w:rPr>
          <w:lang w:eastAsia="en-AU"/>
        </w:rPr>
        <w:t>Queensland reports regulated wastes separately. This data is generated from the movement of hazardous waste, not disposal, which may result in some double counting.</w:t>
      </w:r>
    </w:p>
    <w:p w:rsidR="00D033D3" w:rsidRPr="003D498A" w:rsidRDefault="00D033D3" w:rsidP="00D033D3">
      <w:pPr>
        <w:pStyle w:val="ParaIndent"/>
        <w:rPr>
          <w:lang w:eastAsia="en-AU"/>
        </w:rPr>
      </w:pPr>
      <w:r w:rsidRPr="003D498A">
        <w:rPr>
          <w:lang w:eastAsia="en-AU"/>
        </w:rPr>
        <w:t>In Tasmania, data is gathered for hazardous waste. However, most hazardous waste is pre-treated for use as clean fill. Any remaining hazardous waste that does go to landfill is not distinguished from all other material going to landfill.</w:t>
      </w:r>
    </w:p>
    <w:p w:rsidR="00D033D3" w:rsidRDefault="00D033D3" w:rsidP="00D033D3">
      <w:pPr>
        <w:pStyle w:val="ParaIndent"/>
        <w:spacing w:after="120"/>
        <w:rPr>
          <w:lang w:eastAsia="en-AU"/>
        </w:rPr>
      </w:pPr>
      <w:r w:rsidRPr="003D498A">
        <w:rPr>
          <w:lang w:eastAsia="en-AU"/>
        </w:rPr>
        <w:t>Hazardous waste from the ACT goes to NSW, and is not counted in that territory’s data.</w:t>
      </w:r>
    </w:p>
    <w:p w:rsidR="00D033D3" w:rsidRPr="00F03E3F" w:rsidRDefault="00D033D3" w:rsidP="00D033D3">
      <w:pPr>
        <w:pStyle w:val="Heading3"/>
        <w:numPr>
          <w:ilvl w:val="2"/>
          <w:numId w:val="12"/>
        </w:numPr>
        <w:shd w:val="clear" w:color="auto" w:fill="auto"/>
      </w:pPr>
      <w:r w:rsidRPr="00F03E3F">
        <w:t>Quarantine waste from ships</w:t>
      </w:r>
    </w:p>
    <w:p w:rsidR="00D033D3" w:rsidRDefault="00D033D3" w:rsidP="00D033D3">
      <w:pPr>
        <w:pStyle w:val="ParaIndent"/>
      </w:pPr>
      <w:r>
        <w:t>Quarantine waste from ships can be considered similarly to hazardous waste; it is the regulatory state of the waste that is its defining characteristic more than the material type.</w:t>
      </w:r>
    </w:p>
    <w:p w:rsidR="00D033D3" w:rsidRDefault="00D033D3" w:rsidP="00D033D3">
      <w:pPr>
        <w:pStyle w:val="ParaIndent"/>
      </w:pPr>
      <w:r>
        <w:t>Non-quarantine products or materials that enter the country by ship, or by air, are not distinguished from other products or materials if they end up in the waste stream. For example, non-quarantine waste collected at international airports is not considered differently to other C&amp;I waste.</w:t>
      </w:r>
    </w:p>
    <w:p w:rsidR="00D033D3" w:rsidRDefault="00D033D3" w:rsidP="00D033D3">
      <w:pPr>
        <w:pStyle w:val="ParaIndent"/>
      </w:pPr>
      <w:r>
        <w:t>Therefore, it follows that quarantine (solid) waste from ships should be considered similarly to non-quarantine waste from ships, or quarantine and non-quarantine that enter the country by other means.</w:t>
      </w:r>
    </w:p>
    <w:p w:rsidR="00D033D3" w:rsidRDefault="00D033D3" w:rsidP="00D033D3">
      <w:pPr>
        <w:pStyle w:val="Caption0"/>
        <w:ind w:firstLine="0"/>
        <w:rPr>
          <w:rFonts w:ascii="Arial" w:hAnsi="Arial" w:cs="Arial"/>
        </w:rPr>
      </w:pPr>
      <w:bookmarkStart w:id="341" w:name="_Toc333908410"/>
      <w:r w:rsidRPr="00AF38FF">
        <w:rPr>
          <w:rFonts w:ascii="Arial" w:hAnsi="Arial" w:cs="Arial"/>
        </w:rPr>
        <w:t xml:space="preserve">Recommendation </w:t>
      </w:r>
      <w:r w:rsidR="00B9555F" w:rsidRPr="00AF38FF">
        <w:rPr>
          <w:rFonts w:ascii="Arial" w:hAnsi="Arial" w:cs="Arial"/>
        </w:rPr>
        <w:fldChar w:fldCharType="begin"/>
      </w:r>
      <w:r w:rsidRPr="00AF38FF">
        <w:rPr>
          <w:rFonts w:ascii="Arial" w:hAnsi="Arial" w:cs="Arial"/>
        </w:rPr>
        <w:instrText xml:space="preserve"> SEQ Recommendation \* ARABIC </w:instrText>
      </w:r>
      <w:r w:rsidR="00B9555F" w:rsidRPr="00AF38FF">
        <w:rPr>
          <w:rFonts w:ascii="Arial" w:hAnsi="Arial" w:cs="Arial"/>
        </w:rPr>
        <w:fldChar w:fldCharType="separate"/>
      </w:r>
      <w:r w:rsidR="00AE7E3B">
        <w:rPr>
          <w:rFonts w:ascii="Arial" w:hAnsi="Arial" w:cs="Arial"/>
          <w:noProof/>
        </w:rPr>
        <w:t>19</w:t>
      </w:r>
      <w:r w:rsidR="00B9555F" w:rsidRPr="00AF38FF">
        <w:rPr>
          <w:rFonts w:ascii="Arial" w:hAnsi="Arial" w:cs="Arial"/>
        </w:rPr>
        <w:fldChar w:fldCharType="end"/>
      </w:r>
      <w:r>
        <w:rPr>
          <w:rFonts w:ascii="Arial" w:hAnsi="Arial" w:cs="Arial"/>
        </w:rPr>
        <w:t>: Quarantine wastes from ships should be included in the scope.</w:t>
      </w:r>
      <w:bookmarkEnd w:id="341"/>
    </w:p>
    <w:p w:rsidR="00D033D3" w:rsidRDefault="00D033D3" w:rsidP="00D033D3">
      <w:pPr>
        <w:pStyle w:val="ParaIndent"/>
      </w:pPr>
      <w:r>
        <w:t>NSW and Queensland are aware that quarantine waste from ships is included in recorded waste figures.</w:t>
      </w:r>
    </w:p>
    <w:p w:rsidR="00D033D3" w:rsidRDefault="00D033D3" w:rsidP="00D033D3">
      <w:pPr>
        <w:pStyle w:val="ParaIndent"/>
      </w:pPr>
      <w:r>
        <w:t>Tasmania sends quarantine waste from ships – principally from Antarctica – to a specific landfill, and excludes this from non-quarantine landfill data.</w:t>
      </w:r>
    </w:p>
    <w:p w:rsidR="00D033D3" w:rsidRDefault="00D033D3" w:rsidP="00D033D3">
      <w:pPr>
        <w:pStyle w:val="ParaIndent"/>
      </w:pPr>
    </w:p>
    <w:p w:rsidR="00D033D3" w:rsidRDefault="00D033D3" w:rsidP="00D033D3">
      <w:pPr>
        <w:pStyle w:val="TableHeading"/>
        <w:spacing w:after="180"/>
      </w:pPr>
      <w:r>
        <w:tab/>
      </w:r>
      <w:r>
        <w:tab/>
      </w:r>
      <w:r>
        <w:tab/>
        <w:t xml:space="preserve">Table </w:t>
      </w:r>
      <w:r w:rsidR="00B9555F">
        <w:fldChar w:fldCharType="begin"/>
      </w:r>
      <w:r w:rsidR="000C6B88">
        <w:instrText xml:space="preserve"> SEQ Table \* ARABIC </w:instrText>
      </w:r>
      <w:r w:rsidR="00B9555F">
        <w:fldChar w:fldCharType="separate"/>
      </w:r>
      <w:r w:rsidR="00AE7E3B">
        <w:rPr>
          <w:noProof/>
        </w:rPr>
        <w:t>68</w:t>
      </w:r>
      <w:r w:rsidR="00B9555F">
        <w:rPr>
          <w:noProof/>
        </w:rPr>
        <w:fldChar w:fldCharType="end"/>
      </w:r>
      <w:r>
        <w:t>: Approximate grouping of issues by production stage for solid waste streams</w:t>
      </w:r>
    </w:p>
    <w:tbl>
      <w:tblPr>
        <w:tblW w:w="8637" w:type="dxa"/>
        <w:tblInd w:w="1134" w:type="dxa"/>
        <w:tblBorders>
          <w:insideH w:val="single" w:sz="4" w:space="0" w:color="FFFFFF" w:themeColor="background1"/>
        </w:tblBorders>
        <w:tblLayout w:type="fixed"/>
        <w:tblLook w:val="04A0"/>
      </w:tblPr>
      <w:tblGrid>
        <w:gridCol w:w="1550"/>
        <w:gridCol w:w="2362"/>
        <w:gridCol w:w="2362"/>
        <w:gridCol w:w="2363"/>
      </w:tblGrid>
      <w:tr w:rsidR="00D033D3" w:rsidRPr="000C242B" w:rsidTr="00D033D3">
        <w:trPr>
          <w:trHeight w:val="340"/>
        </w:trPr>
        <w:tc>
          <w:tcPr>
            <w:tcW w:w="1550" w:type="dxa"/>
            <w:tcBorders>
              <w:top w:val="nil"/>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0C242B" w:rsidRDefault="00D033D3" w:rsidP="00D033D3">
            <w:pPr>
              <w:keepNext/>
              <w:spacing w:after="60" w:line="240" w:lineRule="auto"/>
              <w:rPr>
                <w:rFonts w:cs="Arial"/>
                <w:b/>
                <w:bCs/>
                <w:color w:val="000000"/>
                <w:sz w:val="18"/>
                <w:szCs w:val="18"/>
                <w:lang w:eastAsia="en-AU"/>
              </w:rPr>
            </w:pPr>
            <w:r>
              <w:rPr>
                <w:rFonts w:cs="Arial"/>
                <w:b/>
                <w:bCs/>
                <w:color w:val="000000"/>
                <w:sz w:val="18"/>
                <w:szCs w:val="18"/>
                <w:lang w:eastAsia="en-AU"/>
              </w:rPr>
              <w:t>Waste stream</w:t>
            </w:r>
          </w:p>
        </w:tc>
        <w:tc>
          <w:tcPr>
            <w:tcW w:w="2362" w:type="dxa"/>
            <w:tcBorders>
              <w:top w:val="nil"/>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0C242B" w:rsidRDefault="00D033D3" w:rsidP="00D033D3">
            <w:pPr>
              <w:keepNext/>
              <w:spacing w:after="60" w:line="240" w:lineRule="auto"/>
              <w:ind w:left="198" w:right="-57"/>
              <w:rPr>
                <w:rFonts w:cs="Arial"/>
                <w:b/>
                <w:bCs/>
                <w:sz w:val="18"/>
                <w:szCs w:val="18"/>
                <w:lang w:eastAsia="en-AU"/>
              </w:rPr>
            </w:pPr>
            <w:r w:rsidRPr="000C242B">
              <w:rPr>
                <w:rFonts w:cs="Arial"/>
                <w:b/>
                <w:bCs/>
                <w:sz w:val="18"/>
                <w:szCs w:val="18"/>
                <w:lang w:eastAsia="en-AU"/>
              </w:rPr>
              <w:t>Primary</w:t>
            </w:r>
            <w:r w:rsidRPr="008B3632">
              <w:rPr>
                <w:rFonts w:cs="Arial"/>
                <w:b/>
                <w:bCs/>
                <w:sz w:val="18"/>
                <w:szCs w:val="18"/>
                <w:lang w:eastAsia="en-AU"/>
              </w:rPr>
              <w:t xml:space="preserve"> production</w:t>
            </w:r>
          </w:p>
        </w:tc>
        <w:tc>
          <w:tcPr>
            <w:tcW w:w="2362" w:type="dxa"/>
            <w:tcBorders>
              <w:top w:val="nil"/>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0C242B" w:rsidRDefault="00D033D3" w:rsidP="00D033D3">
            <w:pPr>
              <w:keepNext/>
              <w:spacing w:after="60" w:line="240" w:lineRule="auto"/>
              <w:ind w:left="198" w:right="-57"/>
              <w:rPr>
                <w:rFonts w:cs="Arial"/>
                <w:b/>
                <w:bCs/>
                <w:sz w:val="18"/>
                <w:szCs w:val="18"/>
                <w:lang w:eastAsia="en-AU"/>
              </w:rPr>
            </w:pPr>
            <w:r w:rsidRPr="000C242B">
              <w:rPr>
                <w:rFonts w:cs="Arial"/>
                <w:b/>
                <w:bCs/>
                <w:sz w:val="18"/>
                <w:szCs w:val="18"/>
                <w:lang w:eastAsia="en-AU"/>
              </w:rPr>
              <w:t>Pre-consumer</w:t>
            </w:r>
          </w:p>
        </w:tc>
        <w:tc>
          <w:tcPr>
            <w:tcW w:w="2363" w:type="dxa"/>
            <w:tcBorders>
              <w:top w:val="nil"/>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0C242B" w:rsidRDefault="00D033D3" w:rsidP="00D033D3">
            <w:pPr>
              <w:keepNext/>
              <w:spacing w:after="60" w:line="240" w:lineRule="auto"/>
              <w:ind w:left="198" w:right="-57"/>
              <w:rPr>
                <w:rFonts w:cs="Arial"/>
                <w:b/>
                <w:bCs/>
                <w:sz w:val="18"/>
                <w:szCs w:val="18"/>
                <w:lang w:eastAsia="en-AU"/>
              </w:rPr>
            </w:pPr>
            <w:r w:rsidRPr="000C242B">
              <w:rPr>
                <w:rFonts w:cs="Arial"/>
                <w:b/>
                <w:bCs/>
                <w:sz w:val="18"/>
                <w:szCs w:val="18"/>
                <w:lang w:eastAsia="en-AU"/>
              </w:rPr>
              <w:t>Post-consumer</w:t>
            </w:r>
          </w:p>
        </w:tc>
      </w:tr>
      <w:tr w:rsidR="00D033D3" w:rsidRPr="000C242B" w:rsidTr="00D033D3">
        <w:trPr>
          <w:trHeight w:val="567"/>
        </w:trPr>
        <w:tc>
          <w:tcPr>
            <w:tcW w:w="1550" w:type="dxa"/>
            <w:tcBorders>
              <w:top w:val="single" w:sz="4" w:space="0" w:color="FFFFFF" w:themeColor="background1"/>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0C242B" w:rsidRDefault="00D033D3" w:rsidP="00D033D3">
            <w:pPr>
              <w:keepNext/>
              <w:spacing w:after="60" w:line="240" w:lineRule="auto"/>
              <w:rPr>
                <w:rFonts w:cs="Arial"/>
                <w:color w:val="000000"/>
                <w:sz w:val="18"/>
                <w:szCs w:val="18"/>
                <w:lang w:eastAsia="en-AU"/>
              </w:rPr>
            </w:pPr>
            <w:r w:rsidRPr="000C242B">
              <w:rPr>
                <w:rFonts w:cs="Arial"/>
                <w:color w:val="000000"/>
                <w:sz w:val="18"/>
                <w:szCs w:val="18"/>
                <w:lang w:eastAsia="en-AU"/>
              </w:rPr>
              <w:t>Municipal</w:t>
            </w:r>
          </w:p>
        </w:tc>
        <w:tc>
          <w:tcPr>
            <w:tcW w:w="2362" w:type="dxa"/>
            <w:tcBorders>
              <w:top w:val="single" w:sz="4" w:space="0" w:color="FFFFFF" w:themeColor="background1"/>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8D2ED7" w:rsidRDefault="00D033D3" w:rsidP="00D033D3">
            <w:pPr>
              <w:keepNext/>
              <w:spacing w:after="60" w:line="240" w:lineRule="auto"/>
              <w:ind w:left="198" w:right="-57"/>
              <w:rPr>
                <w:rFonts w:cs="Arial"/>
                <w:sz w:val="18"/>
                <w:szCs w:val="18"/>
                <w:lang w:eastAsia="en-AU"/>
              </w:rPr>
            </w:pPr>
          </w:p>
        </w:tc>
        <w:tc>
          <w:tcPr>
            <w:tcW w:w="2362" w:type="dxa"/>
            <w:tcBorders>
              <w:top w:val="single" w:sz="4" w:space="0" w:color="FFFFFF" w:themeColor="background1"/>
              <w:bottom w:val="single" w:sz="4" w:space="0" w:color="FFFFFF" w:themeColor="background1"/>
            </w:tcBorders>
            <w:shd w:val="clear" w:color="auto" w:fill="FFFFFF" w:themeFill="background1"/>
            <w:noWrap/>
            <w:tcMar>
              <w:top w:w="85" w:type="dxa"/>
              <w:left w:w="85" w:type="dxa"/>
              <w:bottom w:w="85" w:type="dxa"/>
              <w:right w:w="57" w:type="dxa"/>
            </w:tcMar>
            <w:vAlign w:val="center"/>
            <w:hideMark/>
          </w:tcPr>
          <w:p w:rsidR="00D033D3" w:rsidRPr="000C242B" w:rsidRDefault="00D033D3" w:rsidP="00D033D3">
            <w:pPr>
              <w:keepNext/>
              <w:spacing w:after="60" w:line="240" w:lineRule="auto"/>
              <w:ind w:left="198" w:right="-57"/>
              <w:rPr>
                <w:rFonts w:cs="Arial"/>
                <w:color w:val="FFFFFF" w:themeColor="background1"/>
                <w:sz w:val="18"/>
                <w:szCs w:val="18"/>
                <w:lang w:eastAsia="en-AU"/>
              </w:rPr>
            </w:pPr>
          </w:p>
        </w:tc>
        <w:tc>
          <w:tcPr>
            <w:tcW w:w="2363" w:type="dxa"/>
            <w:vMerge w:val="restart"/>
            <w:tcBorders>
              <w:top w:val="single" w:sz="4" w:space="0" w:color="FFFFFF" w:themeColor="background1"/>
              <w:bottom w:val="single" w:sz="4" w:space="0" w:color="FFFFFF" w:themeColor="background1"/>
            </w:tcBorders>
            <w:shd w:val="clear" w:color="auto" w:fill="00519E"/>
            <w:noWrap/>
            <w:tcMar>
              <w:top w:w="85" w:type="dxa"/>
              <w:left w:w="85" w:type="dxa"/>
              <w:bottom w:w="85" w:type="dxa"/>
              <w:right w:w="57" w:type="dxa"/>
            </w:tcMar>
            <w:vAlign w:val="center"/>
            <w:hideMark/>
          </w:tcPr>
          <w:p w:rsidR="00D033D3" w:rsidRPr="000C242B" w:rsidRDefault="00D033D3" w:rsidP="00D033D3">
            <w:pPr>
              <w:keepNext/>
              <w:numPr>
                <w:ilvl w:val="0"/>
                <w:numId w:val="48"/>
              </w:numPr>
              <w:spacing w:after="60" w:line="240" w:lineRule="auto"/>
              <w:ind w:left="198" w:right="-57" w:hanging="142"/>
              <w:rPr>
                <w:rFonts w:cs="Arial"/>
                <w:color w:val="FFFFFF" w:themeColor="background1"/>
                <w:sz w:val="18"/>
                <w:szCs w:val="18"/>
                <w:lang w:eastAsia="en-AU"/>
              </w:rPr>
            </w:pPr>
            <w:r w:rsidRPr="000C242B">
              <w:rPr>
                <w:rFonts w:cs="Arial"/>
                <w:color w:val="FFFFFF" w:themeColor="background1"/>
                <w:sz w:val="18"/>
                <w:szCs w:val="18"/>
                <w:lang w:eastAsia="en-AU"/>
              </w:rPr>
              <w:t>Biosolids</w:t>
            </w:r>
          </w:p>
          <w:p w:rsidR="00D033D3" w:rsidRPr="000C242B" w:rsidRDefault="00D033D3" w:rsidP="00D033D3">
            <w:pPr>
              <w:keepNext/>
              <w:numPr>
                <w:ilvl w:val="0"/>
                <w:numId w:val="48"/>
              </w:numPr>
              <w:spacing w:after="60"/>
              <w:ind w:left="198" w:right="-57" w:hanging="142"/>
              <w:rPr>
                <w:rFonts w:cs="Arial"/>
                <w:color w:val="FFFFFF" w:themeColor="background1"/>
                <w:sz w:val="18"/>
                <w:szCs w:val="18"/>
                <w:lang w:eastAsia="en-AU"/>
              </w:rPr>
            </w:pPr>
            <w:r w:rsidRPr="000C242B">
              <w:rPr>
                <w:rFonts w:cs="Arial"/>
                <w:color w:val="FFFFFF" w:themeColor="background1"/>
                <w:sz w:val="18"/>
                <w:szCs w:val="18"/>
                <w:lang w:eastAsia="en-AU"/>
              </w:rPr>
              <w:t>C&amp;I waste collected by Councils</w:t>
            </w:r>
          </w:p>
        </w:tc>
      </w:tr>
      <w:tr w:rsidR="00D033D3" w:rsidRPr="000C242B" w:rsidTr="00D033D3">
        <w:trPr>
          <w:trHeight w:val="454"/>
        </w:trPr>
        <w:tc>
          <w:tcPr>
            <w:tcW w:w="1550" w:type="dxa"/>
            <w:tcBorders>
              <w:top w:val="single" w:sz="4" w:space="0" w:color="FFFFFF" w:themeColor="background1"/>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0C242B" w:rsidRDefault="00D033D3" w:rsidP="00D033D3">
            <w:pPr>
              <w:keepNext/>
              <w:spacing w:after="60" w:line="240" w:lineRule="auto"/>
              <w:rPr>
                <w:rFonts w:cs="Arial"/>
                <w:color w:val="000000"/>
                <w:sz w:val="18"/>
                <w:szCs w:val="18"/>
                <w:lang w:eastAsia="en-AU"/>
              </w:rPr>
            </w:pPr>
            <w:r w:rsidRPr="000C242B">
              <w:rPr>
                <w:rFonts w:cs="Arial"/>
                <w:color w:val="000000"/>
                <w:sz w:val="18"/>
                <w:szCs w:val="18"/>
                <w:lang w:eastAsia="en-AU"/>
              </w:rPr>
              <w:t>C&amp;I</w:t>
            </w:r>
          </w:p>
        </w:tc>
        <w:tc>
          <w:tcPr>
            <w:tcW w:w="2362" w:type="dxa"/>
            <w:tcBorders>
              <w:top w:val="single" w:sz="4" w:space="0" w:color="FFFFFF" w:themeColor="background1"/>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8D2ED7" w:rsidRDefault="00D033D3" w:rsidP="00D033D3">
            <w:pPr>
              <w:keepNext/>
              <w:numPr>
                <w:ilvl w:val="0"/>
                <w:numId w:val="48"/>
              </w:numPr>
              <w:spacing w:after="60" w:line="240" w:lineRule="auto"/>
              <w:ind w:left="198" w:right="-57" w:hanging="142"/>
              <w:rPr>
                <w:rFonts w:cs="Arial"/>
                <w:sz w:val="18"/>
                <w:szCs w:val="18"/>
                <w:lang w:eastAsia="en-AU"/>
              </w:rPr>
            </w:pPr>
            <w:r w:rsidRPr="008D2ED7">
              <w:rPr>
                <w:rFonts w:cs="Arial"/>
                <w:sz w:val="18"/>
                <w:szCs w:val="18"/>
                <w:lang w:eastAsia="en-AU"/>
              </w:rPr>
              <w:t>Bark and sawdust from forestry operations</w:t>
            </w:r>
          </w:p>
          <w:p w:rsidR="00D033D3" w:rsidRPr="008D2ED7" w:rsidRDefault="00D033D3" w:rsidP="00D033D3">
            <w:pPr>
              <w:keepNext/>
              <w:numPr>
                <w:ilvl w:val="0"/>
                <w:numId w:val="48"/>
              </w:numPr>
              <w:spacing w:after="60" w:line="240" w:lineRule="auto"/>
              <w:ind w:left="198" w:right="-57" w:hanging="142"/>
              <w:rPr>
                <w:rFonts w:cs="Arial"/>
                <w:sz w:val="18"/>
                <w:szCs w:val="18"/>
                <w:lang w:eastAsia="en-AU"/>
              </w:rPr>
            </w:pPr>
            <w:r w:rsidRPr="008D2ED7">
              <w:rPr>
                <w:rFonts w:cs="Arial"/>
                <w:sz w:val="18"/>
                <w:szCs w:val="18"/>
                <w:lang w:eastAsia="en-AU"/>
              </w:rPr>
              <w:t>Mining and mineral processing wastes</w:t>
            </w:r>
          </w:p>
          <w:p w:rsidR="00D033D3" w:rsidRPr="008D2ED7" w:rsidRDefault="00D033D3" w:rsidP="00D033D3">
            <w:pPr>
              <w:keepNext/>
              <w:numPr>
                <w:ilvl w:val="0"/>
                <w:numId w:val="48"/>
              </w:numPr>
              <w:spacing w:after="60" w:line="240" w:lineRule="auto"/>
              <w:ind w:left="198" w:right="-57" w:hanging="142"/>
              <w:rPr>
                <w:rFonts w:cs="Arial"/>
                <w:sz w:val="18"/>
                <w:szCs w:val="18"/>
                <w:lang w:eastAsia="en-AU"/>
              </w:rPr>
            </w:pPr>
            <w:r w:rsidRPr="008D2ED7">
              <w:rPr>
                <w:rFonts w:cs="Arial"/>
                <w:sz w:val="18"/>
                <w:szCs w:val="18"/>
                <w:lang w:eastAsia="en-AU"/>
              </w:rPr>
              <w:t>Agricultural wastes</w:t>
            </w:r>
          </w:p>
        </w:tc>
        <w:tc>
          <w:tcPr>
            <w:tcW w:w="2362" w:type="dxa"/>
            <w:tcBorders>
              <w:top w:val="single" w:sz="4" w:space="0" w:color="FFFFFF" w:themeColor="background1"/>
              <w:bottom w:val="single" w:sz="4" w:space="0" w:color="FFFFFF" w:themeColor="background1"/>
            </w:tcBorders>
            <w:shd w:val="clear" w:color="auto" w:fill="009EE0"/>
            <w:noWrap/>
            <w:tcMar>
              <w:top w:w="85" w:type="dxa"/>
              <w:left w:w="85" w:type="dxa"/>
              <w:bottom w:w="85" w:type="dxa"/>
              <w:right w:w="57" w:type="dxa"/>
            </w:tcMar>
            <w:vAlign w:val="center"/>
            <w:hideMark/>
          </w:tcPr>
          <w:p w:rsidR="00D033D3" w:rsidRPr="007F72E7" w:rsidRDefault="00D033D3" w:rsidP="00D033D3">
            <w:pPr>
              <w:keepNext/>
              <w:numPr>
                <w:ilvl w:val="0"/>
                <w:numId w:val="48"/>
              </w:numPr>
              <w:spacing w:after="60" w:line="240" w:lineRule="auto"/>
              <w:ind w:left="198" w:right="-57" w:hanging="142"/>
              <w:rPr>
                <w:rFonts w:cs="Arial"/>
                <w:color w:val="FFFFFF" w:themeColor="background1"/>
                <w:sz w:val="18"/>
                <w:szCs w:val="18"/>
                <w:lang w:eastAsia="en-AU"/>
              </w:rPr>
            </w:pPr>
            <w:r w:rsidRPr="000C242B">
              <w:rPr>
                <w:rFonts w:cs="Arial"/>
                <w:color w:val="FFFFFF" w:themeColor="background1"/>
                <w:sz w:val="18"/>
                <w:szCs w:val="18"/>
                <w:lang w:eastAsia="en-AU"/>
              </w:rPr>
              <w:t>Fly ash</w:t>
            </w:r>
          </w:p>
        </w:tc>
        <w:tc>
          <w:tcPr>
            <w:tcW w:w="2363" w:type="dxa"/>
            <w:vMerge/>
            <w:tcBorders>
              <w:top w:val="single" w:sz="4" w:space="0" w:color="FFFFFF" w:themeColor="background1"/>
              <w:bottom w:val="single" w:sz="4" w:space="0" w:color="FFFFFF" w:themeColor="background1"/>
            </w:tcBorders>
            <w:shd w:val="clear" w:color="auto" w:fill="00519E"/>
            <w:noWrap/>
            <w:tcMar>
              <w:top w:w="85" w:type="dxa"/>
              <w:left w:w="85" w:type="dxa"/>
              <w:bottom w:w="85" w:type="dxa"/>
              <w:right w:w="57" w:type="dxa"/>
            </w:tcMar>
            <w:vAlign w:val="center"/>
            <w:hideMark/>
          </w:tcPr>
          <w:p w:rsidR="00D033D3" w:rsidRPr="000C242B" w:rsidRDefault="00D033D3" w:rsidP="00D033D3">
            <w:pPr>
              <w:keepNext/>
              <w:numPr>
                <w:ilvl w:val="0"/>
                <w:numId w:val="48"/>
              </w:numPr>
              <w:spacing w:after="60" w:line="240" w:lineRule="auto"/>
              <w:ind w:left="198" w:right="-57" w:hanging="142"/>
              <w:rPr>
                <w:rFonts w:cs="Arial"/>
                <w:color w:val="FFFFFF" w:themeColor="background1"/>
                <w:sz w:val="18"/>
                <w:szCs w:val="18"/>
                <w:lang w:eastAsia="en-AU"/>
              </w:rPr>
            </w:pPr>
          </w:p>
        </w:tc>
      </w:tr>
      <w:tr w:rsidR="00D033D3" w:rsidRPr="000C242B" w:rsidTr="00D033D3">
        <w:trPr>
          <w:trHeight w:val="1113"/>
        </w:trPr>
        <w:tc>
          <w:tcPr>
            <w:tcW w:w="1550" w:type="dxa"/>
            <w:tcBorders>
              <w:top w:val="single" w:sz="4" w:space="0" w:color="FFFFFF" w:themeColor="background1"/>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0C242B" w:rsidRDefault="00D033D3" w:rsidP="00D033D3">
            <w:pPr>
              <w:keepNext/>
              <w:spacing w:after="60" w:line="240" w:lineRule="auto"/>
              <w:rPr>
                <w:rFonts w:cs="Arial"/>
                <w:color w:val="000000"/>
                <w:sz w:val="18"/>
                <w:szCs w:val="18"/>
                <w:lang w:eastAsia="en-AU"/>
              </w:rPr>
            </w:pPr>
            <w:r w:rsidRPr="000C242B">
              <w:rPr>
                <w:rFonts w:cs="Arial"/>
                <w:color w:val="000000"/>
                <w:sz w:val="18"/>
                <w:szCs w:val="18"/>
                <w:lang w:eastAsia="en-AU"/>
              </w:rPr>
              <w:t>C&amp;D</w:t>
            </w:r>
          </w:p>
        </w:tc>
        <w:tc>
          <w:tcPr>
            <w:tcW w:w="2362" w:type="dxa"/>
            <w:tcBorders>
              <w:top w:val="single" w:sz="4" w:space="0" w:color="FFFFFF" w:themeColor="background1"/>
              <w:bottom w:val="single" w:sz="4" w:space="0" w:color="FFFFFF" w:themeColor="background1"/>
            </w:tcBorders>
            <w:shd w:val="clear" w:color="auto" w:fill="009EE0"/>
            <w:noWrap/>
            <w:tcMar>
              <w:top w:w="85" w:type="dxa"/>
              <w:left w:w="85" w:type="dxa"/>
              <w:bottom w:w="85" w:type="dxa"/>
              <w:right w:w="57" w:type="dxa"/>
            </w:tcMar>
            <w:vAlign w:val="center"/>
            <w:hideMark/>
          </w:tcPr>
          <w:p w:rsidR="00D033D3" w:rsidRPr="008B3632" w:rsidRDefault="00D033D3" w:rsidP="00D033D3">
            <w:pPr>
              <w:keepNext/>
              <w:numPr>
                <w:ilvl w:val="0"/>
                <w:numId w:val="48"/>
              </w:numPr>
              <w:spacing w:after="60" w:line="240" w:lineRule="auto"/>
              <w:ind w:left="198" w:right="-57" w:hanging="142"/>
              <w:rPr>
                <w:rFonts w:cs="Arial"/>
                <w:color w:val="FFFFFF" w:themeColor="background1"/>
                <w:sz w:val="18"/>
                <w:szCs w:val="18"/>
                <w:lang w:eastAsia="en-AU"/>
              </w:rPr>
            </w:pPr>
            <w:r w:rsidRPr="000C242B">
              <w:rPr>
                <w:rFonts w:cs="Arial"/>
                <w:color w:val="FFFFFF" w:themeColor="background1"/>
                <w:sz w:val="18"/>
                <w:szCs w:val="18"/>
                <w:lang w:eastAsia="en-AU"/>
              </w:rPr>
              <w:t>Soil, sand and rock</w:t>
            </w:r>
          </w:p>
          <w:p w:rsidR="00D033D3" w:rsidRPr="000C242B" w:rsidRDefault="00D033D3" w:rsidP="00D033D3">
            <w:pPr>
              <w:keepNext/>
              <w:numPr>
                <w:ilvl w:val="0"/>
                <w:numId w:val="48"/>
              </w:numPr>
              <w:spacing w:after="60" w:line="240" w:lineRule="auto"/>
              <w:ind w:left="198" w:right="-57" w:hanging="142"/>
              <w:rPr>
                <w:rFonts w:cs="Arial"/>
                <w:color w:val="FFFFFF" w:themeColor="background1"/>
                <w:sz w:val="18"/>
                <w:szCs w:val="18"/>
                <w:lang w:eastAsia="en-AU"/>
              </w:rPr>
            </w:pPr>
            <w:r w:rsidRPr="000C242B">
              <w:rPr>
                <w:rFonts w:cs="Arial"/>
                <w:color w:val="FFFFFF" w:themeColor="background1"/>
                <w:sz w:val="18"/>
                <w:szCs w:val="18"/>
                <w:lang w:eastAsia="en-AU"/>
              </w:rPr>
              <w:t>Daily and intermediate landfill cover</w:t>
            </w:r>
          </w:p>
        </w:tc>
        <w:tc>
          <w:tcPr>
            <w:tcW w:w="2362" w:type="dxa"/>
            <w:tcBorders>
              <w:top w:val="single" w:sz="4" w:space="0" w:color="FFFFFF" w:themeColor="background1"/>
              <w:bottom w:val="single" w:sz="4" w:space="0" w:color="FFFFFF" w:themeColor="background1"/>
            </w:tcBorders>
            <w:shd w:val="clear" w:color="auto" w:fill="009EE0"/>
            <w:noWrap/>
            <w:tcMar>
              <w:top w:w="85" w:type="dxa"/>
              <w:left w:w="85" w:type="dxa"/>
              <w:bottom w:w="85" w:type="dxa"/>
              <w:right w:w="57" w:type="dxa"/>
            </w:tcMar>
            <w:vAlign w:val="center"/>
            <w:hideMark/>
          </w:tcPr>
          <w:p w:rsidR="00D033D3" w:rsidRPr="000C242B" w:rsidRDefault="00D033D3" w:rsidP="00D033D3">
            <w:pPr>
              <w:keepNext/>
              <w:spacing w:after="60" w:line="240" w:lineRule="auto"/>
              <w:ind w:left="198" w:right="-57"/>
              <w:rPr>
                <w:rFonts w:cs="Arial"/>
                <w:color w:val="FFFFFF" w:themeColor="background1"/>
                <w:sz w:val="18"/>
                <w:szCs w:val="18"/>
                <w:lang w:eastAsia="en-AU"/>
              </w:rPr>
            </w:pPr>
          </w:p>
        </w:tc>
        <w:tc>
          <w:tcPr>
            <w:tcW w:w="2363" w:type="dxa"/>
            <w:tcBorders>
              <w:top w:val="single" w:sz="4" w:space="0" w:color="FFFFFF" w:themeColor="background1"/>
              <w:bottom w:val="single" w:sz="4" w:space="0" w:color="FFFFFF" w:themeColor="background1"/>
            </w:tcBorders>
            <w:shd w:val="clear" w:color="auto" w:fill="00519E"/>
            <w:noWrap/>
            <w:tcMar>
              <w:top w:w="85" w:type="dxa"/>
              <w:left w:w="85" w:type="dxa"/>
              <w:bottom w:w="85" w:type="dxa"/>
              <w:right w:w="57" w:type="dxa"/>
            </w:tcMar>
            <w:vAlign w:val="center"/>
            <w:hideMark/>
          </w:tcPr>
          <w:p w:rsidR="00D033D3" w:rsidRPr="000C242B" w:rsidRDefault="00D033D3" w:rsidP="00D033D3">
            <w:pPr>
              <w:keepNext/>
              <w:numPr>
                <w:ilvl w:val="0"/>
                <w:numId w:val="48"/>
              </w:numPr>
              <w:spacing w:after="60" w:line="240" w:lineRule="auto"/>
              <w:ind w:left="198" w:right="-57" w:hanging="142"/>
              <w:rPr>
                <w:rFonts w:cs="Arial"/>
                <w:color w:val="FFFFFF" w:themeColor="background1"/>
                <w:sz w:val="18"/>
                <w:szCs w:val="18"/>
                <w:lang w:eastAsia="en-AU"/>
              </w:rPr>
            </w:pPr>
            <w:r w:rsidRPr="000C242B">
              <w:rPr>
                <w:rFonts w:cs="Arial"/>
                <w:color w:val="FFFFFF" w:themeColor="background1"/>
                <w:sz w:val="18"/>
                <w:szCs w:val="18"/>
                <w:lang w:eastAsia="en-AU"/>
              </w:rPr>
              <w:t>C&amp;D waste collected in municipal or C&amp;I waste streams</w:t>
            </w:r>
          </w:p>
        </w:tc>
      </w:tr>
      <w:tr w:rsidR="00D033D3" w:rsidRPr="000C242B" w:rsidTr="00D033D3">
        <w:trPr>
          <w:trHeight w:hRule="exact" w:val="170"/>
        </w:trPr>
        <w:tc>
          <w:tcPr>
            <w:tcW w:w="1550" w:type="dxa"/>
            <w:tcBorders>
              <w:top w:val="single" w:sz="4" w:space="0" w:color="FFFFFF" w:themeColor="background1"/>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0C242B" w:rsidRDefault="00D033D3" w:rsidP="00D033D3">
            <w:pPr>
              <w:keepNext/>
              <w:spacing w:after="60" w:line="240" w:lineRule="auto"/>
              <w:rPr>
                <w:rFonts w:cs="Arial"/>
                <w:color w:val="000000"/>
                <w:sz w:val="18"/>
                <w:szCs w:val="18"/>
                <w:lang w:eastAsia="en-AU"/>
              </w:rPr>
            </w:pPr>
          </w:p>
        </w:tc>
        <w:tc>
          <w:tcPr>
            <w:tcW w:w="7087" w:type="dxa"/>
            <w:gridSpan w:val="3"/>
            <w:tcBorders>
              <w:top w:val="single" w:sz="4" w:space="0" w:color="FFFFFF" w:themeColor="background1"/>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0C242B" w:rsidRDefault="00D033D3" w:rsidP="00D033D3">
            <w:pPr>
              <w:pStyle w:val="Footer0"/>
              <w:keepNext/>
              <w:rPr>
                <w:lang w:eastAsia="en-AU"/>
              </w:rPr>
            </w:pPr>
          </w:p>
        </w:tc>
      </w:tr>
      <w:tr w:rsidR="00D033D3" w:rsidRPr="000C242B" w:rsidTr="00D033D3">
        <w:trPr>
          <w:trHeight w:val="142"/>
        </w:trPr>
        <w:tc>
          <w:tcPr>
            <w:tcW w:w="1550" w:type="dxa"/>
            <w:tcBorders>
              <w:top w:val="single" w:sz="4" w:space="0" w:color="FFFFFF" w:themeColor="background1"/>
              <w:bottom w:val="single" w:sz="4" w:space="0" w:color="FFFFFF" w:themeColor="background1"/>
            </w:tcBorders>
            <w:shd w:val="clear" w:color="auto" w:fill="auto"/>
            <w:noWrap/>
            <w:tcMar>
              <w:top w:w="85" w:type="dxa"/>
              <w:left w:w="85" w:type="dxa"/>
              <w:bottom w:w="85" w:type="dxa"/>
              <w:right w:w="57" w:type="dxa"/>
            </w:tcMar>
            <w:vAlign w:val="center"/>
            <w:hideMark/>
          </w:tcPr>
          <w:p w:rsidR="00D033D3" w:rsidRPr="001F34B3" w:rsidRDefault="00D033D3" w:rsidP="00D033D3">
            <w:pPr>
              <w:keepNext/>
              <w:spacing w:after="60" w:line="240" w:lineRule="auto"/>
              <w:rPr>
                <w:rFonts w:cs="Arial"/>
                <w:i/>
                <w:color w:val="000000"/>
                <w:sz w:val="16"/>
                <w:szCs w:val="16"/>
                <w:lang w:eastAsia="en-AU"/>
              </w:rPr>
            </w:pPr>
            <w:r w:rsidRPr="001F34B3">
              <w:rPr>
                <w:rFonts w:cs="Arial"/>
                <w:i/>
                <w:color w:val="000000"/>
                <w:sz w:val="16"/>
                <w:szCs w:val="16"/>
                <w:lang w:eastAsia="en-AU"/>
              </w:rPr>
              <w:t>Key:</w:t>
            </w:r>
          </w:p>
        </w:tc>
        <w:tc>
          <w:tcPr>
            <w:tcW w:w="4724" w:type="dxa"/>
            <w:gridSpan w:val="2"/>
            <w:tcBorders>
              <w:top w:val="single" w:sz="4" w:space="0" w:color="FFFFFF" w:themeColor="background1"/>
              <w:bottom w:val="single" w:sz="4" w:space="0" w:color="FFFFFF" w:themeColor="background1"/>
            </w:tcBorders>
            <w:shd w:val="clear" w:color="auto" w:fill="009EE0"/>
            <w:noWrap/>
            <w:tcMar>
              <w:top w:w="85" w:type="dxa"/>
              <w:left w:w="85" w:type="dxa"/>
              <w:bottom w:w="85" w:type="dxa"/>
              <w:right w:w="57" w:type="dxa"/>
            </w:tcMar>
            <w:vAlign w:val="center"/>
            <w:hideMark/>
          </w:tcPr>
          <w:p w:rsidR="00D033D3" w:rsidRPr="001F34B3" w:rsidRDefault="00D033D3" w:rsidP="00D033D3">
            <w:pPr>
              <w:pStyle w:val="Footer0"/>
              <w:keepNext/>
              <w:rPr>
                <w:i/>
                <w:color w:val="FFFFFF" w:themeColor="background1"/>
                <w:szCs w:val="16"/>
                <w:lang w:eastAsia="en-AU"/>
              </w:rPr>
            </w:pPr>
            <w:r w:rsidRPr="001F34B3">
              <w:rPr>
                <w:i/>
                <w:color w:val="FFFFFF" w:themeColor="background1"/>
                <w:szCs w:val="16"/>
                <w:lang w:eastAsia="en-AU"/>
              </w:rPr>
              <w:t>Included in the scope, but reported separately</w:t>
            </w:r>
          </w:p>
        </w:tc>
        <w:tc>
          <w:tcPr>
            <w:tcW w:w="2363" w:type="dxa"/>
            <w:tcBorders>
              <w:top w:val="single" w:sz="4" w:space="0" w:color="FFFFFF" w:themeColor="background1"/>
              <w:bottom w:val="single" w:sz="4" w:space="0" w:color="FFFFFF" w:themeColor="background1"/>
            </w:tcBorders>
            <w:shd w:val="clear" w:color="auto" w:fill="00519E"/>
            <w:vAlign w:val="center"/>
          </w:tcPr>
          <w:p w:rsidR="00D033D3" w:rsidRPr="001F34B3" w:rsidRDefault="00D033D3" w:rsidP="00D033D3">
            <w:pPr>
              <w:pStyle w:val="Footer0"/>
              <w:keepNext/>
              <w:rPr>
                <w:i/>
                <w:color w:val="FFFFFF" w:themeColor="background1"/>
                <w:szCs w:val="16"/>
                <w:lang w:eastAsia="en-AU"/>
              </w:rPr>
            </w:pPr>
            <w:r w:rsidRPr="001F34B3">
              <w:rPr>
                <w:i/>
                <w:color w:val="FFFFFF" w:themeColor="background1"/>
                <w:szCs w:val="16"/>
                <w:lang w:eastAsia="en-AU"/>
              </w:rPr>
              <w:t>Included in the scope</w:t>
            </w:r>
          </w:p>
        </w:tc>
      </w:tr>
    </w:tbl>
    <w:p w:rsidR="00D033D3" w:rsidRPr="00D5271B" w:rsidRDefault="00D033D3" w:rsidP="00D033D3">
      <w:pPr>
        <w:pStyle w:val="ParaIndent"/>
        <w:spacing w:before="60"/>
        <w:rPr>
          <w:sz w:val="18"/>
          <w:szCs w:val="18"/>
        </w:rPr>
      </w:pPr>
      <w:r w:rsidRPr="00D5271B">
        <w:rPr>
          <w:sz w:val="18"/>
          <w:szCs w:val="18"/>
        </w:rPr>
        <w:t xml:space="preserve">Hazardous waste arises at multiple points in the production stage, and in multiple waste streams, and has subsequently been excluded from inclusion in this table. </w:t>
      </w:r>
    </w:p>
    <w:p w:rsidR="00D033D3" w:rsidRDefault="00D033D3">
      <w:pPr>
        <w:pStyle w:val="ParaIndent"/>
        <w:ind w:left="1701" w:hanging="567"/>
      </w:pPr>
    </w:p>
    <w:p w:rsidR="00D033D3" w:rsidRDefault="00D033D3">
      <w:pPr>
        <w:pStyle w:val="ParaIndent"/>
        <w:ind w:left="1701" w:hanging="567"/>
      </w:pPr>
      <w:r>
        <w:t>N.B.</w:t>
      </w:r>
      <w:r>
        <w:tab/>
        <w:t>The recommended exclusion or separate treatment of any particular wastes for waste and recycling reporting should not be seen as a suggestion that these wastes should be exempt from, or eligible for discounted fees or charges relating to the disposal of waste, in particular landfill levies. To the contrary, there is often good reason to maintain consistent landfill levies on all wastes disposed to landfill so as to discourage or prevent dishonest disclosure regarding the composition of waste.</w:t>
      </w:r>
    </w:p>
    <w:p w:rsidR="00D033D3" w:rsidRDefault="00D033D3" w:rsidP="00D033D3">
      <w:pPr>
        <w:pStyle w:val="Heading2"/>
        <w:spacing w:before="480" w:after="180"/>
      </w:pPr>
      <w:r w:rsidRPr="00BA1FF7">
        <w:t>Measurement</w:t>
      </w:r>
    </w:p>
    <w:p w:rsidR="00D033D3" w:rsidRDefault="00D033D3" w:rsidP="00D033D3">
      <w:pPr>
        <w:pStyle w:val="ParaIndent"/>
        <w:spacing w:after="120"/>
        <w:rPr>
          <w:lang w:eastAsia="en-AU"/>
        </w:rPr>
      </w:pPr>
      <w:r>
        <w:rPr>
          <w:lang w:eastAsia="en-AU"/>
        </w:rPr>
        <w:t>Data on products and materials</w:t>
      </w:r>
      <w:r w:rsidRPr="003C3E8C">
        <w:rPr>
          <w:lang w:eastAsia="en-AU"/>
        </w:rPr>
        <w:t xml:space="preserve"> </w:t>
      </w:r>
      <w:r>
        <w:rPr>
          <w:lang w:eastAsia="en-AU"/>
        </w:rPr>
        <w:t>within the scope of</w:t>
      </w:r>
      <w:r w:rsidRPr="003C3E8C">
        <w:rPr>
          <w:lang w:eastAsia="en-AU"/>
        </w:rPr>
        <w:t xml:space="preserve"> national waste and recycling reporting should be</w:t>
      </w:r>
      <w:r>
        <w:rPr>
          <w:lang w:eastAsia="en-AU"/>
        </w:rPr>
        <w:t xml:space="preserve"> given for each of the following measurement parameters:</w:t>
      </w:r>
    </w:p>
    <w:p w:rsidR="00D033D3" w:rsidRDefault="00D033D3" w:rsidP="00D033D3">
      <w:pPr>
        <w:pStyle w:val="PointsBullets"/>
        <w:rPr>
          <w:rFonts w:ascii="TTE27F29F0t00" w:hAnsi="TTE27F29F0t00" w:cs="TTE27F29F0t00"/>
          <w:lang w:eastAsia="en-AU"/>
        </w:rPr>
      </w:pPr>
      <w:r>
        <w:rPr>
          <w:rFonts w:ascii="TTE27F29F0t00" w:hAnsi="TTE27F29F0t00" w:cs="TTE27F29F0t00"/>
          <w:lang w:eastAsia="en-AU"/>
        </w:rPr>
        <w:t>Destination (recycling, energy recovery or disposal)</w:t>
      </w:r>
    </w:p>
    <w:p w:rsidR="00D033D3" w:rsidRDefault="00D033D3" w:rsidP="00D033D3">
      <w:pPr>
        <w:pStyle w:val="PointsBullets"/>
        <w:rPr>
          <w:rFonts w:ascii="TTE27F29F0t00" w:hAnsi="TTE27F29F0t00" w:cs="TTE27F29F0t00"/>
          <w:lang w:eastAsia="en-AU"/>
        </w:rPr>
      </w:pPr>
      <w:r>
        <w:rPr>
          <w:rFonts w:ascii="TTE27F29F0t00" w:hAnsi="TTE27F29F0t00" w:cs="TTE27F29F0t00"/>
          <w:lang w:eastAsia="en-AU"/>
        </w:rPr>
        <w:t>Waste stream (Municipal, C&amp;I or C&amp;D)</w:t>
      </w:r>
    </w:p>
    <w:p w:rsidR="00D033D3" w:rsidRPr="003C3E8C" w:rsidRDefault="00D033D3" w:rsidP="00D033D3">
      <w:pPr>
        <w:pStyle w:val="PointsBullets"/>
        <w:rPr>
          <w:rFonts w:ascii="TTE27F29F0t00" w:hAnsi="TTE27F29F0t00" w:cs="TTE27F29F0t00"/>
          <w:lang w:eastAsia="en-AU"/>
        </w:rPr>
      </w:pPr>
      <w:r>
        <w:rPr>
          <w:rFonts w:ascii="TTE27F29F0t00" w:hAnsi="TTE27F29F0t00" w:cs="TTE27F29F0t00"/>
          <w:lang w:eastAsia="en-AU"/>
        </w:rPr>
        <w:t xml:space="preserve">Material composition (see breakdown provided in </w:t>
      </w:r>
      <w:r w:rsidR="00B9555F">
        <w:rPr>
          <w:rFonts w:ascii="TTE27F29F0t00" w:hAnsi="TTE27F29F0t00" w:cs="TTE27F29F0t00"/>
          <w:lang w:eastAsia="en-AU"/>
        </w:rPr>
        <w:fldChar w:fldCharType="begin"/>
      </w:r>
      <w:r>
        <w:rPr>
          <w:rFonts w:ascii="TTE27F29F0t00" w:hAnsi="TTE27F29F0t00" w:cs="TTE27F29F0t00"/>
          <w:lang w:eastAsia="en-AU"/>
        </w:rPr>
        <w:instrText xml:space="preserve"> REF _Ref272235454 \r \h </w:instrText>
      </w:r>
      <w:r w:rsidR="00B9555F">
        <w:rPr>
          <w:rFonts w:ascii="TTE27F29F0t00" w:hAnsi="TTE27F29F0t00" w:cs="TTE27F29F0t00"/>
          <w:lang w:eastAsia="en-AU"/>
        </w:rPr>
      </w:r>
      <w:r w:rsidR="00B9555F">
        <w:rPr>
          <w:rFonts w:ascii="TTE27F29F0t00" w:hAnsi="TTE27F29F0t00" w:cs="TTE27F29F0t00"/>
          <w:lang w:eastAsia="en-AU"/>
        </w:rPr>
        <w:fldChar w:fldCharType="separate"/>
      </w:r>
      <w:r w:rsidR="00AE7E3B">
        <w:rPr>
          <w:rFonts w:ascii="TTE27F29F0t00" w:hAnsi="TTE27F29F0t00" w:cs="TTE27F29F0t00"/>
          <w:lang w:eastAsia="en-AU"/>
        </w:rPr>
        <w:t>0</w:t>
      </w:r>
      <w:r w:rsidR="00B9555F">
        <w:rPr>
          <w:rFonts w:ascii="TTE27F29F0t00" w:hAnsi="TTE27F29F0t00" w:cs="TTE27F29F0t00"/>
          <w:lang w:eastAsia="en-AU"/>
        </w:rPr>
        <w:fldChar w:fldCharType="end"/>
      </w:r>
      <w:r>
        <w:rPr>
          <w:rFonts w:ascii="TTE27F29F0t00" w:hAnsi="TTE27F29F0t00" w:cs="TTE27F29F0t00"/>
          <w:lang w:eastAsia="en-AU"/>
        </w:rPr>
        <w:t>)</w:t>
      </w:r>
    </w:p>
    <w:p w:rsidR="00D033D3" w:rsidRPr="003C3E8C" w:rsidRDefault="00D033D3" w:rsidP="00D033D3">
      <w:pPr>
        <w:pStyle w:val="PointsBullets"/>
        <w:spacing w:after="180"/>
        <w:rPr>
          <w:rFonts w:ascii="TTE27F29F0t00" w:hAnsi="TTE27F29F0t00" w:cs="TTE27F29F0t00"/>
          <w:lang w:eastAsia="en-AU"/>
        </w:rPr>
      </w:pPr>
      <w:r>
        <w:rPr>
          <w:rFonts w:ascii="TTE27F29F0t00" w:hAnsi="TTE27F29F0t00" w:cs="TTE27F29F0t00"/>
          <w:lang w:eastAsia="en-AU"/>
        </w:rPr>
        <w:t>State or territory of origin (in both total weight and on a per capita basis).</w:t>
      </w:r>
    </w:p>
    <w:p w:rsidR="00D033D3" w:rsidRDefault="00D033D3" w:rsidP="00D033D3">
      <w:pPr>
        <w:pStyle w:val="ParaIndent"/>
        <w:rPr>
          <w:lang w:eastAsia="en-AU"/>
        </w:rPr>
      </w:pPr>
      <w:r>
        <w:rPr>
          <w:lang w:eastAsia="en-AU"/>
        </w:rPr>
        <w:t>Tables should be generated that present combinations of these measurement parameters.</w:t>
      </w:r>
    </w:p>
    <w:p w:rsidR="00D033D3" w:rsidRDefault="00D033D3" w:rsidP="00D033D3">
      <w:pPr>
        <w:pStyle w:val="ParaIndent"/>
        <w:keepNext/>
        <w:spacing w:after="120"/>
        <w:rPr>
          <w:lang w:eastAsia="en-AU"/>
        </w:rPr>
      </w:pPr>
      <w:r>
        <w:rPr>
          <w:lang w:eastAsia="en-AU"/>
        </w:rPr>
        <w:t>Tables should also be generated to show for each of the measurement parameters:</w:t>
      </w:r>
    </w:p>
    <w:p w:rsidR="00D033D3" w:rsidRDefault="00D033D3" w:rsidP="00D033D3">
      <w:pPr>
        <w:pStyle w:val="PointsBullets"/>
        <w:keepNext/>
        <w:rPr>
          <w:rFonts w:ascii="TTE27F29F0t00" w:hAnsi="TTE27F29F0t00" w:cs="TTE27F29F0t00"/>
          <w:lang w:eastAsia="en-AU"/>
        </w:rPr>
      </w:pPr>
      <w:r>
        <w:rPr>
          <w:rFonts w:ascii="TTE27F29F0t00" w:hAnsi="TTE27F29F0t00" w:cs="TTE27F29F0t00"/>
          <w:lang w:eastAsia="en-AU"/>
        </w:rPr>
        <w:t>Total weight of material disposed</w:t>
      </w:r>
    </w:p>
    <w:p w:rsidR="00D033D3" w:rsidRPr="003C3E8C" w:rsidRDefault="00D033D3" w:rsidP="00D033D3">
      <w:pPr>
        <w:pStyle w:val="PointsBullets"/>
        <w:keepNext/>
        <w:rPr>
          <w:rFonts w:ascii="TTE27F29F0t00" w:hAnsi="TTE27F29F0t00" w:cs="TTE27F29F0t00"/>
          <w:lang w:eastAsia="en-AU"/>
        </w:rPr>
      </w:pPr>
      <w:r w:rsidRPr="003C3E8C">
        <w:rPr>
          <w:rFonts w:ascii="TTE27F29F0t00" w:hAnsi="TTE27F29F0t00" w:cs="TTE27F29F0t00"/>
          <w:lang w:eastAsia="en-AU"/>
        </w:rPr>
        <w:t xml:space="preserve">Recycling rate (recycling as a function of total </w:t>
      </w:r>
      <w:r>
        <w:rPr>
          <w:rFonts w:ascii="TTE27F29F0t00" w:hAnsi="TTE27F29F0t00" w:cs="TTE27F29F0t00"/>
          <w:lang w:eastAsia="en-AU"/>
        </w:rPr>
        <w:t>weight of material disposed</w:t>
      </w:r>
      <w:r w:rsidRPr="003C3E8C">
        <w:rPr>
          <w:rFonts w:ascii="TTE27F29F0t00" w:hAnsi="TTE27F29F0t00" w:cs="TTE27F29F0t00"/>
          <w:lang w:eastAsia="en-AU"/>
        </w:rPr>
        <w:t>)</w:t>
      </w:r>
    </w:p>
    <w:p w:rsidR="00D033D3" w:rsidRDefault="00D033D3" w:rsidP="00D033D3">
      <w:pPr>
        <w:pStyle w:val="PointsBullets"/>
        <w:spacing w:after="180"/>
        <w:rPr>
          <w:rFonts w:ascii="TTE27F29F0t00" w:hAnsi="TTE27F29F0t00" w:cs="TTE27F29F0t00"/>
          <w:lang w:eastAsia="en-AU"/>
        </w:rPr>
      </w:pPr>
      <w:r w:rsidRPr="003C3E8C">
        <w:rPr>
          <w:rFonts w:ascii="TTE27F29F0t00" w:hAnsi="TTE27F29F0t00" w:cs="TTE27F29F0t00"/>
          <w:lang w:eastAsia="en-AU"/>
        </w:rPr>
        <w:t xml:space="preserve">Recovery rate (recycling and energy recovery as a function of total </w:t>
      </w:r>
      <w:r>
        <w:rPr>
          <w:rFonts w:ascii="TTE27F29F0t00" w:hAnsi="TTE27F29F0t00" w:cs="TTE27F29F0t00"/>
          <w:lang w:eastAsia="en-AU"/>
        </w:rPr>
        <w:t>weight of material disposed).</w:t>
      </w:r>
    </w:p>
    <w:p w:rsidR="00D033D3" w:rsidRDefault="00D033D3" w:rsidP="00D033D3">
      <w:pPr>
        <w:pStyle w:val="Heading3"/>
        <w:numPr>
          <w:ilvl w:val="2"/>
          <w:numId w:val="12"/>
        </w:numPr>
        <w:shd w:val="clear" w:color="auto" w:fill="auto"/>
      </w:pPr>
      <w:r>
        <w:t>Composition of waste streams</w:t>
      </w:r>
    </w:p>
    <w:p w:rsidR="00D033D3" w:rsidRDefault="00D033D3" w:rsidP="00D033D3">
      <w:pPr>
        <w:pStyle w:val="ParaIndent"/>
      </w:pPr>
      <w:r w:rsidRPr="00E92B56">
        <w:t xml:space="preserve">As noted in </w:t>
      </w:r>
      <w:fldSimple w:instr=" REF _Ref272214670 \r \h  \* MERGEFORMAT ">
        <w:r w:rsidR="00AE7E3B">
          <w:t>4.2</w:t>
        </w:r>
      </w:fldSimple>
      <w:r w:rsidRPr="00E92B56">
        <w:t xml:space="preserve">, establishing the composition of waste steams is important in gaining a more detailed understanding of the environmental and resource consumption impacts of waste generation, and recycling, energy recovery and </w:t>
      </w:r>
      <w:r>
        <w:t>disposal</w:t>
      </w:r>
      <w:r w:rsidRPr="00E92B56">
        <w:t>. Establishing the composition of waste streams also helps inform government and industry of products and materials that might be targeted for greater resource recovery, or where investment might be needed.</w:t>
      </w:r>
    </w:p>
    <w:p w:rsidR="00D033D3" w:rsidRDefault="00D033D3" w:rsidP="00D033D3">
      <w:pPr>
        <w:pStyle w:val="Caption0"/>
        <w:ind w:firstLine="0"/>
        <w:rPr>
          <w:rFonts w:ascii="Arial" w:hAnsi="Arial" w:cs="Arial"/>
        </w:rPr>
      </w:pPr>
      <w:bookmarkStart w:id="342" w:name="_Toc333908411"/>
      <w:r w:rsidRPr="0054494F">
        <w:rPr>
          <w:rFonts w:ascii="Arial" w:hAnsi="Arial" w:cs="Arial"/>
        </w:rPr>
        <w:t xml:space="preserve">Recommendation </w:t>
      </w:r>
      <w:r w:rsidR="00B9555F" w:rsidRPr="0054494F">
        <w:rPr>
          <w:rFonts w:ascii="Arial" w:hAnsi="Arial" w:cs="Arial"/>
        </w:rPr>
        <w:fldChar w:fldCharType="begin"/>
      </w:r>
      <w:r w:rsidRPr="0054494F">
        <w:rPr>
          <w:rFonts w:ascii="Arial" w:hAnsi="Arial" w:cs="Arial"/>
        </w:rPr>
        <w:instrText xml:space="preserve"> SEQ Recommendation \* ARABIC </w:instrText>
      </w:r>
      <w:r w:rsidR="00B9555F" w:rsidRPr="0054494F">
        <w:rPr>
          <w:rFonts w:ascii="Arial" w:hAnsi="Arial" w:cs="Arial"/>
        </w:rPr>
        <w:fldChar w:fldCharType="separate"/>
      </w:r>
      <w:r w:rsidR="00AE7E3B">
        <w:rPr>
          <w:rFonts w:ascii="Arial" w:hAnsi="Arial" w:cs="Arial"/>
          <w:noProof/>
        </w:rPr>
        <w:t>20</w:t>
      </w:r>
      <w:r w:rsidR="00B9555F" w:rsidRPr="0054494F">
        <w:rPr>
          <w:rFonts w:ascii="Arial" w:hAnsi="Arial" w:cs="Arial"/>
        </w:rPr>
        <w:fldChar w:fldCharType="end"/>
      </w:r>
      <w:r>
        <w:rPr>
          <w:rFonts w:ascii="Arial" w:hAnsi="Arial" w:cs="Arial"/>
        </w:rPr>
        <w:t xml:space="preserve">: A consistent set of materials should be used to report the composition of waste streams (see </w:t>
      </w:r>
      <w:fldSimple w:instr=" REF _Ref277152889 \h  \* MERGEFORMAT ">
        <w:r w:rsidR="008C199E" w:rsidRPr="008C199E">
          <w:rPr>
            <w:rFonts w:ascii="Arial" w:hAnsi="Arial" w:cs="Arial"/>
          </w:rPr>
          <w:t>Table 69</w:t>
        </w:r>
      </w:fldSimple>
      <w:r>
        <w:rPr>
          <w:rFonts w:ascii="Arial" w:hAnsi="Arial" w:cs="Arial"/>
        </w:rPr>
        <w:t>).</w:t>
      </w:r>
      <w:bookmarkEnd w:id="342"/>
    </w:p>
    <w:p w:rsidR="00D033D3" w:rsidRDefault="00D033D3" w:rsidP="00D033D3">
      <w:pPr>
        <w:pStyle w:val="ParaIndent"/>
        <w:keepNext/>
        <w:spacing w:after="120"/>
      </w:pPr>
      <w:r>
        <w:t>Some states and territories report on the composition of waste, though the practice is not widespread or consistent. Those jurisdictions that do report on the composition of waste use a similar set of materials. Where there are differences, they are usually with respect to:</w:t>
      </w:r>
    </w:p>
    <w:p w:rsidR="00D033D3" w:rsidRDefault="00D033D3" w:rsidP="00D033D3">
      <w:pPr>
        <w:pStyle w:val="ParaIndent"/>
        <w:keepNext/>
        <w:numPr>
          <w:ilvl w:val="0"/>
          <w:numId w:val="26"/>
        </w:numPr>
        <w:spacing w:after="120"/>
        <w:ind w:left="1701" w:hanging="567"/>
      </w:pPr>
      <w:r>
        <w:t>the grouping or separation of plastic polymer types</w:t>
      </w:r>
    </w:p>
    <w:p w:rsidR="00D033D3" w:rsidRDefault="00D033D3" w:rsidP="00D033D3">
      <w:pPr>
        <w:pStyle w:val="ParaIndent"/>
        <w:keepNext/>
        <w:numPr>
          <w:ilvl w:val="0"/>
          <w:numId w:val="26"/>
        </w:numPr>
        <w:spacing w:after="120"/>
        <w:ind w:left="1701" w:hanging="567"/>
      </w:pPr>
      <w:r>
        <w:t>the grouping or separation of organic materials, particularly whether food is identified separately</w:t>
      </w:r>
    </w:p>
    <w:p w:rsidR="00D033D3" w:rsidRDefault="00D033D3" w:rsidP="00D033D3">
      <w:pPr>
        <w:pStyle w:val="ParaIndent"/>
        <w:keepNext/>
        <w:numPr>
          <w:ilvl w:val="0"/>
          <w:numId w:val="26"/>
        </w:numPr>
        <w:spacing w:after="120"/>
        <w:ind w:left="1701" w:hanging="567"/>
      </w:pPr>
      <w:r>
        <w:t>the grouping or separation of C&amp;D materials, particularly whether soil is reported separately.</w:t>
      </w:r>
    </w:p>
    <w:p w:rsidR="00D033D3" w:rsidRDefault="00D033D3" w:rsidP="00D033D3">
      <w:pPr>
        <w:pStyle w:val="ParaIndent"/>
        <w:rPr>
          <w:lang w:eastAsia="en-AU"/>
        </w:rPr>
      </w:pPr>
      <w:r w:rsidDel="002315E5">
        <w:rPr>
          <w:lang w:eastAsia="en-AU"/>
        </w:rPr>
        <w:t>Those jurisdictions that do report on waste composition usually use the breakdown of waste streams, in combination with audits, to refine the overall product and material composition of waste and recycling.</w:t>
      </w:r>
    </w:p>
    <w:p w:rsidR="00D033D3" w:rsidRPr="003D498A" w:rsidRDefault="00D033D3" w:rsidP="00D033D3">
      <w:pPr>
        <w:pStyle w:val="ParaIndent"/>
        <w:rPr>
          <w:lang w:eastAsia="en-AU"/>
        </w:rPr>
      </w:pPr>
      <w:r w:rsidRPr="003D498A">
        <w:rPr>
          <w:lang w:eastAsia="en-AU"/>
        </w:rPr>
        <w:t>NSW councils are funded to undertake audits of municipal waste, and many do so, providing composition data on that stream. NSW undertakes audits of the C&amp;I stream to obtain compositional data, and obtain good data on C&amp;D material composition from source separated loads.</w:t>
      </w:r>
    </w:p>
    <w:p w:rsidR="00D033D3" w:rsidRPr="003D498A" w:rsidRDefault="00D033D3" w:rsidP="00D033D3">
      <w:pPr>
        <w:pStyle w:val="ParaIndent"/>
        <w:rPr>
          <w:lang w:eastAsia="en-AU"/>
        </w:rPr>
      </w:pPr>
      <w:r w:rsidRPr="003D498A">
        <w:rPr>
          <w:lang w:eastAsia="en-AU"/>
        </w:rPr>
        <w:t xml:space="preserve">Victoria also uses municipal audits as the principal source of data on the composition of municipal loads. Victoria </w:t>
      </w:r>
      <w:r>
        <w:rPr>
          <w:lang w:eastAsia="en-AU"/>
        </w:rPr>
        <w:t xml:space="preserve">also </w:t>
      </w:r>
      <w:r w:rsidRPr="003D498A">
        <w:rPr>
          <w:lang w:eastAsia="en-AU"/>
        </w:rPr>
        <w:t xml:space="preserve">undertakes audits of landfills approximately every five years, during which a visual assessment is made of </w:t>
      </w:r>
      <w:r>
        <w:rPr>
          <w:lang w:eastAsia="en-AU"/>
        </w:rPr>
        <w:t xml:space="preserve">municipal, </w:t>
      </w:r>
      <w:r w:rsidRPr="003D498A">
        <w:rPr>
          <w:lang w:eastAsia="en-AU"/>
        </w:rPr>
        <w:t>C&amp;I and C&amp;D loads to obtain compositional information.</w:t>
      </w:r>
      <w:r>
        <w:rPr>
          <w:lang w:eastAsia="en-AU"/>
        </w:rPr>
        <w:t xml:space="preserve"> However, no attempt is</w:t>
      </w:r>
      <w:r w:rsidRPr="00C05C25">
        <w:rPr>
          <w:lang w:eastAsia="en-AU"/>
        </w:rPr>
        <w:t xml:space="preserve"> made to assess the contents of </w:t>
      </w:r>
      <w:r>
        <w:rPr>
          <w:lang w:eastAsia="en-AU"/>
        </w:rPr>
        <w:t>closed</w:t>
      </w:r>
      <w:r w:rsidRPr="00C05C25">
        <w:rPr>
          <w:lang w:eastAsia="en-AU"/>
        </w:rPr>
        <w:t xml:space="preserve"> bags </w:t>
      </w:r>
      <w:r>
        <w:rPr>
          <w:lang w:eastAsia="en-AU"/>
        </w:rPr>
        <w:t>in</w:t>
      </w:r>
      <w:r w:rsidRPr="00C05C25">
        <w:rPr>
          <w:lang w:eastAsia="en-AU"/>
        </w:rPr>
        <w:t xml:space="preserve"> the C&amp;I and MSW streams.</w:t>
      </w:r>
    </w:p>
    <w:p w:rsidR="00D033D3" w:rsidRPr="003D498A" w:rsidRDefault="00D033D3" w:rsidP="00D033D3">
      <w:pPr>
        <w:pStyle w:val="ParaIndent"/>
        <w:rPr>
          <w:lang w:eastAsia="en-AU"/>
        </w:rPr>
      </w:pPr>
      <w:r w:rsidRPr="003D498A">
        <w:rPr>
          <w:lang w:eastAsia="en-AU"/>
        </w:rPr>
        <w:t>It is unknown if any compositional studies have been undertaken in Queensland.</w:t>
      </w:r>
    </w:p>
    <w:p w:rsidR="00D033D3" w:rsidRPr="003D498A" w:rsidRDefault="00D033D3" w:rsidP="00D033D3">
      <w:pPr>
        <w:pStyle w:val="ParaIndent"/>
        <w:tabs>
          <w:tab w:val="center" w:pos="5386"/>
        </w:tabs>
        <w:rPr>
          <w:lang w:eastAsia="en-AU"/>
        </w:rPr>
      </w:pPr>
      <w:r w:rsidRPr="003D498A">
        <w:rPr>
          <w:lang w:eastAsia="en-AU"/>
        </w:rPr>
        <w:t>Western Australia undertook its last compositional audit in 2005.</w:t>
      </w:r>
    </w:p>
    <w:p w:rsidR="00D033D3" w:rsidRPr="003D498A" w:rsidRDefault="00D033D3" w:rsidP="00D033D3">
      <w:pPr>
        <w:pStyle w:val="ParaIndent"/>
        <w:rPr>
          <w:lang w:eastAsia="en-AU"/>
        </w:rPr>
      </w:pPr>
      <w:r w:rsidRPr="003D498A">
        <w:rPr>
          <w:lang w:eastAsia="en-AU"/>
        </w:rPr>
        <w:t>South Australia undertook compositional audits in 2008.</w:t>
      </w:r>
    </w:p>
    <w:p w:rsidR="00D033D3" w:rsidRDefault="00D033D3" w:rsidP="00D033D3">
      <w:pPr>
        <w:pStyle w:val="ParaIndent"/>
        <w:rPr>
          <w:lang w:eastAsia="en-AU"/>
        </w:rPr>
      </w:pPr>
      <w:r w:rsidRPr="003D498A">
        <w:rPr>
          <w:lang w:eastAsia="en-AU"/>
        </w:rPr>
        <w:t>ACT undertakes regular compositional audits of waste to landfill, and undertakes audits of kerbside waste on an annual basis. However, recycling disposal is not audited and the ACT does not provide a sector breakdown for recycling activity.</w:t>
      </w:r>
    </w:p>
    <w:p w:rsidR="00D033D3" w:rsidRPr="000A305B" w:rsidRDefault="00D033D3" w:rsidP="00D033D3">
      <w:pPr>
        <w:pStyle w:val="Caption0"/>
        <w:keepNext/>
        <w:ind w:firstLine="0"/>
      </w:pPr>
      <w:bookmarkStart w:id="343" w:name="_Ref277152889"/>
      <w:r w:rsidRPr="000C524B">
        <w:rPr>
          <w:rFonts w:ascii="Arial" w:hAnsi="Arial"/>
          <w:color w:val="495F70"/>
          <w:sz w:val="18"/>
        </w:rPr>
        <w:t xml:space="preserve">Table </w:t>
      </w:r>
      <w:r w:rsidR="00B9555F" w:rsidRPr="000C524B">
        <w:rPr>
          <w:rFonts w:ascii="Arial" w:hAnsi="Arial"/>
          <w:color w:val="495F70"/>
          <w:sz w:val="18"/>
        </w:rPr>
        <w:fldChar w:fldCharType="begin"/>
      </w:r>
      <w:r w:rsidRPr="000C524B">
        <w:rPr>
          <w:rFonts w:ascii="Arial" w:hAnsi="Arial"/>
          <w:color w:val="495F70"/>
          <w:sz w:val="18"/>
        </w:rPr>
        <w:instrText xml:space="preserve"> SEQ Table \* ARABIC </w:instrText>
      </w:r>
      <w:r w:rsidR="00B9555F" w:rsidRPr="000C524B">
        <w:rPr>
          <w:rFonts w:ascii="Arial" w:hAnsi="Arial"/>
          <w:color w:val="495F70"/>
          <w:sz w:val="18"/>
        </w:rPr>
        <w:fldChar w:fldCharType="separate"/>
      </w:r>
      <w:r w:rsidR="00AE7E3B">
        <w:rPr>
          <w:rFonts w:ascii="Arial" w:hAnsi="Arial"/>
          <w:noProof/>
          <w:color w:val="495F70"/>
          <w:sz w:val="18"/>
        </w:rPr>
        <w:t>69</w:t>
      </w:r>
      <w:r w:rsidR="00B9555F" w:rsidRPr="000C524B">
        <w:rPr>
          <w:rFonts w:ascii="Arial" w:hAnsi="Arial"/>
          <w:color w:val="495F70"/>
          <w:sz w:val="18"/>
        </w:rPr>
        <w:fldChar w:fldCharType="end"/>
      </w:r>
      <w:bookmarkEnd w:id="343"/>
      <w:r w:rsidRPr="000C524B">
        <w:rPr>
          <w:rFonts w:ascii="Arial" w:hAnsi="Arial"/>
          <w:color w:val="495F70"/>
          <w:sz w:val="18"/>
        </w:rPr>
        <w:t>: Recommended set of materials used to report the composition of waste streams</w:t>
      </w:r>
    </w:p>
    <w:tbl>
      <w:tblPr>
        <w:tblW w:w="7905" w:type="dxa"/>
        <w:tblInd w:w="1134" w:type="dxa"/>
        <w:tblLook w:val="04A0"/>
      </w:tblPr>
      <w:tblGrid>
        <w:gridCol w:w="2235"/>
        <w:gridCol w:w="5670"/>
      </w:tblGrid>
      <w:tr w:rsidR="00D033D3" w:rsidRPr="00904BEA" w:rsidTr="00D033D3">
        <w:trPr>
          <w:trHeight w:val="300"/>
        </w:trPr>
        <w:tc>
          <w:tcPr>
            <w:tcW w:w="2235" w:type="dxa"/>
            <w:tcBorders>
              <w:top w:val="nil"/>
              <w:left w:val="nil"/>
              <w:bottom w:val="single" w:sz="18" w:space="0" w:color="808080" w:themeColor="background1" w:themeShade="80"/>
              <w:right w:val="nil"/>
            </w:tcBorders>
            <w:vAlign w:val="center"/>
          </w:tcPr>
          <w:p w:rsidR="00D033D3" w:rsidRPr="00904BEA" w:rsidRDefault="00D033D3" w:rsidP="00D033D3">
            <w:pPr>
              <w:keepNext/>
              <w:spacing w:after="0" w:line="240" w:lineRule="auto"/>
              <w:rPr>
                <w:rFonts w:cs="Arial"/>
                <w:b/>
                <w:bCs/>
                <w:color w:val="000000"/>
                <w:sz w:val="18"/>
                <w:szCs w:val="18"/>
                <w:lang w:eastAsia="en-AU"/>
              </w:rPr>
            </w:pPr>
            <w:r w:rsidRPr="00904BEA">
              <w:rPr>
                <w:rFonts w:cs="Arial"/>
                <w:b/>
                <w:bCs/>
                <w:color w:val="000000"/>
                <w:sz w:val="18"/>
                <w:szCs w:val="18"/>
                <w:lang w:eastAsia="en-AU"/>
              </w:rPr>
              <w:t>Material category</w:t>
            </w:r>
          </w:p>
        </w:tc>
        <w:tc>
          <w:tcPr>
            <w:tcW w:w="5670" w:type="dxa"/>
            <w:tcBorders>
              <w:top w:val="nil"/>
              <w:left w:val="nil"/>
              <w:bottom w:val="single" w:sz="18" w:space="0" w:color="808080" w:themeColor="background1" w:themeShade="80"/>
              <w:right w:val="nil"/>
            </w:tcBorders>
            <w:shd w:val="clear" w:color="auto" w:fill="auto"/>
            <w:noWrap/>
            <w:vAlign w:val="center"/>
            <w:hideMark/>
          </w:tcPr>
          <w:p w:rsidR="00D033D3" w:rsidRPr="00904BEA" w:rsidRDefault="00D033D3" w:rsidP="00D033D3">
            <w:pPr>
              <w:keepNext/>
              <w:spacing w:after="0" w:line="240" w:lineRule="auto"/>
              <w:rPr>
                <w:rFonts w:cs="Arial"/>
                <w:b/>
                <w:bCs/>
                <w:color w:val="000000"/>
                <w:sz w:val="18"/>
                <w:szCs w:val="18"/>
                <w:lang w:eastAsia="en-AU"/>
              </w:rPr>
            </w:pPr>
            <w:r w:rsidRPr="00904BEA">
              <w:rPr>
                <w:rFonts w:cs="Arial"/>
                <w:b/>
                <w:bCs/>
                <w:color w:val="000000"/>
                <w:sz w:val="18"/>
                <w:szCs w:val="18"/>
                <w:lang w:eastAsia="en-AU"/>
              </w:rPr>
              <w:t>Material</w:t>
            </w:r>
          </w:p>
        </w:tc>
      </w:tr>
      <w:tr w:rsidR="00D033D3" w:rsidRPr="00904BEA" w:rsidTr="00D033D3">
        <w:trPr>
          <w:trHeight w:val="300"/>
        </w:trPr>
        <w:tc>
          <w:tcPr>
            <w:tcW w:w="2235" w:type="dxa"/>
            <w:vMerge w:val="restart"/>
            <w:tcBorders>
              <w:top w:val="single" w:sz="18" w:space="0" w:color="808080" w:themeColor="background1" w:themeShade="80"/>
              <w:left w:val="nil"/>
              <w:right w:val="nil"/>
            </w:tcBorders>
            <w:vAlign w:val="center"/>
          </w:tcPr>
          <w:p w:rsidR="00D033D3" w:rsidRPr="00CE6144" w:rsidRDefault="00D033D3" w:rsidP="00D033D3">
            <w:pPr>
              <w:keepNext/>
              <w:spacing w:after="0" w:line="240" w:lineRule="auto"/>
              <w:rPr>
                <w:rFonts w:cs="Arial"/>
                <w:color w:val="000000"/>
                <w:sz w:val="18"/>
                <w:szCs w:val="18"/>
                <w:lang w:eastAsia="en-AU"/>
              </w:rPr>
            </w:pPr>
            <w:r w:rsidRPr="00CE6144">
              <w:rPr>
                <w:rFonts w:cs="Arial"/>
                <w:color w:val="000000"/>
                <w:sz w:val="18"/>
                <w:szCs w:val="18"/>
                <w:lang w:eastAsia="en-AU"/>
              </w:rPr>
              <w:t>Masonry materials</w:t>
            </w:r>
          </w:p>
        </w:tc>
        <w:tc>
          <w:tcPr>
            <w:tcW w:w="5670" w:type="dxa"/>
            <w:tcBorders>
              <w:top w:val="single" w:sz="18" w:space="0" w:color="808080" w:themeColor="background1" w:themeShade="80"/>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Asphalt</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Bricks</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Concrete</w:t>
            </w:r>
          </w:p>
        </w:tc>
      </w:tr>
      <w:tr w:rsidR="00D033D3" w:rsidRPr="00904BEA" w:rsidTr="00D033D3">
        <w:trPr>
          <w:trHeight w:val="300"/>
        </w:trPr>
        <w:tc>
          <w:tcPr>
            <w:tcW w:w="2235" w:type="dxa"/>
            <w:vMerge/>
            <w:tcBorders>
              <w:left w:val="nil"/>
              <w:bottom w:val="single" w:sz="4" w:space="0" w:color="808080" w:themeColor="background1" w:themeShade="80"/>
              <w:right w:val="nil"/>
            </w:tcBorders>
            <w:vAlign w:val="center"/>
          </w:tcPr>
          <w:p w:rsidR="00D033D3" w:rsidRPr="00CE6144" w:rsidRDefault="00D033D3" w:rsidP="00D033D3">
            <w:pPr>
              <w:keepNext/>
              <w:spacing w:after="0" w:line="240" w:lineRule="auto"/>
              <w:rPr>
                <w:rFonts w:cs="Arial"/>
                <w:color w:val="000000"/>
                <w:sz w:val="18"/>
                <w:szCs w:val="18"/>
                <w:lang w:eastAsia="en-AU"/>
              </w:rPr>
            </w:pPr>
          </w:p>
        </w:tc>
        <w:tc>
          <w:tcPr>
            <w:tcW w:w="5670" w:type="dxa"/>
            <w:tcBorders>
              <w:top w:val="nil"/>
              <w:left w:val="nil"/>
              <w:bottom w:val="single" w:sz="4" w:space="0" w:color="808080" w:themeColor="background1" w:themeShade="80"/>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Clay, fines, rubble &amp; soil</w:t>
            </w:r>
          </w:p>
        </w:tc>
      </w:tr>
      <w:tr w:rsidR="00D033D3" w:rsidRPr="00904BEA" w:rsidTr="00D033D3">
        <w:trPr>
          <w:trHeight w:val="300"/>
        </w:trPr>
        <w:tc>
          <w:tcPr>
            <w:tcW w:w="2235" w:type="dxa"/>
            <w:vMerge w:val="restart"/>
            <w:tcBorders>
              <w:top w:val="single" w:sz="4" w:space="0" w:color="808080" w:themeColor="background1" w:themeShade="80"/>
              <w:left w:val="nil"/>
              <w:right w:val="nil"/>
            </w:tcBorders>
            <w:vAlign w:val="center"/>
          </w:tcPr>
          <w:p w:rsidR="00D033D3" w:rsidRPr="00CE6144" w:rsidRDefault="00D033D3" w:rsidP="00D033D3">
            <w:pPr>
              <w:keepNext/>
              <w:spacing w:after="0" w:line="240" w:lineRule="auto"/>
              <w:rPr>
                <w:rFonts w:cs="Arial"/>
                <w:color w:val="000000"/>
                <w:sz w:val="18"/>
                <w:szCs w:val="18"/>
                <w:lang w:eastAsia="en-AU"/>
              </w:rPr>
            </w:pPr>
            <w:r w:rsidRPr="00CE6144">
              <w:rPr>
                <w:rFonts w:cs="Arial"/>
                <w:color w:val="000000"/>
                <w:sz w:val="18"/>
                <w:szCs w:val="18"/>
                <w:lang w:eastAsia="en-AU"/>
              </w:rPr>
              <w:t>Metals</w:t>
            </w:r>
          </w:p>
        </w:tc>
        <w:tc>
          <w:tcPr>
            <w:tcW w:w="5670" w:type="dxa"/>
            <w:tcBorders>
              <w:top w:val="single" w:sz="4" w:space="0" w:color="808080" w:themeColor="background1" w:themeShade="80"/>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Steel</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Aluminium</w:t>
            </w:r>
          </w:p>
        </w:tc>
      </w:tr>
      <w:tr w:rsidR="00D033D3" w:rsidRPr="00904BEA" w:rsidTr="00D033D3">
        <w:trPr>
          <w:trHeight w:val="300"/>
        </w:trPr>
        <w:tc>
          <w:tcPr>
            <w:tcW w:w="2235" w:type="dxa"/>
            <w:vMerge/>
            <w:tcBorders>
              <w:left w:val="nil"/>
              <w:bottom w:val="single" w:sz="4" w:space="0" w:color="808080" w:themeColor="background1" w:themeShade="80"/>
              <w:right w:val="nil"/>
            </w:tcBorders>
            <w:vAlign w:val="center"/>
          </w:tcPr>
          <w:p w:rsidR="00D033D3" w:rsidRPr="00CE6144" w:rsidRDefault="00D033D3" w:rsidP="00D033D3">
            <w:pPr>
              <w:keepNext/>
              <w:spacing w:after="0" w:line="240" w:lineRule="auto"/>
              <w:rPr>
                <w:rFonts w:cs="Arial"/>
                <w:color w:val="000000"/>
                <w:sz w:val="18"/>
                <w:szCs w:val="18"/>
                <w:lang w:eastAsia="en-AU"/>
              </w:rPr>
            </w:pPr>
          </w:p>
        </w:tc>
        <w:tc>
          <w:tcPr>
            <w:tcW w:w="5670" w:type="dxa"/>
            <w:tcBorders>
              <w:top w:val="nil"/>
              <w:left w:val="nil"/>
              <w:bottom w:val="single" w:sz="4" w:space="0" w:color="808080" w:themeColor="background1" w:themeShade="80"/>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Pr>
                <w:rFonts w:cs="Arial"/>
                <w:color w:val="000000"/>
                <w:sz w:val="18"/>
                <w:szCs w:val="18"/>
                <w:lang w:eastAsia="en-AU"/>
              </w:rPr>
              <w:t xml:space="preserve">Non-ferrous metals (excluding </w:t>
            </w:r>
            <w:r w:rsidRPr="00904BEA">
              <w:rPr>
                <w:rFonts w:cs="Arial"/>
                <w:color w:val="000000"/>
                <w:sz w:val="18"/>
                <w:szCs w:val="18"/>
                <w:lang w:eastAsia="en-AU"/>
              </w:rPr>
              <w:t>Al</w:t>
            </w:r>
            <w:r>
              <w:rPr>
                <w:rFonts w:cs="Arial"/>
                <w:color w:val="000000"/>
                <w:sz w:val="18"/>
                <w:szCs w:val="18"/>
                <w:lang w:eastAsia="en-AU"/>
              </w:rPr>
              <w:t>uminium</w:t>
            </w:r>
            <w:r w:rsidRPr="00904BEA">
              <w:rPr>
                <w:rFonts w:cs="Arial"/>
                <w:color w:val="000000"/>
                <w:sz w:val="18"/>
                <w:szCs w:val="18"/>
                <w:lang w:eastAsia="en-AU"/>
              </w:rPr>
              <w:t>)</w:t>
            </w:r>
          </w:p>
        </w:tc>
      </w:tr>
      <w:tr w:rsidR="00D033D3" w:rsidRPr="00904BEA" w:rsidTr="00D033D3">
        <w:trPr>
          <w:trHeight w:val="300"/>
        </w:trPr>
        <w:tc>
          <w:tcPr>
            <w:tcW w:w="2235" w:type="dxa"/>
            <w:vMerge w:val="restart"/>
            <w:tcBorders>
              <w:top w:val="single" w:sz="4" w:space="0" w:color="808080" w:themeColor="background1" w:themeShade="80"/>
              <w:left w:val="nil"/>
              <w:right w:val="nil"/>
            </w:tcBorders>
            <w:vAlign w:val="center"/>
          </w:tcPr>
          <w:p w:rsidR="00D033D3" w:rsidRPr="00CE6144" w:rsidRDefault="00D033D3" w:rsidP="00D033D3">
            <w:pPr>
              <w:keepNext/>
              <w:spacing w:after="0" w:line="240" w:lineRule="auto"/>
              <w:rPr>
                <w:rFonts w:cs="Arial"/>
                <w:color w:val="000000"/>
                <w:sz w:val="18"/>
                <w:szCs w:val="18"/>
                <w:lang w:eastAsia="en-AU"/>
              </w:rPr>
            </w:pPr>
            <w:r w:rsidRPr="00CE6144">
              <w:rPr>
                <w:rFonts w:cs="Arial"/>
                <w:color w:val="000000"/>
                <w:sz w:val="18"/>
                <w:szCs w:val="18"/>
                <w:lang w:eastAsia="en-AU"/>
              </w:rPr>
              <w:t>Organics</w:t>
            </w:r>
          </w:p>
        </w:tc>
        <w:tc>
          <w:tcPr>
            <w:tcW w:w="5670" w:type="dxa"/>
            <w:tcBorders>
              <w:top w:val="single" w:sz="4" w:space="0" w:color="808080" w:themeColor="background1" w:themeShade="80"/>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Food organics</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Garden organics</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Timber</w:t>
            </w:r>
          </w:p>
        </w:tc>
      </w:tr>
      <w:tr w:rsidR="00D033D3" w:rsidRPr="00904BEA" w:rsidTr="00D033D3">
        <w:trPr>
          <w:trHeight w:val="300"/>
        </w:trPr>
        <w:tc>
          <w:tcPr>
            <w:tcW w:w="2235" w:type="dxa"/>
            <w:vMerge/>
            <w:tcBorders>
              <w:left w:val="nil"/>
              <w:bottom w:val="single" w:sz="4" w:space="0" w:color="808080" w:themeColor="background1" w:themeShade="80"/>
              <w:right w:val="nil"/>
            </w:tcBorders>
            <w:vAlign w:val="center"/>
          </w:tcPr>
          <w:p w:rsidR="00D033D3" w:rsidRPr="00CE6144" w:rsidRDefault="00D033D3" w:rsidP="00D033D3">
            <w:pPr>
              <w:keepNext/>
              <w:spacing w:after="0" w:line="240" w:lineRule="auto"/>
              <w:rPr>
                <w:rFonts w:cs="Arial"/>
                <w:color w:val="000000"/>
                <w:sz w:val="18"/>
                <w:szCs w:val="18"/>
                <w:lang w:eastAsia="en-AU"/>
              </w:rPr>
            </w:pPr>
          </w:p>
        </w:tc>
        <w:tc>
          <w:tcPr>
            <w:tcW w:w="5670" w:type="dxa"/>
            <w:tcBorders>
              <w:top w:val="nil"/>
              <w:left w:val="nil"/>
              <w:bottom w:val="single" w:sz="4" w:space="0" w:color="808080" w:themeColor="background1" w:themeShade="80"/>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Organics - other</w:t>
            </w:r>
          </w:p>
        </w:tc>
      </w:tr>
      <w:tr w:rsidR="00D033D3" w:rsidRPr="00904BEA" w:rsidTr="00D033D3">
        <w:trPr>
          <w:trHeight w:val="300"/>
        </w:trPr>
        <w:tc>
          <w:tcPr>
            <w:tcW w:w="2235" w:type="dxa"/>
            <w:vMerge w:val="restart"/>
            <w:tcBorders>
              <w:top w:val="single" w:sz="4" w:space="0" w:color="808080" w:themeColor="background1" w:themeShade="80"/>
              <w:left w:val="nil"/>
              <w:right w:val="nil"/>
            </w:tcBorders>
            <w:vAlign w:val="center"/>
          </w:tcPr>
          <w:p w:rsidR="00D033D3" w:rsidRPr="00CE6144" w:rsidRDefault="00D033D3" w:rsidP="00D033D3">
            <w:pPr>
              <w:keepNext/>
              <w:spacing w:after="0" w:line="240" w:lineRule="auto"/>
              <w:rPr>
                <w:rFonts w:cs="Arial"/>
                <w:color w:val="000000"/>
                <w:sz w:val="18"/>
                <w:szCs w:val="18"/>
                <w:lang w:eastAsia="en-AU"/>
              </w:rPr>
            </w:pPr>
            <w:r w:rsidRPr="00CE6144">
              <w:rPr>
                <w:rFonts w:cs="Arial"/>
                <w:color w:val="000000"/>
                <w:sz w:val="18"/>
                <w:szCs w:val="18"/>
                <w:lang w:eastAsia="en-AU"/>
              </w:rPr>
              <w:t>Paper &amp; cardboard</w:t>
            </w:r>
          </w:p>
        </w:tc>
        <w:tc>
          <w:tcPr>
            <w:tcW w:w="5670" w:type="dxa"/>
            <w:tcBorders>
              <w:top w:val="single" w:sz="4" w:space="0" w:color="808080" w:themeColor="background1" w:themeShade="80"/>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Cardboard &amp; waxed cardboard</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Liquid paperboard (LPB)</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Magazines</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Newsprint</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Phonebooks</w:t>
            </w:r>
          </w:p>
        </w:tc>
      </w:tr>
      <w:tr w:rsidR="00D033D3" w:rsidRPr="00904BEA" w:rsidTr="00D033D3">
        <w:trPr>
          <w:trHeight w:val="300"/>
        </w:trPr>
        <w:tc>
          <w:tcPr>
            <w:tcW w:w="2235" w:type="dxa"/>
            <w:vMerge/>
            <w:tcBorders>
              <w:left w:val="nil"/>
              <w:bottom w:val="single" w:sz="4" w:space="0" w:color="808080" w:themeColor="background1" w:themeShade="80"/>
              <w:right w:val="nil"/>
            </w:tcBorders>
            <w:vAlign w:val="center"/>
          </w:tcPr>
          <w:p w:rsidR="00D033D3" w:rsidRPr="00CE6144" w:rsidRDefault="00D033D3" w:rsidP="00D033D3">
            <w:pPr>
              <w:keepNext/>
              <w:spacing w:after="0" w:line="240" w:lineRule="auto"/>
              <w:rPr>
                <w:rFonts w:cs="Arial"/>
                <w:color w:val="000000"/>
                <w:sz w:val="18"/>
                <w:szCs w:val="18"/>
                <w:lang w:eastAsia="en-AU"/>
              </w:rPr>
            </w:pPr>
          </w:p>
        </w:tc>
        <w:tc>
          <w:tcPr>
            <w:tcW w:w="5670" w:type="dxa"/>
            <w:tcBorders>
              <w:top w:val="nil"/>
              <w:left w:val="nil"/>
              <w:bottom w:val="single" w:sz="4" w:space="0" w:color="808080" w:themeColor="background1" w:themeShade="80"/>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Printing &amp; writing papers</w:t>
            </w:r>
          </w:p>
        </w:tc>
      </w:tr>
      <w:tr w:rsidR="00D033D3" w:rsidRPr="00904BEA" w:rsidTr="00D033D3">
        <w:trPr>
          <w:trHeight w:val="300"/>
        </w:trPr>
        <w:tc>
          <w:tcPr>
            <w:tcW w:w="2235" w:type="dxa"/>
            <w:vMerge w:val="restart"/>
            <w:tcBorders>
              <w:top w:val="single" w:sz="4" w:space="0" w:color="808080" w:themeColor="background1" w:themeShade="80"/>
              <w:left w:val="nil"/>
              <w:right w:val="nil"/>
            </w:tcBorders>
            <w:vAlign w:val="center"/>
          </w:tcPr>
          <w:p w:rsidR="00D033D3" w:rsidRPr="00CE6144" w:rsidRDefault="00D033D3" w:rsidP="00D033D3">
            <w:pPr>
              <w:keepNext/>
              <w:spacing w:after="0" w:line="240" w:lineRule="auto"/>
              <w:rPr>
                <w:rFonts w:cs="Arial"/>
                <w:color w:val="000000"/>
                <w:sz w:val="18"/>
                <w:szCs w:val="18"/>
                <w:lang w:eastAsia="en-AU"/>
              </w:rPr>
            </w:pPr>
            <w:r w:rsidRPr="00CE6144">
              <w:rPr>
                <w:rFonts w:cs="Arial"/>
                <w:color w:val="000000"/>
                <w:sz w:val="18"/>
                <w:szCs w:val="18"/>
                <w:lang w:eastAsia="en-AU"/>
              </w:rPr>
              <w:t>Plastics</w:t>
            </w:r>
          </w:p>
        </w:tc>
        <w:tc>
          <w:tcPr>
            <w:tcW w:w="5670" w:type="dxa"/>
            <w:tcBorders>
              <w:top w:val="single" w:sz="4" w:space="0" w:color="808080" w:themeColor="background1" w:themeShade="80"/>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Polyethylene terephthalate (PET)</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High density polyethylene (HDPE)</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Polyvinyl chloride (PVC)</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Low density polyethylene (LDPE)</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Polypropylene (PP)</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Polystyrene (PS)</w:t>
            </w:r>
          </w:p>
        </w:tc>
      </w:tr>
      <w:tr w:rsidR="00D033D3" w:rsidRPr="00904BEA" w:rsidTr="00D033D3">
        <w:trPr>
          <w:trHeight w:val="300"/>
        </w:trPr>
        <w:tc>
          <w:tcPr>
            <w:tcW w:w="2235" w:type="dxa"/>
            <w:vMerge/>
            <w:tcBorders>
              <w:left w:val="nil"/>
              <w:bottom w:val="single" w:sz="4" w:space="0" w:color="808080" w:themeColor="background1" w:themeShade="80"/>
              <w:right w:val="nil"/>
            </w:tcBorders>
            <w:vAlign w:val="center"/>
          </w:tcPr>
          <w:p w:rsidR="00D033D3" w:rsidRPr="00CE6144" w:rsidRDefault="00D033D3" w:rsidP="00D033D3">
            <w:pPr>
              <w:keepNext/>
              <w:spacing w:after="0" w:line="240" w:lineRule="auto"/>
              <w:rPr>
                <w:rFonts w:cs="Arial"/>
                <w:color w:val="000000"/>
                <w:sz w:val="18"/>
                <w:szCs w:val="18"/>
                <w:lang w:eastAsia="en-AU"/>
              </w:rPr>
            </w:pPr>
          </w:p>
        </w:tc>
        <w:tc>
          <w:tcPr>
            <w:tcW w:w="5670" w:type="dxa"/>
            <w:tcBorders>
              <w:top w:val="nil"/>
              <w:left w:val="nil"/>
              <w:bottom w:val="single" w:sz="4" w:space="0" w:color="808080" w:themeColor="background1" w:themeShade="80"/>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Other plastics</w:t>
            </w:r>
          </w:p>
        </w:tc>
      </w:tr>
      <w:tr w:rsidR="00D033D3" w:rsidRPr="00904BEA" w:rsidTr="00D033D3">
        <w:trPr>
          <w:trHeight w:val="300"/>
        </w:trPr>
        <w:tc>
          <w:tcPr>
            <w:tcW w:w="2235" w:type="dxa"/>
            <w:tcBorders>
              <w:top w:val="single" w:sz="4" w:space="0" w:color="808080" w:themeColor="background1" w:themeShade="80"/>
              <w:left w:val="nil"/>
              <w:bottom w:val="single" w:sz="4" w:space="0" w:color="808080" w:themeColor="background1" w:themeShade="80"/>
              <w:right w:val="nil"/>
            </w:tcBorders>
            <w:vAlign w:val="center"/>
          </w:tcPr>
          <w:p w:rsidR="00D033D3" w:rsidRPr="00CE6144" w:rsidRDefault="00D033D3" w:rsidP="00D033D3">
            <w:pPr>
              <w:keepNext/>
              <w:spacing w:after="0" w:line="240" w:lineRule="auto"/>
              <w:rPr>
                <w:rFonts w:cs="Arial"/>
                <w:color w:val="000000"/>
                <w:sz w:val="18"/>
                <w:szCs w:val="18"/>
                <w:lang w:eastAsia="en-AU"/>
              </w:rPr>
            </w:pPr>
            <w:r w:rsidRPr="00CE6144">
              <w:rPr>
                <w:rFonts w:cs="Arial"/>
                <w:color w:val="000000"/>
                <w:sz w:val="18"/>
                <w:szCs w:val="18"/>
                <w:lang w:eastAsia="en-AU"/>
              </w:rPr>
              <w:t>Glass</w:t>
            </w:r>
          </w:p>
        </w:tc>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Glass</w:t>
            </w:r>
          </w:p>
        </w:tc>
      </w:tr>
      <w:tr w:rsidR="00D033D3" w:rsidRPr="00904BEA" w:rsidTr="00D033D3">
        <w:trPr>
          <w:trHeight w:val="300"/>
        </w:trPr>
        <w:tc>
          <w:tcPr>
            <w:tcW w:w="2235" w:type="dxa"/>
            <w:vMerge w:val="restart"/>
            <w:tcBorders>
              <w:top w:val="single" w:sz="4" w:space="0" w:color="808080" w:themeColor="background1" w:themeShade="80"/>
              <w:left w:val="nil"/>
              <w:right w:val="nil"/>
            </w:tcBorders>
            <w:vAlign w:val="center"/>
          </w:tcPr>
          <w:p w:rsidR="00D033D3" w:rsidRPr="00CE6144" w:rsidRDefault="00D033D3" w:rsidP="00D033D3">
            <w:pPr>
              <w:keepNext/>
              <w:rPr>
                <w:rFonts w:cs="Arial"/>
                <w:color w:val="000000"/>
                <w:sz w:val="18"/>
                <w:szCs w:val="18"/>
                <w:lang w:eastAsia="en-AU"/>
              </w:rPr>
            </w:pPr>
            <w:r w:rsidRPr="00CE6144">
              <w:rPr>
                <w:rFonts w:cs="Arial"/>
                <w:color w:val="000000"/>
                <w:sz w:val="18"/>
                <w:szCs w:val="18"/>
                <w:lang w:eastAsia="en-AU"/>
              </w:rPr>
              <w:t>Other</w:t>
            </w:r>
          </w:p>
        </w:tc>
        <w:tc>
          <w:tcPr>
            <w:tcW w:w="5670" w:type="dxa"/>
            <w:tcBorders>
              <w:top w:val="single" w:sz="4" w:space="0" w:color="808080" w:themeColor="background1" w:themeShade="80"/>
              <w:left w:val="nil"/>
              <w:bottom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Foundry sands</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rPr>
                <w:rFonts w:cs="Arial"/>
                <w:color w:val="000000"/>
                <w:sz w:val="18"/>
                <w:szCs w:val="18"/>
                <w:lang w:eastAsia="en-AU"/>
              </w:rPr>
            </w:pPr>
          </w:p>
        </w:tc>
        <w:tc>
          <w:tcPr>
            <w:tcW w:w="5670" w:type="dxa"/>
            <w:tcBorders>
              <w:top w:val="nil"/>
              <w:left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Leather &amp; textiles</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spacing w:after="0" w:line="240" w:lineRule="auto"/>
              <w:rPr>
                <w:rFonts w:cs="Arial"/>
                <w:color w:val="000000"/>
                <w:sz w:val="18"/>
                <w:szCs w:val="18"/>
                <w:lang w:eastAsia="en-AU"/>
              </w:rPr>
            </w:pPr>
          </w:p>
        </w:tc>
        <w:tc>
          <w:tcPr>
            <w:tcW w:w="5670" w:type="dxa"/>
            <w:tcBorders>
              <w:top w:val="nil"/>
              <w:left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sidRPr="00904BEA">
              <w:rPr>
                <w:rFonts w:cs="Arial"/>
                <w:color w:val="000000"/>
                <w:sz w:val="18"/>
                <w:szCs w:val="18"/>
                <w:lang w:eastAsia="en-AU"/>
              </w:rPr>
              <w:t>Tyres &amp; other rubber</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spacing w:after="0" w:line="240" w:lineRule="auto"/>
              <w:rPr>
                <w:rFonts w:cs="Arial"/>
                <w:color w:val="000000"/>
                <w:sz w:val="18"/>
                <w:szCs w:val="18"/>
                <w:lang w:eastAsia="en-AU"/>
              </w:rPr>
            </w:pPr>
          </w:p>
        </w:tc>
        <w:tc>
          <w:tcPr>
            <w:tcW w:w="5670" w:type="dxa"/>
            <w:tcBorders>
              <w:top w:val="nil"/>
              <w:left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Pr>
                <w:rFonts w:cs="Arial"/>
                <w:color w:val="000000"/>
                <w:sz w:val="18"/>
                <w:szCs w:val="18"/>
                <w:lang w:eastAsia="en-AU"/>
              </w:rPr>
              <w:t>Biosolids</w:t>
            </w:r>
          </w:p>
        </w:tc>
      </w:tr>
      <w:tr w:rsidR="00D033D3" w:rsidRPr="00904BEA" w:rsidTr="00D033D3">
        <w:trPr>
          <w:trHeight w:val="300"/>
        </w:trPr>
        <w:tc>
          <w:tcPr>
            <w:tcW w:w="2235" w:type="dxa"/>
            <w:vMerge/>
            <w:tcBorders>
              <w:left w:val="nil"/>
              <w:right w:val="nil"/>
            </w:tcBorders>
            <w:vAlign w:val="center"/>
          </w:tcPr>
          <w:p w:rsidR="00D033D3" w:rsidRPr="00CE6144" w:rsidRDefault="00D033D3" w:rsidP="00D033D3">
            <w:pPr>
              <w:keepNext/>
              <w:spacing w:after="0" w:line="240" w:lineRule="auto"/>
              <w:rPr>
                <w:rFonts w:cs="Arial"/>
                <w:color w:val="000000"/>
                <w:sz w:val="18"/>
                <w:szCs w:val="18"/>
                <w:lang w:eastAsia="en-AU"/>
              </w:rPr>
            </w:pPr>
          </w:p>
        </w:tc>
        <w:tc>
          <w:tcPr>
            <w:tcW w:w="5670" w:type="dxa"/>
            <w:tcBorders>
              <w:left w:val="nil"/>
              <w:right w:val="nil"/>
            </w:tcBorders>
            <w:shd w:val="clear" w:color="auto" w:fill="auto"/>
            <w:noWrap/>
            <w:vAlign w:val="center"/>
            <w:hideMark/>
          </w:tcPr>
          <w:p w:rsidR="00D033D3" w:rsidRPr="00904BEA" w:rsidRDefault="00D033D3" w:rsidP="00D033D3">
            <w:pPr>
              <w:keepNext/>
              <w:spacing w:after="0" w:line="240" w:lineRule="auto"/>
              <w:rPr>
                <w:rFonts w:cs="Arial"/>
                <w:color w:val="000000"/>
                <w:sz w:val="18"/>
                <w:szCs w:val="18"/>
                <w:lang w:eastAsia="en-AU"/>
              </w:rPr>
            </w:pPr>
            <w:r>
              <w:rPr>
                <w:rFonts w:cs="Arial"/>
                <w:color w:val="000000"/>
                <w:sz w:val="18"/>
                <w:szCs w:val="18"/>
                <w:lang w:eastAsia="en-AU"/>
              </w:rPr>
              <w:t>Hazardous* (not able to be classified in another material category)</w:t>
            </w:r>
          </w:p>
        </w:tc>
      </w:tr>
      <w:tr w:rsidR="00D033D3" w:rsidRPr="00904BEA" w:rsidTr="00D033D3">
        <w:trPr>
          <w:trHeight w:val="300"/>
        </w:trPr>
        <w:tc>
          <w:tcPr>
            <w:tcW w:w="2235" w:type="dxa"/>
            <w:vMerge/>
            <w:tcBorders>
              <w:left w:val="nil"/>
              <w:bottom w:val="single" w:sz="18" w:space="0" w:color="808080" w:themeColor="background1" w:themeShade="80"/>
              <w:right w:val="nil"/>
            </w:tcBorders>
            <w:vAlign w:val="center"/>
          </w:tcPr>
          <w:p w:rsidR="00D033D3" w:rsidRPr="00CE6144" w:rsidRDefault="00D033D3" w:rsidP="00D033D3">
            <w:pPr>
              <w:keepNext/>
              <w:spacing w:after="0" w:line="240" w:lineRule="auto"/>
              <w:rPr>
                <w:rFonts w:cs="Arial"/>
                <w:color w:val="000000"/>
                <w:sz w:val="18"/>
                <w:szCs w:val="18"/>
                <w:lang w:eastAsia="en-AU"/>
              </w:rPr>
            </w:pPr>
          </w:p>
        </w:tc>
        <w:tc>
          <w:tcPr>
            <w:tcW w:w="5670" w:type="dxa"/>
            <w:tcBorders>
              <w:left w:val="nil"/>
              <w:bottom w:val="single" w:sz="18" w:space="0" w:color="808080" w:themeColor="background1" w:themeShade="80"/>
              <w:right w:val="nil"/>
            </w:tcBorders>
            <w:shd w:val="clear" w:color="auto" w:fill="auto"/>
            <w:noWrap/>
            <w:vAlign w:val="center"/>
            <w:hideMark/>
          </w:tcPr>
          <w:p w:rsidR="00D033D3" w:rsidRDefault="00D033D3" w:rsidP="00D033D3">
            <w:pPr>
              <w:keepNext/>
              <w:spacing w:after="0" w:line="240" w:lineRule="auto"/>
              <w:rPr>
                <w:rFonts w:cs="Arial"/>
                <w:color w:val="000000"/>
                <w:sz w:val="18"/>
                <w:szCs w:val="18"/>
                <w:lang w:eastAsia="en-AU"/>
              </w:rPr>
            </w:pPr>
            <w:r>
              <w:rPr>
                <w:rFonts w:cs="Arial"/>
                <w:color w:val="000000"/>
                <w:sz w:val="18"/>
                <w:szCs w:val="18"/>
                <w:lang w:eastAsia="en-AU"/>
              </w:rPr>
              <w:t>Quarantine</w:t>
            </w:r>
          </w:p>
        </w:tc>
      </w:tr>
      <w:tr w:rsidR="00D033D3" w:rsidRPr="00904BEA" w:rsidTr="00D033D3">
        <w:trPr>
          <w:trHeight w:val="300"/>
        </w:trPr>
        <w:tc>
          <w:tcPr>
            <w:tcW w:w="2235" w:type="dxa"/>
            <w:vMerge w:val="restart"/>
            <w:tcBorders>
              <w:top w:val="nil"/>
              <w:left w:val="nil"/>
              <w:right w:val="nil"/>
            </w:tcBorders>
            <w:vAlign w:val="center"/>
          </w:tcPr>
          <w:p w:rsidR="00D033D3" w:rsidRPr="00CE6144" w:rsidRDefault="00D033D3" w:rsidP="00D033D3">
            <w:pPr>
              <w:keepNext/>
              <w:spacing w:after="0" w:line="240" w:lineRule="auto"/>
              <w:rPr>
                <w:rFonts w:cs="Arial"/>
                <w:color w:val="000000"/>
                <w:sz w:val="18"/>
                <w:szCs w:val="18"/>
                <w:lang w:eastAsia="en-AU"/>
              </w:rPr>
            </w:pPr>
            <w:r w:rsidRPr="00CE6144">
              <w:rPr>
                <w:rFonts w:cs="Arial"/>
                <w:color w:val="000000"/>
                <w:sz w:val="18"/>
                <w:szCs w:val="18"/>
                <w:lang w:eastAsia="en-AU"/>
              </w:rPr>
              <w:t>Anomalies</w:t>
            </w:r>
          </w:p>
        </w:tc>
        <w:tc>
          <w:tcPr>
            <w:tcW w:w="5670" w:type="dxa"/>
            <w:tcBorders>
              <w:top w:val="nil"/>
              <w:left w:val="nil"/>
              <w:bottom w:val="nil"/>
              <w:right w:val="nil"/>
            </w:tcBorders>
            <w:shd w:val="clear" w:color="auto" w:fill="auto"/>
            <w:noWrap/>
            <w:vAlign w:val="center"/>
            <w:hideMark/>
          </w:tcPr>
          <w:p w:rsidR="00D033D3" w:rsidRPr="001D3158" w:rsidRDefault="00D033D3" w:rsidP="00D033D3">
            <w:pPr>
              <w:keepNext/>
              <w:spacing w:after="0" w:line="240" w:lineRule="auto"/>
              <w:rPr>
                <w:rFonts w:cs="Arial"/>
                <w:color w:val="000000"/>
                <w:sz w:val="18"/>
                <w:szCs w:val="18"/>
                <w:lang w:eastAsia="en-AU"/>
              </w:rPr>
            </w:pPr>
            <w:r w:rsidRPr="001D3158">
              <w:rPr>
                <w:rFonts w:cs="Arial"/>
                <w:color w:val="000000"/>
                <w:sz w:val="18"/>
                <w:szCs w:val="18"/>
                <w:lang w:eastAsia="en-AU"/>
              </w:rPr>
              <w:t>Soil, sand and rock (including daily cover)</w:t>
            </w:r>
          </w:p>
        </w:tc>
      </w:tr>
      <w:tr w:rsidR="00D033D3" w:rsidRPr="00904BEA" w:rsidTr="00D033D3">
        <w:trPr>
          <w:trHeight w:val="300"/>
        </w:trPr>
        <w:tc>
          <w:tcPr>
            <w:tcW w:w="2235" w:type="dxa"/>
            <w:vMerge/>
            <w:tcBorders>
              <w:left w:val="nil"/>
              <w:bottom w:val="single" w:sz="18" w:space="0" w:color="808080" w:themeColor="background1" w:themeShade="80"/>
              <w:right w:val="nil"/>
            </w:tcBorders>
            <w:vAlign w:val="center"/>
          </w:tcPr>
          <w:p w:rsidR="00D033D3" w:rsidRPr="00904BEA" w:rsidRDefault="00D033D3" w:rsidP="00D033D3">
            <w:pPr>
              <w:keepNext/>
              <w:spacing w:after="0" w:line="240" w:lineRule="auto"/>
              <w:rPr>
                <w:rFonts w:cs="Arial"/>
                <w:color w:val="000000"/>
                <w:sz w:val="18"/>
                <w:szCs w:val="18"/>
                <w:lang w:eastAsia="en-AU"/>
              </w:rPr>
            </w:pPr>
          </w:p>
        </w:tc>
        <w:tc>
          <w:tcPr>
            <w:tcW w:w="5670" w:type="dxa"/>
            <w:tcBorders>
              <w:top w:val="nil"/>
              <w:left w:val="nil"/>
              <w:bottom w:val="single" w:sz="18" w:space="0" w:color="808080" w:themeColor="background1" w:themeShade="80"/>
              <w:right w:val="nil"/>
            </w:tcBorders>
            <w:shd w:val="clear" w:color="auto" w:fill="auto"/>
            <w:noWrap/>
            <w:vAlign w:val="center"/>
            <w:hideMark/>
          </w:tcPr>
          <w:p w:rsidR="00D033D3" w:rsidRPr="001D3158" w:rsidRDefault="00D033D3" w:rsidP="00D033D3">
            <w:pPr>
              <w:keepNext/>
              <w:spacing w:after="0" w:line="240" w:lineRule="auto"/>
              <w:rPr>
                <w:rFonts w:cs="Arial"/>
                <w:color w:val="000000"/>
                <w:sz w:val="18"/>
                <w:szCs w:val="18"/>
                <w:lang w:eastAsia="en-AU"/>
              </w:rPr>
            </w:pPr>
            <w:r>
              <w:rPr>
                <w:rFonts w:cs="Arial"/>
                <w:color w:val="000000"/>
                <w:sz w:val="18"/>
                <w:szCs w:val="18"/>
                <w:lang w:eastAsia="en-AU"/>
              </w:rPr>
              <w:t>Fly ash</w:t>
            </w:r>
          </w:p>
        </w:tc>
      </w:tr>
    </w:tbl>
    <w:p w:rsidR="00D033D3" w:rsidRDefault="00D033D3" w:rsidP="00D033D3">
      <w:pPr>
        <w:pStyle w:val="Footer0"/>
        <w:tabs>
          <w:tab w:val="left" w:pos="567"/>
          <w:tab w:val="left" w:pos="5700"/>
        </w:tabs>
      </w:pPr>
      <w:r>
        <w:tab/>
      </w:r>
      <w:r>
        <w:tab/>
      </w:r>
    </w:p>
    <w:p w:rsidR="00D033D3" w:rsidRPr="00F665A6" w:rsidRDefault="00D033D3" w:rsidP="00D033D3">
      <w:pPr>
        <w:pStyle w:val="Footer0"/>
        <w:spacing w:before="0" w:after="240"/>
        <w:ind w:left="1690" w:hanging="556"/>
        <w:rPr>
          <w:sz w:val="18"/>
          <w:szCs w:val="18"/>
          <w:lang w:eastAsia="en-AU"/>
        </w:rPr>
      </w:pPr>
      <w:r>
        <w:rPr>
          <w:sz w:val="18"/>
          <w:szCs w:val="18"/>
          <w:lang w:eastAsia="en-AU"/>
        </w:rPr>
        <w:t>*</w:t>
      </w:r>
      <w:r>
        <w:rPr>
          <w:sz w:val="18"/>
          <w:szCs w:val="18"/>
          <w:lang w:eastAsia="en-AU"/>
        </w:rPr>
        <w:tab/>
        <w:t>The</w:t>
      </w:r>
      <w:r w:rsidRPr="00F665A6">
        <w:rPr>
          <w:sz w:val="18"/>
          <w:szCs w:val="18"/>
          <w:lang w:eastAsia="en-AU"/>
        </w:rPr>
        <w:t xml:space="preserve"> total </w:t>
      </w:r>
      <w:r>
        <w:rPr>
          <w:sz w:val="18"/>
          <w:szCs w:val="18"/>
          <w:lang w:eastAsia="en-AU"/>
        </w:rPr>
        <w:t>amount of hazardous waste</w:t>
      </w:r>
      <w:r w:rsidRPr="00F665A6">
        <w:rPr>
          <w:sz w:val="18"/>
          <w:szCs w:val="18"/>
          <w:lang w:eastAsia="en-AU"/>
        </w:rPr>
        <w:t xml:space="preserve">, irrespective of </w:t>
      </w:r>
      <w:r>
        <w:rPr>
          <w:sz w:val="18"/>
          <w:szCs w:val="18"/>
          <w:lang w:eastAsia="en-AU"/>
        </w:rPr>
        <w:t>classification</w:t>
      </w:r>
      <w:r w:rsidRPr="00F665A6">
        <w:rPr>
          <w:rFonts w:cs="Arial"/>
          <w:color w:val="000000"/>
          <w:sz w:val="18"/>
          <w:szCs w:val="18"/>
          <w:lang w:eastAsia="en-AU"/>
        </w:rPr>
        <w:t xml:space="preserve"> in </w:t>
      </w:r>
      <w:r>
        <w:rPr>
          <w:rFonts w:cs="Arial"/>
          <w:color w:val="000000"/>
          <w:sz w:val="18"/>
          <w:szCs w:val="18"/>
          <w:lang w:eastAsia="en-AU"/>
        </w:rPr>
        <w:t>a</w:t>
      </w:r>
      <w:r w:rsidRPr="00F665A6">
        <w:rPr>
          <w:rFonts w:cs="Arial"/>
          <w:color w:val="000000"/>
          <w:sz w:val="18"/>
          <w:szCs w:val="18"/>
          <w:lang w:eastAsia="en-AU"/>
        </w:rPr>
        <w:t xml:space="preserve"> material category or not, should be </w:t>
      </w:r>
      <w:r>
        <w:rPr>
          <w:rFonts w:cs="Arial"/>
          <w:color w:val="000000"/>
          <w:sz w:val="18"/>
          <w:szCs w:val="18"/>
          <w:lang w:eastAsia="en-AU"/>
        </w:rPr>
        <w:t>provided in waste and recycling reporting</w:t>
      </w:r>
      <w:r w:rsidRPr="00F665A6">
        <w:rPr>
          <w:rFonts w:cs="Arial"/>
          <w:color w:val="000000"/>
          <w:sz w:val="18"/>
          <w:szCs w:val="18"/>
          <w:lang w:eastAsia="en-AU"/>
        </w:rPr>
        <w:t>.</w:t>
      </w:r>
    </w:p>
    <w:p w:rsidR="00D033D3" w:rsidDel="002315E5" w:rsidRDefault="00D033D3" w:rsidP="00D033D3">
      <w:pPr>
        <w:pStyle w:val="ParaIndent"/>
        <w:rPr>
          <w:lang w:eastAsia="en-AU"/>
        </w:rPr>
      </w:pPr>
      <w:r w:rsidDel="002315E5">
        <w:rPr>
          <w:lang w:eastAsia="en-AU"/>
        </w:rPr>
        <w:t>There are also a number of industry surveys that are regularly used in waste and recycling reporting to assist in the compositional breakdown of recycling.</w:t>
      </w:r>
    </w:p>
    <w:p w:rsidR="00D033D3" w:rsidRDefault="00D033D3" w:rsidP="00D033D3">
      <w:pPr>
        <w:pStyle w:val="ParaIndent"/>
      </w:pPr>
      <w:r>
        <w:t>The Recycled Organics Unit</w:t>
      </w:r>
      <w:r w:rsidRPr="002A34CB" w:rsidDel="002315E5">
        <w:t xml:space="preserve"> </w:t>
      </w:r>
      <w:r w:rsidDel="002315E5">
        <w:t xml:space="preserve">compiles </w:t>
      </w:r>
      <w:r w:rsidRPr="001F64C4" w:rsidDel="002315E5">
        <w:rPr>
          <w:i/>
        </w:rPr>
        <w:t>Organics Recycling in Australia – Industry Statistics</w:t>
      </w:r>
      <w:r w:rsidDel="002315E5">
        <w:t xml:space="preserve"> which is </w:t>
      </w:r>
      <w:r w:rsidRPr="002A34CB" w:rsidDel="002315E5">
        <w:t>commonly used to provide a breakdown of organic material</w:t>
      </w:r>
      <w:r w:rsidRPr="002A34CB">
        <w:t>.</w:t>
      </w:r>
    </w:p>
    <w:p w:rsidR="00D033D3" w:rsidRDefault="00D033D3" w:rsidP="00D033D3">
      <w:pPr>
        <w:pStyle w:val="ParaIndent"/>
        <w:keepNext/>
        <w:spacing w:after="120"/>
      </w:pPr>
      <w:r>
        <w:t>The National Packaging Covenant (NPC) (now the Australian Packaging Covenant) has generated a number of reports that include data on packaging composition. Additionally, a number of materials recycling activity reports are used to either inform the NPC, or jurisdictional recycling activity for packaging materials. These include the:</w:t>
      </w:r>
    </w:p>
    <w:p w:rsidR="00D033D3" w:rsidRPr="00FE3323" w:rsidRDefault="00D033D3" w:rsidP="00D033D3">
      <w:pPr>
        <w:pStyle w:val="PointsBullets"/>
        <w:keepNext/>
        <w:rPr>
          <w:rFonts w:cs="Arial"/>
          <w:lang w:eastAsia="en-AU"/>
        </w:rPr>
      </w:pPr>
      <w:r>
        <w:rPr>
          <w:rFonts w:cs="Arial"/>
          <w:lang w:eastAsia="en-AU"/>
        </w:rPr>
        <w:t xml:space="preserve">annual </w:t>
      </w:r>
      <w:r w:rsidRPr="00FE3323">
        <w:rPr>
          <w:rFonts w:cs="Arial"/>
          <w:lang w:eastAsia="en-AU"/>
        </w:rPr>
        <w:t xml:space="preserve">PACIA </w:t>
      </w:r>
      <w:r>
        <w:rPr>
          <w:rFonts w:cs="Arial"/>
          <w:lang w:eastAsia="en-AU"/>
        </w:rPr>
        <w:t xml:space="preserve">National </w:t>
      </w:r>
      <w:r w:rsidRPr="00FE3323">
        <w:rPr>
          <w:rFonts w:cs="Arial"/>
          <w:lang w:eastAsia="en-AU"/>
        </w:rPr>
        <w:t>Plastics Recycling S</w:t>
      </w:r>
      <w:r>
        <w:rPr>
          <w:rFonts w:cs="Arial"/>
          <w:lang w:eastAsia="en-AU"/>
        </w:rPr>
        <w:t>urvey</w:t>
      </w:r>
    </w:p>
    <w:p w:rsidR="00D033D3" w:rsidRPr="00FE3323" w:rsidRDefault="00D033D3" w:rsidP="00D033D3">
      <w:pPr>
        <w:pStyle w:val="PointsBullets"/>
        <w:keepNext/>
        <w:rPr>
          <w:rFonts w:cs="Arial"/>
          <w:lang w:eastAsia="en-AU"/>
        </w:rPr>
      </w:pPr>
      <w:r>
        <w:rPr>
          <w:rFonts w:cs="Arial"/>
          <w:lang w:eastAsia="en-AU"/>
        </w:rPr>
        <w:t>annual NPC</w:t>
      </w:r>
      <w:r w:rsidRPr="00562FF0">
        <w:rPr>
          <w:rFonts w:cs="Arial"/>
          <w:lang w:eastAsia="en-AU"/>
        </w:rPr>
        <w:t xml:space="preserve"> Steel Can Recycling Survey</w:t>
      </w:r>
    </w:p>
    <w:p w:rsidR="00D033D3" w:rsidRPr="00FE3323" w:rsidRDefault="00D033D3" w:rsidP="00D033D3">
      <w:pPr>
        <w:pStyle w:val="PointsBullets"/>
        <w:keepNext/>
        <w:rPr>
          <w:rFonts w:cs="Arial"/>
          <w:lang w:eastAsia="en-AU"/>
        </w:rPr>
      </w:pPr>
      <w:r>
        <w:rPr>
          <w:rFonts w:cs="Arial"/>
          <w:lang w:eastAsia="en-AU"/>
        </w:rPr>
        <w:t xml:space="preserve">annual </w:t>
      </w:r>
      <w:r w:rsidRPr="00FE3323">
        <w:rPr>
          <w:rFonts w:cs="Arial"/>
          <w:lang w:eastAsia="en-AU"/>
        </w:rPr>
        <w:t>Aluminium</w:t>
      </w:r>
      <w:r>
        <w:rPr>
          <w:rFonts w:cs="Arial"/>
          <w:lang w:eastAsia="en-AU"/>
        </w:rPr>
        <w:t xml:space="preserve"> Can Group data</w:t>
      </w:r>
    </w:p>
    <w:p w:rsidR="00D033D3" w:rsidRPr="00FE3323" w:rsidRDefault="00D033D3" w:rsidP="00D033D3">
      <w:pPr>
        <w:pStyle w:val="PointsBullets"/>
        <w:spacing w:after="180"/>
        <w:rPr>
          <w:rFonts w:ascii="TTE27F29F0t00" w:hAnsi="TTE27F29F0t00" w:cs="TTE27F29F0t00"/>
          <w:lang w:eastAsia="en-AU"/>
        </w:rPr>
      </w:pPr>
      <w:r>
        <w:rPr>
          <w:rFonts w:ascii="TTE27F29F0t00" w:hAnsi="TTE27F29F0t00" w:cs="TTE27F29F0t00"/>
          <w:lang w:eastAsia="en-AU"/>
        </w:rPr>
        <w:t>annual Industry Edge data on newspaper recycling.</w:t>
      </w:r>
    </w:p>
    <w:p w:rsidR="00D033D3" w:rsidRDefault="00D033D3" w:rsidP="00D033D3">
      <w:pPr>
        <w:pStyle w:val="Heading3"/>
        <w:numPr>
          <w:ilvl w:val="2"/>
          <w:numId w:val="12"/>
        </w:numPr>
        <w:shd w:val="clear" w:color="auto" w:fill="auto"/>
      </w:pPr>
      <w:r>
        <w:t>Waste collected in a different stream to the source</w:t>
      </w:r>
    </w:p>
    <w:p w:rsidR="00D033D3" w:rsidRDefault="00D033D3" w:rsidP="00D033D3">
      <w:pPr>
        <w:pStyle w:val="ParaIndent"/>
        <w:rPr>
          <w:lang w:eastAsia="en-AU"/>
        </w:rPr>
      </w:pPr>
      <w:r>
        <w:rPr>
          <w:lang w:eastAsia="en-AU"/>
        </w:rPr>
        <w:t>Waste that is defined as originating from a particular source is sometimes collected, and identified as being part of another waste stream. There are a number of instances where this happens on a regular basis.</w:t>
      </w:r>
    </w:p>
    <w:p w:rsidR="00D033D3" w:rsidRDefault="00D033D3" w:rsidP="00D033D3">
      <w:pPr>
        <w:pStyle w:val="ParaIndent"/>
        <w:rPr>
          <w:lang w:eastAsia="en-AU"/>
        </w:rPr>
      </w:pPr>
      <w:r>
        <w:rPr>
          <w:lang w:eastAsia="en-AU"/>
        </w:rPr>
        <w:t>Some councils offer a kerbside waste and/or a recycling collection service to local small businesses. Waste and recycling collected from these businesses is usually not recorded separately to that collected from households. In this case, a small proportion of waste that is recorded as municipal waste is actually C&amp;I waste. Conversely, some municipal waste collected in mixed use buildings is can be counted as being C&amp;I waste.</w:t>
      </w:r>
    </w:p>
    <w:p w:rsidR="00D033D3" w:rsidRDefault="00D033D3" w:rsidP="00D033D3">
      <w:pPr>
        <w:pStyle w:val="ParaIndent"/>
      </w:pPr>
      <w:r>
        <w:t>C&amp;D waste from home renovations, shop fit-outs, and other minor building activities can be disposed of through Council or privately sourced waste collection systems that would ordinarily be considered part of the municipal or C&amp;I waste stream. For example, a trailer load of C&amp;D waste taken to a transfer station or landfill by a home renovator is likely to be considered municipal waste.</w:t>
      </w:r>
    </w:p>
    <w:p w:rsidR="00D033D3" w:rsidRDefault="00D033D3" w:rsidP="00D033D3">
      <w:pPr>
        <w:pStyle w:val="ParaIndent"/>
      </w:pPr>
      <w:r>
        <w:t>In these instances, the data collected usually makes it difficult to distinguish between the source of the waste and the stream that it is collected in. Most waste and recycling reporting does not attempt to separate that out component of a waste stream that is collected from another source.</w:t>
      </w:r>
      <w:r w:rsidRPr="00DE37DE">
        <w:t xml:space="preserve"> </w:t>
      </w:r>
    </w:p>
    <w:p w:rsidR="00D033D3" w:rsidRPr="00314C00" w:rsidRDefault="00D033D3" w:rsidP="00D033D3">
      <w:pPr>
        <w:pStyle w:val="Caption0"/>
        <w:ind w:firstLine="0"/>
        <w:rPr>
          <w:rFonts w:ascii="Arial" w:hAnsi="Arial" w:cs="Arial"/>
        </w:rPr>
      </w:pPr>
      <w:bookmarkStart w:id="344" w:name="_Toc333908412"/>
      <w:r w:rsidRPr="00D5271B">
        <w:rPr>
          <w:rFonts w:ascii="Arial" w:hAnsi="Arial" w:cs="Arial"/>
        </w:rPr>
        <w:t xml:space="preserve">Recommendation </w:t>
      </w:r>
      <w:r w:rsidR="00B9555F" w:rsidRPr="00D5271B">
        <w:rPr>
          <w:rFonts w:ascii="Arial" w:hAnsi="Arial" w:cs="Arial"/>
        </w:rPr>
        <w:fldChar w:fldCharType="begin"/>
      </w:r>
      <w:r w:rsidRPr="00D5271B">
        <w:rPr>
          <w:rFonts w:ascii="Arial" w:hAnsi="Arial" w:cs="Arial"/>
        </w:rPr>
        <w:instrText xml:space="preserve"> SEQ Recommendation \* ARABIC </w:instrText>
      </w:r>
      <w:r w:rsidR="00B9555F" w:rsidRPr="00D5271B">
        <w:rPr>
          <w:rFonts w:ascii="Arial" w:hAnsi="Arial" w:cs="Arial"/>
        </w:rPr>
        <w:fldChar w:fldCharType="separate"/>
      </w:r>
      <w:r w:rsidR="00AE7E3B">
        <w:rPr>
          <w:rFonts w:ascii="Arial" w:hAnsi="Arial" w:cs="Arial"/>
          <w:noProof/>
        </w:rPr>
        <w:t>21</w:t>
      </w:r>
      <w:r w:rsidR="00B9555F" w:rsidRPr="00D5271B">
        <w:rPr>
          <w:rFonts w:ascii="Arial" w:hAnsi="Arial" w:cs="Arial"/>
        </w:rPr>
        <w:fldChar w:fldCharType="end"/>
      </w:r>
      <w:r w:rsidRPr="00D5271B">
        <w:rPr>
          <w:rFonts w:ascii="Arial" w:hAnsi="Arial" w:cs="Arial"/>
        </w:rPr>
        <w:t>: Waste should be counted by the stream that it is collected in unless data is readily available.</w:t>
      </w:r>
      <w:bookmarkEnd w:id="344"/>
    </w:p>
    <w:p w:rsidR="00D033D3" w:rsidRDefault="00D033D3" w:rsidP="00D033D3">
      <w:pPr>
        <w:pStyle w:val="Heading3"/>
        <w:numPr>
          <w:ilvl w:val="2"/>
          <w:numId w:val="12"/>
        </w:numPr>
        <w:shd w:val="clear" w:color="auto" w:fill="auto"/>
        <w:rPr>
          <w:lang w:eastAsia="en-AU"/>
        </w:rPr>
      </w:pPr>
      <w:r w:rsidRPr="00CB67DC">
        <w:rPr>
          <w:lang w:eastAsia="en-AU"/>
        </w:rPr>
        <w:t>Conversion factor</w:t>
      </w:r>
      <w:r>
        <w:rPr>
          <w:lang w:eastAsia="en-AU"/>
        </w:rPr>
        <w:t>s</w:t>
      </w:r>
    </w:p>
    <w:p w:rsidR="00D033D3" w:rsidRDefault="00D033D3" w:rsidP="00D033D3">
      <w:pPr>
        <w:pStyle w:val="ParaIndent"/>
        <w:rPr>
          <w:lang w:eastAsia="en-AU"/>
        </w:rPr>
      </w:pPr>
      <w:r>
        <w:rPr>
          <w:lang w:eastAsia="en-AU"/>
        </w:rPr>
        <w:t>Some landfills, particularly smaller facilities, and those in rural areas, operate without weighbridges. In these instances, conversion factors are used to convert data on the volume of material collected into an estimate of the weight of material collected. Conversion factors are also often used to convert the volume of organic material collected into a weight.</w:t>
      </w:r>
    </w:p>
    <w:p w:rsidR="00D033D3" w:rsidRDefault="00D033D3" w:rsidP="00D033D3">
      <w:pPr>
        <w:pStyle w:val="ParaIndent"/>
        <w:rPr>
          <w:lang w:eastAsia="en-AU"/>
        </w:rPr>
      </w:pPr>
      <w:r>
        <w:rPr>
          <w:lang w:eastAsia="en-AU"/>
        </w:rPr>
        <w:t>The density of loads disposed to landfill or organic recyclers can vary markedly between jurisdictions, and between landfills within jurisdictions. Accordingly, conversion factors can vary between jurisdictions, and between landfills within jurisdictions.</w:t>
      </w:r>
    </w:p>
    <w:p w:rsidR="00D033D3" w:rsidRPr="00D540FF" w:rsidRDefault="00D033D3" w:rsidP="00D033D3">
      <w:pPr>
        <w:pStyle w:val="Caption0"/>
        <w:ind w:firstLine="0"/>
        <w:rPr>
          <w:rFonts w:ascii="Arial" w:hAnsi="Arial" w:cs="Arial"/>
        </w:rPr>
      </w:pPr>
      <w:bookmarkStart w:id="345" w:name="_Toc333908413"/>
      <w:r w:rsidRPr="00D540FF">
        <w:rPr>
          <w:rFonts w:ascii="Arial" w:hAnsi="Arial" w:cs="Arial"/>
        </w:rPr>
        <w:t xml:space="preserve">Recommendation </w:t>
      </w:r>
      <w:r w:rsidR="00B9555F" w:rsidRPr="00D540FF">
        <w:rPr>
          <w:rFonts w:ascii="Arial" w:hAnsi="Arial" w:cs="Arial"/>
        </w:rPr>
        <w:fldChar w:fldCharType="begin"/>
      </w:r>
      <w:r w:rsidRPr="00D540FF">
        <w:rPr>
          <w:rFonts w:ascii="Arial" w:hAnsi="Arial" w:cs="Arial"/>
        </w:rPr>
        <w:instrText xml:space="preserve"> SEQ Recommendation \* ARABIC </w:instrText>
      </w:r>
      <w:r w:rsidR="00B9555F" w:rsidRPr="00D540FF">
        <w:rPr>
          <w:rFonts w:ascii="Arial" w:hAnsi="Arial" w:cs="Arial"/>
        </w:rPr>
        <w:fldChar w:fldCharType="separate"/>
      </w:r>
      <w:r w:rsidR="00AE7E3B">
        <w:rPr>
          <w:rFonts w:ascii="Arial" w:hAnsi="Arial" w:cs="Arial"/>
          <w:noProof/>
        </w:rPr>
        <w:t>22</w:t>
      </w:r>
      <w:r w:rsidR="00B9555F" w:rsidRPr="00D540FF">
        <w:rPr>
          <w:rFonts w:ascii="Arial" w:hAnsi="Arial" w:cs="Arial"/>
        </w:rPr>
        <w:fldChar w:fldCharType="end"/>
      </w:r>
      <w:r>
        <w:rPr>
          <w:rFonts w:ascii="Arial" w:hAnsi="Arial" w:cs="Arial"/>
        </w:rPr>
        <w:t>: Standard conversion factors should be used except for where states or territories have justification to apply jurisdiction or site specific conversion factors.</w:t>
      </w:r>
      <w:bookmarkEnd w:id="345"/>
    </w:p>
    <w:p w:rsidR="00D033D3" w:rsidRDefault="00D033D3" w:rsidP="00D033D3">
      <w:pPr>
        <w:pStyle w:val="ParaIndent"/>
        <w:rPr>
          <w:lang w:eastAsia="en-AU"/>
        </w:rPr>
      </w:pPr>
      <w:r w:rsidRPr="00D5271B">
        <w:rPr>
          <w:lang w:eastAsia="en-AU"/>
        </w:rPr>
        <w:t>For open truck loads, NSW applies a different conversion factor to municipal and C&amp;I waste, to C&amp;D waste and to “excavated natural materials”. For closed truck loads a single conversion factor is applied.</w:t>
      </w:r>
    </w:p>
    <w:p w:rsidR="00D033D3" w:rsidRDefault="00D033D3" w:rsidP="00D033D3">
      <w:pPr>
        <w:pStyle w:val="ParaIndent"/>
        <w:rPr>
          <w:lang w:eastAsia="en-AU"/>
        </w:rPr>
      </w:pPr>
      <w:r>
        <w:rPr>
          <w:lang w:eastAsia="en-AU"/>
        </w:rPr>
        <w:t>Victoria uses a standard conversion factor for landfills that collect volumetric data. However, provision is made for landfills to establish and apply a site specific density. Victoria also uses a conversion factor to determine the weight of organic material recycled.</w:t>
      </w:r>
    </w:p>
    <w:p w:rsidR="00D033D3" w:rsidRDefault="00D033D3" w:rsidP="00D033D3">
      <w:pPr>
        <w:pStyle w:val="ParaIndent"/>
        <w:rPr>
          <w:lang w:eastAsia="en-AU"/>
        </w:rPr>
      </w:pPr>
      <w:r>
        <w:rPr>
          <w:lang w:eastAsia="en-AU"/>
        </w:rPr>
        <w:t>Queensland uses conversion factors from California to convert volumes to weight.</w:t>
      </w:r>
    </w:p>
    <w:p w:rsidR="00D033D3" w:rsidRPr="004E53E4" w:rsidRDefault="00D033D3" w:rsidP="00D033D3">
      <w:pPr>
        <w:pStyle w:val="Heading3"/>
        <w:numPr>
          <w:ilvl w:val="2"/>
          <w:numId w:val="12"/>
        </w:numPr>
        <w:shd w:val="clear" w:color="auto" w:fill="auto"/>
      </w:pPr>
      <w:r>
        <w:t>R</w:t>
      </w:r>
      <w:r w:rsidRPr="004E53E4">
        <w:t xml:space="preserve">esidual </w:t>
      </w:r>
      <w:r>
        <w:t>material</w:t>
      </w:r>
    </w:p>
    <w:p w:rsidR="00D033D3" w:rsidRDefault="00D033D3">
      <w:pPr>
        <w:pStyle w:val="ParaIndent"/>
        <w:keepNext/>
        <w:keepLines/>
      </w:pPr>
      <w:r>
        <w:t>Residual material refers to the contaminants in, or unwanted components of, products and materials collected for recycling. These materials are extracted either prior to or during reprocessing operations, or the conversion of waste to energy. Residual material usually accounts for any discrepancies between the materials reported as having been recovered for recycling, and that which is actually recycled.</w:t>
      </w:r>
    </w:p>
    <w:p w:rsidR="00D033D3" w:rsidRDefault="00D033D3" w:rsidP="00D033D3">
      <w:pPr>
        <w:pStyle w:val="Caption0"/>
        <w:ind w:firstLine="0"/>
        <w:rPr>
          <w:rFonts w:ascii="Arial" w:hAnsi="Arial" w:cs="Arial"/>
        </w:rPr>
      </w:pPr>
      <w:bookmarkStart w:id="346" w:name="_Toc333908414"/>
      <w:r w:rsidRPr="00D5271B">
        <w:rPr>
          <w:rFonts w:ascii="Arial" w:hAnsi="Arial" w:cs="Arial"/>
        </w:rPr>
        <w:t xml:space="preserve">Recommendation </w:t>
      </w:r>
      <w:r w:rsidR="00B9555F" w:rsidRPr="00D5271B">
        <w:rPr>
          <w:rFonts w:ascii="Arial" w:hAnsi="Arial" w:cs="Arial"/>
        </w:rPr>
        <w:fldChar w:fldCharType="begin"/>
      </w:r>
      <w:r w:rsidRPr="00D5271B">
        <w:rPr>
          <w:rFonts w:ascii="Arial" w:hAnsi="Arial" w:cs="Arial"/>
        </w:rPr>
        <w:instrText xml:space="preserve"> SEQ Recommendation \* ARABIC </w:instrText>
      </w:r>
      <w:r w:rsidR="00B9555F" w:rsidRPr="00D5271B">
        <w:rPr>
          <w:rFonts w:ascii="Arial" w:hAnsi="Arial" w:cs="Arial"/>
        </w:rPr>
        <w:fldChar w:fldCharType="separate"/>
      </w:r>
      <w:r w:rsidR="00AE7E3B">
        <w:rPr>
          <w:rFonts w:ascii="Arial" w:hAnsi="Arial" w:cs="Arial"/>
          <w:noProof/>
        </w:rPr>
        <w:t>23</w:t>
      </w:r>
      <w:r w:rsidR="00B9555F" w:rsidRPr="00D5271B">
        <w:rPr>
          <w:rFonts w:ascii="Arial" w:hAnsi="Arial" w:cs="Arial"/>
        </w:rPr>
        <w:fldChar w:fldCharType="end"/>
      </w:r>
      <w:r w:rsidRPr="00D5271B">
        <w:rPr>
          <w:rFonts w:ascii="Arial" w:hAnsi="Arial" w:cs="Arial"/>
        </w:rPr>
        <w:t>: Residual material from recycling operations should not be counted as recycled material.</w:t>
      </w:r>
      <w:bookmarkEnd w:id="346"/>
    </w:p>
    <w:p w:rsidR="00D033D3" w:rsidRDefault="00D033D3" w:rsidP="00D033D3">
      <w:pPr>
        <w:pStyle w:val="ParaIndent"/>
      </w:pPr>
      <w:r>
        <w:t>Difficulties in measuring and comparing the amount of residual material can arise depending on the point in the recycling process at which data collection occurs. If the amount of recycled material is measured at the point of input into a recycling process, the reported amount will include any waste material separated during reprocessing. In this case, the residual material would be counted twice: once as a component of material made available for recycling, and again when it is disposed to landfill.</w:t>
      </w:r>
    </w:p>
    <w:p w:rsidR="00D033D3" w:rsidRDefault="00D033D3" w:rsidP="00D033D3">
      <w:pPr>
        <w:pStyle w:val="ParaIndent"/>
      </w:pPr>
      <w:r>
        <w:t>This difficultly also occurs when measuring material that is collected for recycling overseas. However, it is less likely to be an issue in this instance given that there is usually an economic imperative to ship recyclate material with as little residual material as possible.</w:t>
      </w:r>
    </w:p>
    <w:p w:rsidR="00D033D3" w:rsidRPr="00052CB0" w:rsidRDefault="00D033D3" w:rsidP="00D033D3">
      <w:pPr>
        <w:pStyle w:val="ParaIndent"/>
      </w:pPr>
      <w:r>
        <w:t>Most states and territories make attempts to record the amount of material after reprocessing.</w:t>
      </w:r>
    </w:p>
    <w:p w:rsidR="00D033D3" w:rsidRDefault="00D033D3" w:rsidP="00D033D3">
      <w:pPr>
        <w:pStyle w:val="ParaIndent"/>
      </w:pPr>
      <w:r>
        <w:t>NSW reports on material received for reprocessing, and records details on contamination losses where they occur.</w:t>
      </w:r>
    </w:p>
    <w:p w:rsidR="00D033D3" w:rsidRDefault="00D033D3" w:rsidP="00D033D3">
      <w:pPr>
        <w:pStyle w:val="ParaIndent"/>
        <w:rPr>
          <w:rFonts w:cs="Arial"/>
          <w:lang w:eastAsia="en-AU"/>
        </w:rPr>
      </w:pPr>
      <w:r>
        <w:t xml:space="preserve">Victoria also records material recovered for reprocessing, and asks recyclers </w:t>
      </w:r>
      <w:r>
        <w:rPr>
          <w:rFonts w:cs="Arial"/>
          <w:lang w:eastAsia="en-AU"/>
        </w:rPr>
        <w:t>to provide data on the “amount of material disposed to landfill due to contamination or as processing waste.”</w:t>
      </w:r>
    </w:p>
    <w:p w:rsidR="00D033D3" w:rsidRDefault="00D033D3" w:rsidP="00D033D3">
      <w:pPr>
        <w:pStyle w:val="ParaIndent"/>
        <w:rPr>
          <w:lang w:eastAsia="en-AU"/>
        </w:rPr>
      </w:pPr>
      <w:r>
        <w:rPr>
          <w:lang w:eastAsia="en-AU"/>
        </w:rPr>
        <w:t>Queensland asks Councils to provide details on “materials collected for recycling disposed to landfill due to contamination.”</w:t>
      </w:r>
    </w:p>
    <w:p w:rsidR="00D033D3" w:rsidRDefault="00D033D3" w:rsidP="00D033D3">
      <w:pPr>
        <w:pStyle w:val="ParaIndent"/>
        <w:rPr>
          <w:lang w:eastAsia="en-AU"/>
        </w:rPr>
      </w:pPr>
      <w:r>
        <w:rPr>
          <w:lang w:eastAsia="en-AU"/>
        </w:rPr>
        <w:t>Western Australia provides details of recyclable and non-recyclable reprocessing losses.</w:t>
      </w:r>
    </w:p>
    <w:p w:rsidR="00D033D3" w:rsidRDefault="00D033D3" w:rsidP="00D033D3">
      <w:pPr>
        <w:pStyle w:val="ParaIndent"/>
        <w:rPr>
          <w:lang w:eastAsia="en-AU"/>
        </w:rPr>
      </w:pPr>
      <w:r>
        <w:rPr>
          <w:lang w:eastAsia="en-AU"/>
        </w:rPr>
        <w:t>South Australia excludes reprocessing losses from the quantity of material recovered for recycling.</w:t>
      </w:r>
    </w:p>
    <w:p w:rsidR="00D033D3" w:rsidRDefault="00D033D3" w:rsidP="00D033D3">
      <w:pPr>
        <w:pStyle w:val="ParaIndent"/>
        <w:rPr>
          <w:lang w:eastAsia="en-AU"/>
        </w:rPr>
      </w:pPr>
      <w:r>
        <w:rPr>
          <w:lang w:eastAsia="en-AU"/>
        </w:rPr>
        <w:t>In the ACT, recycling is generally measured as ‘out-the-gate’, with the exception being green-waste, which is measured using a conversion factor.</w:t>
      </w:r>
    </w:p>
    <w:p w:rsidR="00D033D3" w:rsidRPr="00264EB0" w:rsidRDefault="00D033D3" w:rsidP="00D033D3">
      <w:pPr>
        <w:pStyle w:val="Heading3"/>
        <w:numPr>
          <w:ilvl w:val="2"/>
          <w:numId w:val="12"/>
        </w:numPr>
        <w:shd w:val="clear" w:color="auto" w:fill="auto"/>
        <w:rPr>
          <w:lang w:eastAsia="en-AU"/>
        </w:rPr>
      </w:pPr>
      <w:r w:rsidRPr="00264EB0">
        <w:rPr>
          <w:lang w:eastAsia="en-AU"/>
        </w:rPr>
        <w:t>Input or output</w:t>
      </w:r>
    </w:p>
    <w:p w:rsidR="00D033D3" w:rsidRPr="00264EB0" w:rsidRDefault="00D033D3" w:rsidP="00D033D3">
      <w:pPr>
        <w:pStyle w:val="ParaIndent"/>
      </w:pPr>
      <w:r w:rsidRPr="00264EB0">
        <w:t>Another issue in the accounting of recycling can be whether to record the weight of material input or material output, even after accounting for contamination or unwanted components. This is a particular issue in the composting of organic wastes, where chemical processes occur which reduce the mass of the compost significantly from that of the organic material coming in the gate.</w:t>
      </w:r>
    </w:p>
    <w:p w:rsidR="00D033D3" w:rsidRPr="00264EB0" w:rsidRDefault="00D033D3" w:rsidP="00D033D3">
      <w:pPr>
        <w:pStyle w:val="ParaIndent"/>
      </w:pPr>
      <w:r w:rsidRPr="00264EB0">
        <w:t xml:space="preserve">Given that organic waste disposal to landfill is recorded as a waste input, it stands to reason that organic waste recycling (less residual material) should be accounted for similarly. </w:t>
      </w:r>
    </w:p>
    <w:p w:rsidR="00D033D3" w:rsidRDefault="00D033D3" w:rsidP="00D033D3">
      <w:pPr>
        <w:pStyle w:val="Caption0"/>
        <w:ind w:firstLine="0"/>
        <w:rPr>
          <w:rFonts w:ascii="Arial" w:hAnsi="Arial" w:cs="Arial"/>
        </w:rPr>
      </w:pPr>
      <w:bookmarkStart w:id="347" w:name="_Toc333908415"/>
      <w:r w:rsidRPr="00264EB0">
        <w:rPr>
          <w:rFonts w:ascii="Arial" w:hAnsi="Arial" w:cs="Arial"/>
        </w:rPr>
        <w:t xml:space="preserve">Recommendation </w:t>
      </w:r>
      <w:r w:rsidR="00B9555F" w:rsidRPr="00264EB0">
        <w:rPr>
          <w:rFonts w:ascii="Arial" w:hAnsi="Arial" w:cs="Arial"/>
        </w:rPr>
        <w:fldChar w:fldCharType="begin"/>
      </w:r>
      <w:r w:rsidRPr="00264EB0">
        <w:rPr>
          <w:rFonts w:ascii="Arial" w:hAnsi="Arial" w:cs="Arial"/>
        </w:rPr>
        <w:instrText xml:space="preserve"> SEQ Recommendation \* ARABIC </w:instrText>
      </w:r>
      <w:r w:rsidR="00B9555F" w:rsidRPr="00264EB0">
        <w:rPr>
          <w:rFonts w:ascii="Arial" w:hAnsi="Arial" w:cs="Arial"/>
        </w:rPr>
        <w:fldChar w:fldCharType="separate"/>
      </w:r>
      <w:r w:rsidR="00AE7E3B">
        <w:rPr>
          <w:rFonts w:ascii="Arial" w:hAnsi="Arial" w:cs="Arial"/>
          <w:noProof/>
        </w:rPr>
        <w:t>24</w:t>
      </w:r>
      <w:r w:rsidR="00B9555F" w:rsidRPr="00264EB0">
        <w:rPr>
          <w:rFonts w:ascii="Arial" w:hAnsi="Arial" w:cs="Arial"/>
        </w:rPr>
        <w:fldChar w:fldCharType="end"/>
      </w:r>
      <w:r w:rsidRPr="00264EB0">
        <w:rPr>
          <w:rFonts w:ascii="Arial" w:hAnsi="Arial" w:cs="Arial"/>
        </w:rPr>
        <w:t xml:space="preserve">: </w:t>
      </w:r>
      <w:r>
        <w:rPr>
          <w:rFonts w:ascii="Arial" w:hAnsi="Arial" w:cs="Arial"/>
        </w:rPr>
        <w:t>Recycling should be counted by material input (less residual material).</w:t>
      </w:r>
      <w:bookmarkEnd w:id="347"/>
    </w:p>
    <w:p w:rsidR="00D033D3" w:rsidRPr="005C14F8" w:rsidRDefault="00D033D3" w:rsidP="00D033D3">
      <w:pPr>
        <w:pStyle w:val="Heading3"/>
        <w:numPr>
          <w:ilvl w:val="2"/>
          <w:numId w:val="12"/>
        </w:numPr>
        <w:shd w:val="clear" w:color="auto" w:fill="auto"/>
      </w:pPr>
      <w:r w:rsidRPr="005C14F8">
        <w:t xml:space="preserve">Interstate </w:t>
      </w:r>
      <w:r>
        <w:t xml:space="preserve">and international </w:t>
      </w:r>
      <w:r w:rsidRPr="005C14F8">
        <w:t>movement</w:t>
      </w:r>
    </w:p>
    <w:p w:rsidR="00D033D3" w:rsidRDefault="00D033D3" w:rsidP="00D033D3">
      <w:pPr>
        <w:pStyle w:val="ParaIndent"/>
      </w:pPr>
      <w:r>
        <w:t>The movement of waste and recyclate between states and territories sometimes leads to the double counting of material. For example, one state might record material collected for recycling within its borders, and another state that receives this material might also record this material in its recycling figures.</w:t>
      </w:r>
    </w:p>
    <w:p w:rsidR="00D033D3" w:rsidRPr="00D77267" w:rsidRDefault="00D033D3" w:rsidP="00D033D3">
      <w:pPr>
        <w:pStyle w:val="Caption0"/>
        <w:ind w:firstLine="0"/>
        <w:rPr>
          <w:rFonts w:ascii="Arial" w:hAnsi="Arial" w:cs="Arial"/>
        </w:rPr>
      </w:pPr>
      <w:bookmarkStart w:id="348" w:name="_Toc333908416"/>
      <w:r w:rsidRPr="00D77267">
        <w:rPr>
          <w:rFonts w:ascii="Arial" w:hAnsi="Arial" w:cs="Arial"/>
        </w:rPr>
        <w:t xml:space="preserve">Recommendation </w:t>
      </w:r>
      <w:r w:rsidR="00B9555F" w:rsidRPr="00D77267">
        <w:rPr>
          <w:rFonts w:ascii="Arial" w:hAnsi="Arial" w:cs="Arial"/>
        </w:rPr>
        <w:fldChar w:fldCharType="begin"/>
      </w:r>
      <w:r w:rsidRPr="00D77267">
        <w:rPr>
          <w:rFonts w:ascii="Arial" w:hAnsi="Arial" w:cs="Arial"/>
        </w:rPr>
        <w:instrText xml:space="preserve"> SEQ Recommendation \* ARABIC </w:instrText>
      </w:r>
      <w:r w:rsidR="00B9555F" w:rsidRPr="00D77267">
        <w:rPr>
          <w:rFonts w:ascii="Arial" w:hAnsi="Arial" w:cs="Arial"/>
        </w:rPr>
        <w:fldChar w:fldCharType="separate"/>
      </w:r>
      <w:r w:rsidR="00AE7E3B">
        <w:rPr>
          <w:rFonts w:ascii="Arial" w:hAnsi="Arial" w:cs="Arial"/>
          <w:noProof/>
        </w:rPr>
        <w:t>25</w:t>
      </w:r>
      <w:r w:rsidR="00B9555F" w:rsidRPr="00D77267">
        <w:rPr>
          <w:rFonts w:ascii="Arial" w:hAnsi="Arial" w:cs="Arial"/>
        </w:rPr>
        <w:fldChar w:fldCharType="end"/>
      </w:r>
      <w:r w:rsidRPr="00D77267">
        <w:rPr>
          <w:rFonts w:ascii="Arial" w:hAnsi="Arial" w:cs="Arial"/>
        </w:rPr>
        <w:t xml:space="preserve">: Waste </w:t>
      </w:r>
      <w:r>
        <w:rPr>
          <w:rFonts w:ascii="Arial" w:hAnsi="Arial" w:cs="Arial"/>
        </w:rPr>
        <w:t>should be</w:t>
      </w:r>
      <w:r w:rsidRPr="00D77267">
        <w:rPr>
          <w:rFonts w:ascii="Arial" w:hAnsi="Arial" w:cs="Arial"/>
        </w:rPr>
        <w:t xml:space="preserve"> counted once at the point of generation.</w:t>
      </w:r>
      <w:bookmarkEnd w:id="348"/>
    </w:p>
    <w:p w:rsidR="00D033D3" w:rsidRPr="00D77267" w:rsidRDefault="00D033D3" w:rsidP="00D033D3">
      <w:pPr>
        <w:pStyle w:val="ParaIndent"/>
      </w:pPr>
      <w:r>
        <w:t xml:space="preserve">The accurate accounting of waste that is transported interstate can become difficult with respect to residual material. When material collected for recycling crosses state or territory borders, it is usually counted by gross weight in the state of origin. The residual material from recycling operations in the destination state is also likely to be counted as landfilled waste. In this case, care needs to be taken that the residual material from recycling is not double counted. </w:t>
      </w:r>
      <w:r w:rsidRPr="00D77267">
        <w:t>Residual material from reprocessing that is collected in a different jurisdiction to that where it is landfilled should be attributed to the point of generation.</w:t>
      </w:r>
    </w:p>
    <w:p w:rsidR="00D033D3" w:rsidRDefault="00D033D3" w:rsidP="00D033D3">
      <w:pPr>
        <w:pStyle w:val="ParaIndent"/>
      </w:pPr>
      <w:r>
        <w:t>The double counting of material collected for landfilling is less likely. However, given that most jurisdictions record landfill data at the gate, material that is transported interstate to be landfilled is usually recorded at the point of disposal.</w:t>
      </w:r>
    </w:p>
    <w:p w:rsidR="00D033D3" w:rsidRPr="00D77267" w:rsidRDefault="00D033D3" w:rsidP="00D033D3">
      <w:pPr>
        <w:pStyle w:val="ParaIndent"/>
      </w:pPr>
      <w:r w:rsidRPr="00D77267">
        <w:t xml:space="preserve">Significant quantities of recyclate materials (both before and after reprocessing) are exported from Australia. This </w:t>
      </w:r>
      <w:r>
        <w:t>occurs</w:t>
      </w:r>
      <w:r w:rsidRPr="00D77267">
        <w:t xml:space="preserve"> across many material types, including; steel, non-ferrous metals, paper and cardboard, and plastics (predominately packaging). While reasonably good data is often available on the material types of exported recyclate, the </w:t>
      </w:r>
      <w:r>
        <w:t xml:space="preserve">state of origin </w:t>
      </w:r>
      <w:r w:rsidRPr="00D77267">
        <w:t xml:space="preserve">of the material can be uncertain as materials are sometimes transported interstate prior to export. </w:t>
      </w:r>
    </w:p>
    <w:p w:rsidR="00D033D3" w:rsidRPr="00D77267" w:rsidRDefault="00D033D3" w:rsidP="00D033D3">
      <w:pPr>
        <w:pStyle w:val="ParaIndent"/>
        <w:rPr>
          <w:lang w:eastAsia="en-AU"/>
        </w:rPr>
      </w:pPr>
      <w:r w:rsidRPr="00D77267">
        <w:rPr>
          <w:lang w:eastAsia="en-AU"/>
        </w:rPr>
        <w:t xml:space="preserve">NSW records data on recycling at the point of collection. That is, </w:t>
      </w:r>
      <w:r>
        <w:rPr>
          <w:lang w:eastAsia="en-AU"/>
        </w:rPr>
        <w:t>material that is imported into the state is not reported</w:t>
      </w:r>
      <w:r w:rsidRPr="00D77267">
        <w:rPr>
          <w:lang w:eastAsia="en-AU"/>
        </w:rPr>
        <w:t xml:space="preserve">, but material </w:t>
      </w:r>
      <w:r>
        <w:rPr>
          <w:lang w:eastAsia="en-AU"/>
        </w:rPr>
        <w:t xml:space="preserve">that is </w:t>
      </w:r>
      <w:r w:rsidRPr="00D77267">
        <w:rPr>
          <w:lang w:eastAsia="en-AU"/>
        </w:rPr>
        <w:t>collected and exported</w:t>
      </w:r>
      <w:r>
        <w:rPr>
          <w:lang w:eastAsia="en-AU"/>
        </w:rPr>
        <w:t xml:space="preserve"> from the state is</w:t>
      </w:r>
      <w:r w:rsidRPr="00D77267">
        <w:rPr>
          <w:lang w:eastAsia="en-AU"/>
        </w:rPr>
        <w:t>. However, landfill data is measured only as what comes through the gate</w:t>
      </w:r>
      <w:r>
        <w:rPr>
          <w:lang w:eastAsia="en-AU"/>
        </w:rPr>
        <w:t>, irrespective of origin</w:t>
      </w:r>
      <w:r w:rsidRPr="00D77267">
        <w:rPr>
          <w:lang w:eastAsia="en-AU"/>
        </w:rPr>
        <w:t>.</w:t>
      </w:r>
    </w:p>
    <w:p w:rsidR="00D033D3" w:rsidRPr="00D77267" w:rsidRDefault="00D033D3" w:rsidP="00D033D3">
      <w:pPr>
        <w:pStyle w:val="ParaIndent"/>
      </w:pPr>
      <w:r w:rsidRPr="00D77267">
        <w:t>Victoria provides details on material imported and exported interstate in its survey of recycling activities. However there is no tracking of the interstate movement of non-</w:t>
      </w:r>
      <w:r>
        <w:t>hazardous</w:t>
      </w:r>
      <w:r w:rsidRPr="00D77267">
        <w:t xml:space="preserve"> waste to landfill.</w:t>
      </w:r>
    </w:p>
    <w:p w:rsidR="00D033D3" w:rsidRPr="00D77267" w:rsidRDefault="00D033D3" w:rsidP="00D033D3">
      <w:pPr>
        <w:pStyle w:val="ParaIndent"/>
      </w:pPr>
      <w:r w:rsidRPr="00D77267">
        <w:t>Conversely, in Queensland, landfills are asked to provide state of origin, but no tracking is undertaken for recycling.</w:t>
      </w:r>
    </w:p>
    <w:p w:rsidR="00D033D3" w:rsidRPr="00D77267" w:rsidRDefault="00D033D3" w:rsidP="00D033D3">
      <w:pPr>
        <w:pStyle w:val="ParaIndent"/>
        <w:spacing w:after="120"/>
      </w:pPr>
      <w:r w:rsidRPr="00D77267">
        <w:t>The ACT</w:t>
      </w:r>
      <w:r w:rsidRPr="00D77267">
        <w:rPr>
          <w:lang w:eastAsia="en-AU"/>
        </w:rPr>
        <w:t xml:space="preserve"> only </w:t>
      </w:r>
      <w:r>
        <w:rPr>
          <w:lang w:eastAsia="en-AU"/>
        </w:rPr>
        <w:t>reports</w:t>
      </w:r>
      <w:r w:rsidRPr="00D77267">
        <w:rPr>
          <w:lang w:eastAsia="en-AU"/>
        </w:rPr>
        <w:t xml:space="preserve"> recycling originating in that territory. They receive</w:t>
      </w:r>
      <w:r w:rsidRPr="00D77267">
        <w:t xml:space="preserve"> a clearly identified quantity of material from Queanbeyan (NSW) which is excluded from</w:t>
      </w:r>
      <w:r>
        <w:t xml:space="preserve"> the ACT’s</w:t>
      </w:r>
      <w:r w:rsidRPr="00D77267">
        <w:t xml:space="preserve"> reported data.</w:t>
      </w:r>
    </w:p>
    <w:p w:rsidR="00D033D3" w:rsidRPr="00D77267" w:rsidRDefault="00D033D3" w:rsidP="00D033D3">
      <w:pPr>
        <w:pStyle w:val="ParaIndent"/>
      </w:pPr>
      <w:r w:rsidRPr="00D77267">
        <w:t>No waste materials are known to be imported into Australia for disposal to landfill. Small quantities of some recyclate materials (e.g. glass) are occasionally imported into Australia for reprocessing. In relation to Australia, this material is effectively ‘consumption’, and should not be considered as recycling.</w:t>
      </w:r>
    </w:p>
    <w:p w:rsidR="00D033D3" w:rsidRDefault="00D033D3" w:rsidP="00D033D3">
      <w:pPr>
        <w:pStyle w:val="Heading3"/>
        <w:numPr>
          <w:ilvl w:val="2"/>
          <w:numId w:val="12"/>
        </w:numPr>
        <w:shd w:val="clear" w:color="auto" w:fill="auto"/>
      </w:pPr>
      <w:r w:rsidRPr="005C14F8">
        <w:t>Stockpiling</w:t>
      </w:r>
    </w:p>
    <w:p w:rsidR="00D033D3" w:rsidRPr="00046E3F" w:rsidRDefault="00D033D3" w:rsidP="00D033D3">
      <w:pPr>
        <w:pStyle w:val="ParaIndent"/>
      </w:pPr>
      <w:r>
        <w:t xml:space="preserve">Materials collected for recycling are often stockpiled subsequent to reprocessing. This can create the potential for double counting of material stored over more than one reporting period. </w:t>
      </w:r>
    </w:p>
    <w:p w:rsidR="00D033D3" w:rsidRDefault="00D033D3" w:rsidP="00D033D3">
      <w:pPr>
        <w:pStyle w:val="Caption0"/>
        <w:ind w:firstLine="0"/>
        <w:rPr>
          <w:rFonts w:ascii="Arial" w:hAnsi="Arial" w:cs="Arial"/>
        </w:rPr>
      </w:pPr>
      <w:bookmarkStart w:id="349" w:name="_Toc333908417"/>
      <w:r w:rsidRPr="00046E3F">
        <w:rPr>
          <w:rFonts w:ascii="Arial" w:hAnsi="Arial" w:cs="Arial"/>
        </w:rPr>
        <w:t xml:space="preserve">Recommendation </w:t>
      </w:r>
      <w:r w:rsidR="00B9555F" w:rsidRPr="00046E3F">
        <w:rPr>
          <w:rFonts w:ascii="Arial" w:hAnsi="Arial" w:cs="Arial"/>
        </w:rPr>
        <w:fldChar w:fldCharType="begin"/>
      </w:r>
      <w:r w:rsidRPr="00046E3F">
        <w:rPr>
          <w:rFonts w:ascii="Arial" w:hAnsi="Arial" w:cs="Arial"/>
        </w:rPr>
        <w:instrText xml:space="preserve"> SEQ Recommendation \* ARABIC </w:instrText>
      </w:r>
      <w:r w:rsidR="00B9555F" w:rsidRPr="00046E3F">
        <w:rPr>
          <w:rFonts w:ascii="Arial" w:hAnsi="Arial" w:cs="Arial"/>
        </w:rPr>
        <w:fldChar w:fldCharType="separate"/>
      </w:r>
      <w:r w:rsidR="00AE7E3B">
        <w:rPr>
          <w:rFonts w:ascii="Arial" w:hAnsi="Arial" w:cs="Arial"/>
          <w:noProof/>
        </w:rPr>
        <w:t>26</w:t>
      </w:r>
      <w:r w:rsidR="00B9555F" w:rsidRPr="00046E3F">
        <w:rPr>
          <w:rFonts w:ascii="Arial" w:hAnsi="Arial" w:cs="Arial"/>
        </w:rPr>
        <w:fldChar w:fldCharType="end"/>
      </w:r>
      <w:r>
        <w:rPr>
          <w:rFonts w:ascii="Arial" w:hAnsi="Arial" w:cs="Arial"/>
        </w:rPr>
        <w:t xml:space="preserve">: </w:t>
      </w:r>
      <w:r w:rsidRPr="00046E3F">
        <w:rPr>
          <w:rFonts w:ascii="Arial" w:hAnsi="Arial" w:cs="Arial"/>
        </w:rPr>
        <w:t xml:space="preserve">Stockpiles of reprocessed product </w:t>
      </w:r>
      <w:r>
        <w:rPr>
          <w:rFonts w:ascii="Arial" w:hAnsi="Arial" w:cs="Arial"/>
        </w:rPr>
        <w:t>or</w:t>
      </w:r>
      <w:r w:rsidRPr="00046E3F">
        <w:rPr>
          <w:rFonts w:ascii="Arial" w:hAnsi="Arial" w:cs="Arial"/>
        </w:rPr>
        <w:t xml:space="preserve"> material that has been actively recovered </w:t>
      </w:r>
      <w:r>
        <w:rPr>
          <w:rFonts w:ascii="Arial" w:hAnsi="Arial" w:cs="Arial"/>
        </w:rPr>
        <w:t xml:space="preserve">should </w:t>
      </w:r>
      <w:r w:rsidRPr="00046E3F">
        <w:rPr>
          <w:rFonts w:ascii="Arial" w:hAnsi="Arial" w:cs="Arial"/>
        </w:rPr>
        <w:t>be considered to be recycled.</w:t>
      </w:r>
      <w:bookmarkEnd w:id="349"/>
    </w:p>
    <w:p w:rsidR="00D033D3" w:rsidRDefault="00D033D3" w:rsidP="00D033D3">
      <w:pPr>
        <w:pStyle w:val="ParaIndent"/>
      </w:pPr>
      <w:r>
        <w:t>NSW records only that material that is reprocessed, and is confident that stockpiling is not leading to any double counting.</w:t>
      </w:r>
    </w:p>
    <w:p w:rsidR="00D033D3" w:rsidRPr="00D540FF" w:rsidRDefault="00D033D3" w:rsidP="00D033D3">
      <w:pPr>
        <w:pStyle w:val="ParaIndent"/>
      </w:pPr>
      <w:r>
        <w:t>Victoria records how material is being stockpiled each year to ensure there is no double counting of material.</w:t>
      </w:r>
    </w:p>
    <w:p w:rsidR="00D033D3" w:rsidRDefault="00D033D3" w:rsidP="00D033D3">
      <w:pPr>
        <w:pStyle w:val="ParaIndent"/>
      </w:pPr>
      <w:r>
        <w:t>Queensland is aware of the possibility that stockpiles in that state are being double counted.</w:t>
      </w:r>
    </w:p>
    <w:p w:rsidR="00D033D3" w:rsidRDefault="00D033D3" w:rsidP="00D033D3">
      <w:pPr>
        <w:pStyle w:val="ParaIndent"/>
      </w:pPr>
      <w:r>
        <w:t>South Australia has a process that accounts for stockpiling of reprocessing.</w:t>
      </w:r>
    </w:p>
    <w:p w:rsidR="00D033D3" w:rsidRDefault="00D033D3" w:rsidP="00D033D3">
      <w:pPr>
        <w:pStyle w:val="Heading3"/>
        <w:numPr>
          <w:ilvl w:val="2"/>
          <w:numId w:val="12"/>
        </w:numPr>
        <w:shd w:val="clear" w:color="auto" w:fill="auto"/>
        <w:rPr>
          <w:lang w:eastAsia="en-AU"/>
        </w:rPr>
      </w:pPr>
      <w:r>
        <w:rPr>
          <w:lang w:eastAsia="en-AU"/>
        </w:rPr>
        <w:t>Reporting delay</w:t>
      </w:r>
    </w:p>
    <w:p w:rsidR="00D033D3" w:rsidRDefault="00D033D3" w:rsidP="00D033D3">
      <w:pPr>
        <w:pStyle w:val="ParaIndent"/>
        <w:rPr>
          <w:lang w:eastAsia="en-AU"/>
        </w:rPr>
      </w:pPr>
      <w:r>
        <w:rPr>
          <w:lang w:eastAsia="en-AU"/>
        </w:rPr>
        <w:t>The delay in publishing waste and recycling data varies between states and territories. This can sometimes make it difficult to make accurate comparisons between data from states and territories while also using the most up-to-date waste and recycling data.</w:t>
      </w:r>
    </w:p>
    <w:p w:rsidR="00D033D3" w:rsidRDefault="00D033D3" w:rsidP="00D033D3">
      <w:pPr>
        <w:pStyle w:val="Caption0"/>
        <w:ind w:firstLine="0"/>
        <w:rPr>
          <w:rFonts w:ascii="Arial" w:hAnsi="Arial" w:cs="Arial"/>
        </w:rPr>
      </w:pPr>
      <w:bookmarkStart w:id="350" w:name="_Toc333908418"/>
      <w:r w:rsidRPr="00DC3983">
        <w:rPr>
          <w:rFonts w:ascii="Arial" w:hAnsi="Arial" w:cs="Arial"/>
        </w:rPr>
        <w:t xml:space="preserve">Recommendation </w:t>
      </w:r>
      <w:r w:rsidR="00B9555F" w:rsidRPr="00DC3983">
        <w:rPr>
          <w:rFonts w:ascii="Arial" w:hAnsi="Arial" w:cs="Arial"/>
        </w:rPr>
        <w:fldChar w:fldCharType="begin"/>
      </w:r>
      <w:r w:rsidRPr="00DC3983">
        <w:rPr>
          <w:rFonts w:ascii="Arial" w:hAnsi="Arial" w:cs="Arial"/>
        </w:rPr>
        <w:instrText xml:space="preserve"> SEQ Recommendation \* ARABIC </w:instrText>
      </w:r>
      <w:r w:rsidR="00B9555F" w:rsidRPr="00DC3983">
        <w:rPr>
          <w:rFonts w:ascii="Arial" w:hAnsi="Arial" w:cs="Arial"/>
        </w:rPr>
        <w:fldChar w:fldCharType="separate"/>
      </w:r>
      <w:r w:rsidR="00AE7E3B">
        <w:rPr>
          <w:rFonts w:ascii="Arial" w:hAnsi="Arial" w:cs="Arial"/>
          <w:noProof/>
        </w:rPr>
        <w:t>27</w:t>
      </w:r>
      <w:r w:rsidR="00B9555F" w:rsidRPr="00DC3983">
        <w:rPr>
          <w:rFonts w:ascii="Arial" w:hAnsi="Arial" w:cs="Arial"/>
        </w:rPr>
        <w:fldChar w:fldCharType="end"/>
      </w:r>
      <w:r>
        <w:rPr>
          <w:rFonts w:ascii="Arial" w:hAnsi="Arial" w:cs="Arial"/>
        </w:rPr>
        <w:t>: Waste and recycling reporting should include both the most up to date data, and data from most recent time period reported on by all jurisdictions.</w:t>
      </w:r>
      <w:bookmarkEnd w:id="350"/>
    </w:p>
    <w:p w:rsidR="00D033D3" w:rsidRPr="0063603F" w:rsidRDefault="00B9555F" w:rsidP="00D033D3">
      <w:pPr>
        <w:pStyle w:val="ParaIndent"/>
        <w:rPr>
          <w:lang w:eastAsia="en-AU"/>
        </w:rPr>
      </w:pPr>
      <w:fldSimple w:instr=" REF _Ref271788793 \h  \* MERGEFORMAT ">
        <w:r w:rsidR="008C199E" w:rsidRPr="008C199E">
          <w:rPr>
            <w:lang w:eastAsia="en-AU"/>
          </w:rPr>
          <w:t>Table 70</w:t>
        </w:r>
      </w:fldSimple>
      <w:r w:rsidR="00D033D3">
        <w:rPr>
          <w:lang w:eastAsia="en-AU"/>
        </w:rPr>
        <w:t xml:space="preserve"> details the delay in publishing the most recent waste and recycling reports by states and territories.</w:t>
      </w:r>
    </w:p>
    <w:p w:rsidR="00D033D3" w:rsidRDefault="00D033D3" w:rsidP="00D033D3"/>
    <w:p w:rsidR="00D033D3" w:rsidRPr="0063603F" w:rsidRDefault="00D033D3" w:rsidP="00D033D3">
      <w:pPr>
        <w:pStyle w:val="ParaIndent"/>
        <w:sectPr w:rsidR="00D033D3" w:rsidRPr="0063603F" w:rsidSect="00860B52">
          <w:type w:val="continuous"/>
          <w:pgSz w:w="11907" w:h="16840" w:code="9"/>
          <w:pgMar w:top="1134" w:right="1134" w:bottom="1134" w:left="1134" w:header="567" w:footer="567" w:gutter="0"/>
          <w:cols w:space="708"/>
          <w:docGrid w:linePitch="360"/>
        </w:sectPr>
      </w:pPr>
    </w:p>
    <w:p w:rsidR="00D033D3" w:rsidRPr="00745A84" w:rsidRDefault="00D033D3" w:rsidP="00D033D3">
      <w:pPr>
        <w:pStyle w:val="Caption0"/>
        <w:keepNext/>
        <w:ind w:firstLine="0"/>
        <w:rPr>
          <w:rFonts w:ascii="Arial" w:hAnsi="Arial"/>
          <w:color w:val="495F70"/>
          <w:sz w:val="18"/>
        </w:rPr>
      </w:pPr>
      <w:bookmarkStart w:id="351" w:name="_Ref271788793"/>
      <w:r w:rsidRPr="00745A84">
        <w:rPr>
          <w:rFonts w:ascii="Arial" w:hAnsi="Arial"/>
          <w:color w:val="495F70"/>
          <w:sz w:val="18"/>
        </w:rPr>
        <w:t xml:space="preserve">Table </w:t>
      </w:r>
      <w:r w:rsidR="00B9555F" w:rsidRPr="00745A84">
        <w:rPr>
          <w:rFonts w:ascii="Arial" w:hAnsi="Arial"/>
          <w:color w:val="495F70"/>
          <w:sz w:val="18"/>
        </w:rPr>
        <w:fldChar w:fldCharType="begin"/>
      </w:r>
      <w:r w:rsidRPr="00745A84">
        <w:rPr>
          <w:rFonts w:ascii="Arial" w:hAnsi="Arial"/>
          <w:color w:val="495F70"/>
          <w:sz w:val="18"/>
        </w:rPr>
        <w:instrText xml:space="preserve"> SEQ Table \* ARABIC </w:instrText>
      </w:r>
      <w:r w:rsidR="00B9555F" w:rsidRPr="00745A84">
        <w:rPr>
          <w:rFonts w:ascii="Arial" w:hAnsi="Arial"/>
          <w:color w:val="495F70"/>
          <w:sz w:val="18"/>
        </w:rPr>
        <w:fldChar w:fldCharType="separate"/>
      </w:r>
      <w:r w:rsidR="00AE7E3B">
        <w:rPr>
          <w:rFonts w:ascii="Arial" w:hAnsi="Arial"/>
          <w:noProof/>
          <w:color w:val="495F70"/>
          <w:sz w:val="18"/>
        </w:rPr>
        <w:t>70</w:t>
      </w:r>
      <w:r w:rsidR="00B9555F" w:rsidRPr="00745A84">
        <w:rPr>
          <w:rFonts w:ascii="Arial" w:hAnsi="Arial"/>
          <w:color w:val="495F70"/>
          <w:sz w:val="18"/>
        </w:rPr>
        <w:fldChar w:fldCharType="end"/>
      </w:r>
      <w:bookmarkEnd w:id="351"/>
      <w:r>
        <w:rPr>
          <w:rFonts w:ascii="Arial" w:hAnsi="Arial"/>
          <w:color w:val="495F70"/>
          <w:sz w:val="18"/>
        </w:rPr>
        <w:t>: Delay in waste and recycling reporting by states and territories</w:t>
      </w:r>
    </w:p>
    <w:tbl>
      <w:tblPr>
        <w:tblStyle w:val="TableGrid"/>
        <w:tblW w:w="12900" w:type="dxa"/>
        <w:tblInd w:w="1134" w:type="dxa"/>
        <w:tblBorders>
          <w:top w:val="none" w:sz="0" w:space="0" w:color="auto"/>
          <w:left w:val="none" w:sz="0" w:space="0" w:color="auto"/>
          <w:bottom w:val="single" w:sz="4" w:space="0" w:color="FFFFFF" w:themeColor="background1"/>
          <w:right w:val="none" w:sz="0" w:space="0" w:color="auto"/>
          <w:insideH w:val="single" w:sz="4" w:space="0" w:color="FFFFFF" w:themeColor="background1"/>
          <w:insideV w:val="none" w:sz="0" w:space="0" w:color="auto"/>
        </w:tblBorders>
        <w:tblLayout w:type="fixed"/>
        <w:tblLook w:val="04A0"/>
      </w:tblPr>
      <w:tblGrid>
        <w:gridCol w:w="845"/>
        <w:gridCol w:w="333"/>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4"/>
        <w:gridCol w:w="335"/>
        <w:gridCol w:w="335"/>
        <w:gridCol w:w="335"/>
        <w:gridCol w:w="334"/>
        <w:gridCol w:w="335"/>
        <w:gridCol w:w="335"/>
        <w:gridCol w:w="335"/>
        <w:gridCol w:w="334"/>
        <w:gridCol w:w="335"/>
        <w:gridCol w:w="335"/>
        <w:gridCol w:w="335"/>
      </w:tblGrid>
      <w:tr w:rsidR="00D033D3" w:rsidTr="00D033D3">
        <w:trPr>
          <w:trHeight w:val="454"/>
        </w:trPr>
        <w:tc>
          <w:tcPr>
            <w:tcW w:w="845" w:type="dxa"/>
            <w:tcMar>
              <w:left w:w="57" w:type="dxa"/>
              <w:right w:w="0" w:type="dxa"/>
            </w:tcMar>
            <w:vAlign w:val="center"/>
          </w:tcPr>
          <w:p w:rsidR="00D033D3" w:rsidRPr="00CE54DA" w:rsidRDefault="00D033D3" w:rsidP="00D033D3">
            <w:pPr>
              <w:pStyle w:val="ParaIndent"/>
              <w:keepNext/>
              <w:spacing w:after="0"/>
              <w:ind w:left="0"/>
              <w:rPr>
                <w:b/>
                <w:sz w:val="18"/>
                <w:szCs w:val="18"/>
                <w:lang w:eastAsia="en-AU"/>
              </w:rPr>
            </w:pPr>
          </w:p>
        </w:tc>
        <w:tc>
          <w:tcPr>
            <w:tcW w:w="2008" w:type="dxa"/>
            <w:gridSpan w:val="6"/>
            <w:tcMar>
              <w:left w:w="57" w:type="dxa"/>
              <w:right w:w="0" w:type="dxa"/>
            </w:tcMar>
            <w:vAlign w:val="cente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2007</w:t>
            </w:r>
          </w:p>
        </w:tc>
        <w:tc>
          <w:tcPr>
            <w:tcW w:w="4020" w:type="dxa"/>
            <w:gridSpan w:val="12"/>
            <w:tcMar>
              <w:left w:w="57" w:type="dxa"/>
              <w:right w:w="0" w:type="dxa"/>
            </w:tcMar>
            <w:vAlign w:val="cente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2008</w:t>
            </w:r>
          </w:p>
        </w:tc>
        <w:tc>
          <w:tcPr>
            <w:tcW w:w="4018" w:type="dxa"/>
            <w:gridSpan w:val="12"/>
            <w:tcMar>
              <w:left w:w="57" w:type="dxa"/>
              <w:right w:w="0" w:type="dxa"/>
            </w:tcMar>
            <w:vAlign w:val="cente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2009</w:t>
            </w:r>
          </w:p>
        </w:tc>
        <w:tc>
          <w:tcPr>
            <w:tcW w:w="2009" w:type="dxa"/>
            <w:gridSpan w:val="6"/>
            <w:tcMar>
              <w:left w:w="57" w:type="dxa"/>
              <w:right w:w="0" w:type="dxa"/>
            </w:tcMar>
            <w:vAlign w:val="cente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2010</w:t>
            </w:r>
          </w:p>
        </w:tc>
      </w:tr>
      <w:tr w:rsidR="00D033D3" w:rsidTr="00D033D3">
        <w:trPr>
          <w:trHeight w:val="567"/>
        </w:trPr>
        <w:tc>
          <w:tcPr>
            <w:tcW w:w="845" w:type="dxa"/>
            <w:tcMar>
              <w:left w:w="57" w:type="dxa"/>
              <w:right w:w="0" w:type="dxa"/>
            </w:tcMar>
            <w:vAlign w:val="bottom"/>
          </w:tcPr>
          <w:p w:rsidR="00D033D3" w:rsidRPr="00CE54DA" w:rsidRDefault="00D033D3" w:rsidP="00D033D3">
            <w:pPr>
              <w:pStyle w:val="ParaIndent"/>
              <w:keepNext/>
              <w:spacing w:after="0"/>
              <w:ind w:left="0"/>
              <w:rPr>
                <w:b/>
                <w:sz w:val="18"/>
                <w:szCs w:val="18"/>
                <w:lang w:eastAsia="en-AU"/>
              </w:rPr>
            </w:pPr>
          </w:p>
        </w:tc>
        <w:tc>
          <w:tcPr>
            <w:tcW w:w="333"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J</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A</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S</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O</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N</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D</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J</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F</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M</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A</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M</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J</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J</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A</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S</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O</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N</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D</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J</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F</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M</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A</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M</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J</w:t>
            </w:r>
          </w:p>
        </w:tc>
        <w:tc>
          <w:tcPr>
            <w:tcW w:w="334"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J</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A</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S</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O</w:t>
            </w:r>
          </w:p>
        </w:tc>
        <w:tc>
          <w:tcPr>
            <w:tcW w:w="334"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N</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D</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J</w:t>
            </w:r>
          </w:p>
        </w:tc>
        <w:tc>
          <w:tcPr>
            <w:tcW w:w="335" w:type="dxa"/>
            <w:tcMar>
              <w:left w:w="57" w:type="dxa"/>
              <w:right w:w="0"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F</w:t>
            </w:r>
          </w:p>
        </w:tc>
        <w:tc>
          <w:tcPr>
            <w:tcW w:w="334" w:type="dxa"/>
            <w:tcMar>
              <w:left w:w="57"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M</w:t>
            </w:r>
          </w:p>
        </w:tc>
        <w:tc>
          <w:tcPr>
            <w:tcW w:w="335" w:type="dxa"/>
            <w:tcMar>
              <w:left w:w="57"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A</w:t>
            </w:r>
          </w:p>
        </w:tc>
        <w:tc>
          <w:tcPr>
            <w:tcW w:w="335" w:type="dxa"/>
            <w:tcMar>
              <w:left w:w="57"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M</w:t>
            </w:r>
          </w:p>
        </w:tc>
        <w:tc>
          <w:tcPr>
            <w:tcW w:w="335" w:type="dxa"/>
            <w:tcMar>
              <w:left w:w="57" w:type="dxa"/>
            </w:tcMar>
          </w:tcPr>
          <w:p w:rsidR="00D033D3" w:rsidRPr="00CE54DA" w:rsidRDefault="00D033D3" w:rsidP="00D033D3">
            <w:pPr>
              <w:pStyle w:val="ParaIndent"/>
              <w:keepNext/>
              <w:spacing w:after="0"/>
              <w:ind w:left="0"/>
              <w:jc w:val="center"/>
              <w:rPr>
                <w:b/>
                <w:sz w:val="18"/>
                <w:szCs w:val="18"/>
                <w:lang w:eastAsia="en-AU"/>
              </w:rPr>
            </w:pPr>
            <w:r w:rsidRPr="00CE54DA">
              <w:rPr>
                <w:b/>
                <w:sz w:val="18"/>
                <w:szCs w:val="18"/>
                <w:lang w:eastAsia="en-AU"/>
              </w:rPr>
              <w:t>J</w:t>
            </w:r>
          </w:p>
        </w:tc>
      </w:tr>
      <w:tr w:rsidR="00D033D3" w:rsidTr="00D033D3">
        <w:trPr>
          <w:trHeight w:val="680"/>
        </w:trPr>
        <w:tc>
          <w:tcPr>
            <w:tcW w:w="845" w:type="dxa"/>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Pr>
                <w:sz w:val="18"/>
                <w:szCs w:val="18"/>
                <w:lang w:eastAsia="en-AU"/>
              </w:rPr>
              <w:t>NSW</w:t>
            </w:r>
          </w:p>
        </w:tc>
        <w:tc>
          <w:tcPr>
            <w:tcW w:w="7033" w:type="dxa"/>
            <w:gridSpan w:val="21"/>
            <w:shd w:val="clear" w:color="auto" w:fill="00519E"/>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r w:rsidRPr="00FC5EFA">
              <w:rPr>
                <w:color w:val="FFFFFF" w:themeColor="background1"/>
                <w:sz w:val="18"/>
                <w:szCs w:val="18"/>
              </w:rPr>
              <w:t>Waste Avoidance and Resource Recovery Progress Report</w:t>
            </w:r>
            <w:r>
              <w:rPr>
                <w:color w:val="FFFFFF" w:themeColor="background1"/>
                <w:sz w:val="18"/>
                <w:szCs w:val="18"/>
              </w:rPr>
              <w:t xml:space="preserve"> (06-07)</w:t>
            </w: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4"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4"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4"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r>
      <w:tr w:rsidR="00D033D3" w:rsidTr="00D033D3">
        <w:trPr>
          <w:trHeight w:val="340"/>
        </w:trPr>
        <w:tc>
          <w:tcPr>
            <w:tcW w:w="845" w:type="dxa"/>
            <w:vMerge w:val="restart"/>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sidRPr="00745A84">
              <w:rPr>
                <w:sz w:val="18"/>
                <w:szCs w:val="18"/>
                <w:lang w:eastAsia="en-AU"/>
              </w:rPr>
              <w:t>Vic</w:t>
            </w:r>
          </w:p>
        </w:tc>
        <w:tc>
          <w:tcPr>
            <w:tcW w:w="333"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4017" w:type="dxa"/>
            <w:gridSpan w:val="12"/>
            <w:shd w:val="clear" w:color="auto" w:fill="00519E"/>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r w:rsidRPr="00FC5EFA">
              <w:rPr>
                <w:color w:val="FFFFFF" w:themeColor="background1"/>
                <w:sz w:val="18"/>
                <w:szCs w:val="18"/>
                <w:lang w:eastAsia="en-AU"/>
              </w:rPr>
              <w:t>Annual Survey of Recycling Industries</w:t>
            </w:r>
            <w:r>
              <w:rPr>
                <w:color w:val="FFFFFF" w:themeColor="background1"/>
                <w:sz w:val="18"/>
                <w:szCs w:val="18"/>
                <w:lang w:eastAsia="en-AU"/>
              </w:rPr>
              <w:t xml:space="preserve"> (08-09)</w:t>
            </w:r>
          </w:p>
        </w:tc>
      </w:tr>
      <w:tr w:rsidR="00D033D3" w:rsidTr="00D033D3">
        <w:trPr>
          <w:trHeight w:val="340"/>
        </w:trPr>
        <w:tc>
          <w:tcPr>
            <w:tcW w:w="845" w:type="dxa"/>
            <w:vMerge/>
            <w:tcMar>
              <w:left w:w="57" w:type="dxa"/>
              <w:right w:w="0" w:type="dxa"/>
            </w:tcMar>
            <w:vAlign w:val="center"/>
          </w:tcPr>
          <w:p w:rsidR="00D033D3" w:rsidRPr="00745A84" w:rsidRDefault="00D033D3" w:rsidP="00D033D3">
            <w:pPr>
              <w:pStyle w:val="ParaIndent"/>
              <w:keepNext/>
              <w:spacing w:after="0"/>
              <w:ind w:left="0"/>
              <w:rPr>
                <w:sz w:val="18"/>
                <w:szCs w:val="18"/>
                <w:lang w:eastAsia="en-AU"/>
              </w:rPr>
            </w:pPr>
          </w:p>
        </w:tc>
        <w:tc>
          <w:tcPr>
            <w:tcW w:w="333"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vAlign w:val="center"/>
          </w:tcPr>
          <w:p w:rsidR="00D033D3" w:rsidRPr="00FC5EFA" w:rsidRDefault="00D033D3" w:rsidP="00D033D3">
            <w:pPr>
              <w:pStyle w:val="ParaIndent"/>
              <w:keepNext/>
              <w:spacing w:after="0"/>
              <w:ind w:left="0"/>
              <w:rPr>
                <w:color w:val="FFFFFF" w:themeColor="background1"/>
                <w:sz w:val="18"/>
                <w:szCs w:val="18"/>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47" w:type="dxa"/>
            <w:gridSpan w:val="10"/>
            <w:shd w:val="clear" w:color="auto" w:fill="00519E"/>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rPr>
            </w:pPr>
            <w:r w:rsidRPr="00FC5EFA">
              <w:rPr>
                <w:color w:val="FFFFFF" w:themeColor="background1"/>
                <w:sz w:val="18"/>
                <w:szCs w:val="18"/>
              </w:rPr>
              <w:t>Local Gov</w:t>
            </w:r>
            <w:r>
              <w:rPr>
                <w:color w:val="FFFFFF" w:themeColor="background1"/>
                <w:sz w:val="18"/>
                <w:szCs w:val="18"/>
              </w:rPr>
              <w:t>.</w:t>
            </w:r>
            <w:r w:rsidRPr="00FC5EFA">
              <w:rPr>
                <w:color w:val="FFFFFF" w:themeColor="background1"/>
                <w:sz w:val="18"/>
                <w:szCs w:val="18"/>
              </w:rPr>
              <w:t xml:space="preserve"> Data Collection</w:t>
            </w:r>
            <w:r>
              <w:rPr>
                <w:color w:val="FFFFFF" w:themeColor="background1"/>
                <w:sz w:val="18"/>
                <w:szCs w:val="18"/>
              </w:rPr>
              <w:t xml:space="preserve"> (08-09)</w:t>
            </w: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r>
      <w:tr w:rsidR="00D033D3" w:rsidTr="00D033D3">
        <w:trPr>
          <w:trHeight w:val="680"/>
        </w:trPr>
        <w:tc>
          <w:tcPr>
            <w:tcW w:w="845" w:type="dxa"/>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sidRPr="00745A84">
              <w:rPr>
                <w:sz w:val="18"/>
                <w:szCs w:val="18"/>
                <w:lang w:eastAsia="en-AU"/>
              </w:rPr>
              <w:t>Qld</w:t>
            </w:r>
          </w:p>
        </w:tc>
        <w:tc>
          <w:tcPr>
            <w:tcW w:w="333"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6028" w:type="dxa"/>
            <w:gridSpan w:val="18"/>
            <w:shd w:val="clear" w:color="auto" w:fill="00519E"/>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r w:rsidRPr="00FC5EFA">
              <w:rPr>
                <w:color w:val="FFFFFF" w:themeColor="background1"/>
                <w:sz w:val="18"/>
                <w:szCs w:val="18"/>
              </w:rPr>
              <w:t xml:space="preserve">The </w:t>
            </w:r>
            <w:r>
              <w:rPr>
                <w:color w:val="FFFFFF" w:themeColor="background1"/>
                <w:sz w:val="18"/>
                <w:szCs w:val="18"/>
              </w:rPr>
              <w:t>S</w:t>
            </w:r>
            <w:r w:rsidRPr="00FC5EFA">
              <w:rPr>
                <w:color w:val="FFFFFF" w:themeColor="background1"/>
                <w:sz w:val="18"/>
                <w:szCs w:val="18"/>
              </w:rPr>
              <w:t xml:space="preserve">tate of </w:t>
            </w:r>
            <w:r>
              <w:rPr>
                <w:color w:val="FFFFFF" w:themeColor="background1"/>
                <w:sz w:val="18"/>
                <w:szCs w:val="18"/>
              </w:rPr>
              <w:t>W</w:t>
            </w:r>
            <w:r w:rsidRPr="00FC5EFA">
              <w:rPr>
                <w:color w:val="FFFFFF" w:themeColor="background1"/>
                <w:sz w:val="18"/>
                <w:szCs w:val="18"/>
              </w:rPr>
              <w:t xml:space="preserve">aste and </w:t>
            </w:r>
            <w:r>
              <w:rPr>
                <w:color w:val="FFFFFF" w:themeColor="background1"/>
                <w:sz w:val="18"/>
                <w:szCs w:val="18"/>
              </w:rPr>
              <w:t>R</w:t>
            </w:r>
            <w:r w:rsidRPr="00FC5EFA">
              <w:rPr>
                <w:color w:val="FFFFFF" w:themeColor="background1"/>
                <w:sz w:val="18"/>
                <w:szCs w:val="18"/>
              </w:rPr>
              <w:t>ecycling</w:t>
            </w:r>
            <w:r>
              <w:rPr>
                <w:color w:val="FFFFFF" w:themeColor="background1"/>
                <w:sz w:val="18"/>
                <w:szCs w:val="18"/>
              </w:rPr>
              <w:t xml:space="preserve"> </w:t>
            </w:r>
            <w:r>
              <w:rPr>
                <w:color w:val="FFFFFF" w:themeColor="background1"/>
                <w:sz w:val="18"/>
                <w:szCs w:val="18"/>
                <w:lang w:eastAsia="en-AU"/>
              </w:rPr>
              <w:t>(07-08)</w:t>
            </w: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4"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r>
      <w:tr w:rsidR="00D033D3" w:rsidTr="00D033D3">
        <w:trPr>
          <w:trHeight w:val="680"/>
        </w:trPr>
        <w:tc>
          <w:tcPr>
            <w:tcW w:w="845" w:type="dxa"/>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sidRPr="00745A84">
              <w:rPr>
                <w:sz w:val="18"/>
                <w:szCs w:val="18"/>
                <w:lang w:eastAsia="en-AU"/>
              </w:rPr>
              <w:t>WA</w:t>
            </w:r>
          </w:p>
        </w:tc>
        <w:tc>
          <w:tcPr>
            <w:tcW w:w="333"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shd w:val="clear" w:color="auto" w:fill="auto"/>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335" w:type="dxa"/>
            <w:tcMar>
              <w:left w:w="57"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p>
        </w:tc>
        <w:tc>
          <w:tcPr>
            <w:tcW w:w="4017" w:type="dxa"/>
            <w:gridSpan w:val="12"/>
            <w:shd w:val="clear" w:color="auto" w:fill="00519E"/>
            <w:tcMar>
              <w:left w:w="57" w:type="dxa"/>
              <w:right w:w="0" w:type="dxa"/>
            </w:tcMar>
            <w:vAlign w:val="center"/>
          </w:tcPr>
          <w:p w:rsidR="00D033D3" w:rsidRPr="00FC5EFA" w:rsidRDefault="00D033D3" w:rsidP="00D033D3">
            <w:pPr>
              <w:pStyle w:val="ParaIndent"/>
              <w:keepNext/>
              <w:spacing w:after="0"/>
              <w:ind w:left="0"/>
              <w:rPr>
                <w:color w:val="FFFFFF" w:themeColor="background1"/>
                <w:sz w:val="18"/>
                <w:szCs w:val="18"/>
                <w:lang w:eastAsia="en-AU"/>
              </w:rPr>
            </w:pPr>
            <w:r w:rsidRPr="00FC5EFA">
              <w:rPr>
                <w:color w:val="FFFFFF" w:themeColor="background1"/>
                <w:sz w:val="18"/>
                <w:szCs w:val="18"/>
                <w:lang w:eastAsia="en-AU"/>
              </w:rPr>
              <w:t xml:space="preserve">Recycling </w:t>
            </w:r>
            <w:r>
              <w:rPr>
                <w:color w:val="FFFFFF" w:themeColor="background1"/>
                <w:sz w:val="18"/>
                <w:szCs w:val="18"/>
                <w:lang w:eastAsia="en-AU"/>
              </w:rPr>
              <w:t>A</w:t>
            </w:r>
            <w:r w:rsidRPr="00FC5EFA">
              <w:rPr>
                <w:color w:val="FFFFFF" w:themeColor="background1"/>
                <w:sz w:val="18"/>
                <w:szCs w:val="18"/>
                <w:lang w:eastAsia="en-AU"/>
              </w:rPr>
              <w:t>ctivity</w:t>
            </w:r>
            <w:r>
              <w:rPr>
                <w:color w:val="FFFFFF" w:themeColor="background1"/>
                <w:sz w:val="18"/>
                <w:szCs w:val="18"/>
                <w:lang w:eastAsia="en-AU"/>
              </w:rPr>
              <w:t xml:space="preserve"> (08-09)</w:t>
            </w:r>
          </w:p>
        </w:tc>
      </w:tr>
      <w:tr w:rsidR="00D033D3" w:rsidTr="00D033D3">
        <w:trPr>
          <w:trHeight w:val="680"/>
        </w:trPr>
        <w:tc>
          <w:tcPr>
            <w:tcW w:w="845" w:type="dxa"/>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Pr>
                <w:sz w:val="18"/>
                <w:szCs w:val="18"/>
                <w:lang w:eastAsia="en-AU"/>
              </w:rPr>
              <w:t>SA</w:t>
            </w:r>
          </w:p>
        </w:tc>
        <w:tc>
          <w:tcPr>
            <w:tcW w:w="333" w:type="dxa"/>
            <w:shd w:val="clear" w:color="auto" w:fill="auto"/>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shd w:val="clear" w:color="auto" w:fill="auto"/>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shd w:val="clear" w:color="auto" w:fill="auto"/>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012" w:type="dxa"/>
            <w:gridSpan w:val="9"/>
            <w:shd w:val="clear" w:color="auto" w:fill="00519E"/>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sidRPr="00FC5EFA">
              <w:rPr>
                <w:color w:val="FFFFFF" w:themeColor="background1"/>
                <w:sz w:val="18"/>
                <w:szCs w:val="18"/>
                <w:lang w:eastAsia="en-AU"/>
              </w:rPr>
              <w:t>Review of Recycling Activity</w:t>
            </w:r>
            <w:r>
              <w:rPr>
                <w:color w:val="FFFFFF" w:themeColor="background1"/>
                <w:sz w:val="18"/>
                <w:szCs w:val="18"/>
                <w:lang w:eastAsia="en-AU"/>
              </w:rPr>
              <w:t xml:space="preserve"> (08-09)</w:t>
            </w: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r>
      <w:tr w:rsidR="00D033D3" w:rsidTr="00D033D3">
        <w:trPr>
          <w:trHeight w:val="680"/>
        </w:trPr>
        <w:tc>
          <w:tcPr>
            <w:tcW w:w="845" w:type="dxa"/>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Pr>
                <w:sz w:val="18"/>
                <w:szCs w:val="18"/>
                <w:lang w:eastAsia="en-AU"/>
              </w:rPr>
              <w:t>Tas</w:t>
            </w:r>
          </w:p>
        </w:tc>
        <w:tc>
          <w:tcPr>
            <w:tcW w:w="333" w:type="dxa"/>
            <w:shd w:val="clear" w:color="auto" w:fill="auto"/>
            <w:tcMar>
              <w:left w:w="57" w:type="dxa"/>
              <w:right w:w="0" w:type="dxa"/>
            </w:tcMar>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shd w:val="clear" w:color="auto" w:fill="auto"/>
            <w:vAlign w:val="center"/>
          </w:tcPr>
          <w:p w:rsidR="00D033D3" w:rsidRPr="00BF4072" w:rsidRDefault="00D033D3" w:rsidP="00D033D3">
            <w:pPr>
              <w:pStyle w:val="ParaIndent"/>
              <w:keepNext/>
              <w:spacing w:after="0"/>
              <w:ind w:left="0"/>
              <w:rPr>
                <w:sz w:val="18"/>
                <w:szCs w:val="18"/>
                <w:highlight w:val="yellow"/>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8A0A4B" w:rsidRDefault="00D033D3" w:rsidP="00D033D3">
            <w:pPr>
              <w:pStyle w:val="ParaIndent"/>
              <w:keepNext/>
              <w:spacing w:after="0"/>
              <w:ind w:left="0"/>
              <w:rPr>
                <w:color w:val="FFFFFF" w:themeColor="background1"/>
                <w:sz w:val="18"/>
                <w:szCs w:val="18"/>
                <w:lang w:eastAsia="en-AU"/>
              </w:rPr>
            </w:pPr>
          </w:p>
        </w:tc>
        <w:tc>
          <w:tcPr>
            <w:tcW w:w="1339" w:type="dxa"/>
            <w:gridSpan w:val="4"/>
            <w:shd w:val="clear" w:color="auto" w:fill="00519E"/>
            <w:tcMar>
              <w:left w:w="57" w:type="dxa"/>
              <w:right w:w="0" w:type="dxa"/>
            </w:tcMar>
            <w:vAlign w:val="center"/>
          </w:tcPr>
          <w:p w:rsidR="00D033D3" w:rsidRPr="00FD63C5" w:rsidRDefault="00D033D3" w:rsidP="00D033D3">
            <w:pPr>
              <w:pStyle w:val="ParaIndent"/>
              <w:keepNext/>
              <w:spacing w:after="0"/>
              <w:ind w:left="0"/>
              <w:rPr>
                <w:color w:val="FFFFFF" w:themeColor="background1"/>
                <w:sz w:val="18"/>
                <w:szCs w:val="18"/>
                <w:lang w:eastAsia="en-AU"/>
              </w:rPr>
            </w:pPr>
            <w:r w:rsidRPr="00FD63C5">
              <w:rPr>
                <w:color w:val="FFFFFF" w:themeColor="background1"/>
                <w:sz w:val="18"/>
                <w:szCs w:val="18"/>
                <w:lang w:eastAsia="en-AU"/>
              </w:rPr>
              <w:t>EPA Annual Report (08-09)</w:t>
            </w:r>
          </w:p>
        </w:tc>
        <w:tc>
          <w:tcPr>
            <w:tcW w:w="334"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4"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r>
      <w:tr w:rsidR="00D033D3" w:rsidTr="00D033D3">
        <w:trPr>
          <w:trHeight w:val="680"/>
        </w:trPr>
        <w:tc>
          <w:tcPr>
            <w:tcW w:w="845" w:type="dxa"/>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Pr>
                <w:sz w:val="18"/>
                <w:szCs w:val="18"/>
                <w:lang w:eastAsia="en-AU"/>
              </w:rPr>
              <w:t>ACT</w:t>
            </w:r>
          </w:p>
        </w:tc>
        <w:tc>
          <w:tcPr>
            <w:tcW w:w="333" w:type="dxa"/>
            <w:shd w:val="clear" w:color="auto" w:fill="auto"/>
            <w:tcMar>
              <w:left w:w="57" w:type="dxa"/>
              <w:right w:w="0" w:type="dxa"/>
            </w:tcMar>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shd w:val="clear" w:color="auto" w:fill="auto"/>
            <w:vAlign w:val="center"/>
          </w:tcPr>
          <w:p w:rsidR="00D033D3" w:rsidRPr="00745A84" w:rsidRDefault="00D033D3" w:rsidP="00D033D3">
            <w:pPr>
              <w:pStyle w:val="ParaIndent"/>
              <w:keepNext/>
              <w:spacing w:after="0"/>
              <w:ind w:left="0"/>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1673" w:type="dxa"/>
            <w:gridSpan w:val="5"/>
            <w:shd w:val="clear" w:color="auto" w:fill="00519E"/>
            <w:tcMar>
              <w:left w:w="57" w:type="dxa"/>
              <w:right w:w="0" w:type="dxa"/>
            </w:tcMar>
            <w:vAlign w:val="center"/>
          </w:tcPr>
          <w:p w:rsidR="00D033D3" w:rsidRPr="00EF1596" w:rsidRDefault="00D033D3" w:rsidP="00D033D3">
            <w:pPr>
              <w:pStyle w:val="ParaIndent"/>
              <w:keepNext/>
              <w:spacing w:after="0"/>
              <w:ind w:left="0"/>
              <w:rPr>
                <w:color w:val="FFFFFF" w:themeColor="background1"/>
                <w:sz w:val="18"/>
                <w:szCs w:val="18"/>
                <w:lang w:eastAsia="en-AU"/>
              </w:rPr>
            </w:pPr>
            <w:r w:rsidRPr="00EF1596">
              <w:rPr>
                <w:color w:val="FFFFFF" w:themeColor="background1"/>
                <w:sz w:val="18"/>
                <w:szCs w:val="18"/>
                <w:lang w:eastAsia="en-AU"/>
              </w:rPr>
              <w:t>TAMS Annual Report (08-09)</w:t>
            </w: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4"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r>
      <w:tr w:rsidR="00D033D3" w:rsidTr="00D033D3">
        <w:trPr>
          <w:trHeight w:val="340"/>
        </w:trPr>
        <w:tc>
          <w:tcPr>
            <w:tcW w:w="845" w:type="dxa"/>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Pr>
                <w:sz w:val="18"/>
                <w:szCs w:val="18"/>
                <w:lang w:eastAsia="en-AU"/>
              </w:rPr>
              <w:t>NT</w:t>
            </w:r>
          </w:p>
        </w:tc>
        <w:tc>
          <w:tcPr>
            <w:tcW w:w="6028" w:type="dxa"/>
            <w:gridSpan w:val="18"/>
            <w:shd w:val="clear" w:color="auto" w:fill="auto"/>
            <w:tcMar>
              <w:left w:w="57" w:type="dxa"/>
              <w:right w:w="0" w:type="dxa"/>
            </w:tcMar>
            <w:vAlign w:val="center"/>
          </w:tcPr>
          <w:p w:rsidR="00D033D3" w:rsidRPr="00745A84" w:rsidRDefault="00D033D3" w:rsidP="00D033D3">
            <w:pPr>
              <w:pStyle w:val="ParaIndent"/>
              <w:keepNext/>
              <w:spacing w:after="0"/>
              <w:ind w:left="0"/>
              <w:rPr>
                <w:sz w:val="18"/>
                <w:szCs w:val="18"/>
                <w:lang w:eastAsia="en-AU"/>
              </w:rPr>
            </w:pPr>
            <w:r>
              <w:rPr>
                <w:sz w:val="18"/>
                <w:szCs w:val="18"/>
                <w:lang w:eastAsia="en-AU"/>
              </w:rPr>
              <w:t>No specifically identifiable waste and recycling report.</w:t>
            </w: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4"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4"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right w:w="0"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4"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c>
          <w:tcPr>
            <w:tcW w:w="335" w:type="dxa"/>
            <w:tcMar>
              <w:left w:w="57" w:type="dxa"/>
            </w:tcMar>
            <w:vAlign w:val="center"/>
          </w:tcPr>
          <w:p w:rsidR="00D033D3" w:rsidRPr="00745A84" w:rsidRDefault="00D033D3" w:rsidP="00D033D3">
            <w:pPr>
              <w:pStyle w:val="ParaIndent"/>
              <w:keepNext/>
              <w:spacing w:after="0"/>
              <w:ind w:left="0"/>
              <w:jc w:val="center"/>
              <w:rPr>
                <w:sz w:val="18"/>
                <w:szCs w:val="18"/>
                <w:lang w:eastAsia="en-AU"/>
              </w:rPr>
            </w:pPr>
          </w:p>
        </w:tc>
      </w:tr>
    </w:tbl>
    <w:p w:rsidR="00D033D3" w:rsidRPr="008F782B" w:rsidRDefault="00D033D3" w:rsidP="00D033D3">
      <w:pPr>
        <w:pStyle w:val="Footer0"/>
        <w:spacing w:before="0" w:after="60"/>
        <w:ind w:left="567" w:firstLine="567"/>
        <w:rPr>
          <w:sz w:val="18"/>
          <w:szCs w:val="18"/>
          <w:lang w:eastAsia="en-AU"/>
        </w:rPr>
      </w:pPr>
    </w:p>
    <w:p w:rsidR="00D033D3" w:rsidRPr="008F782B" w:rsidRDefault="00D033D3" w:rsidP="00D033D3">
      <w:pPr>
        <w:pStyle w:val="Footer0"/>
        <w:spacing w:before="0" w:after="60"/>
        <w:ind w:left="567" w:firstLine="567"/>
        <w:rPr>
          <w:sz w:val="18"/>
          <w:szCs w:val="18"/>
          <w:lang w:eastAsia="en-AU"/>
        </w:rPr>
      </w:pPr>
    </w:p>
    <w:p w:rsidR="00D033D3" w:rsidRDefault="00D033D3" w:rsidP="00D033D3">
      <w:pPr>
        <w:pStyle w:val="Footer0"/>
        <w:spacing w:before="0" w:after="60"/>
        <w:ind w:left="567" w:firstLine="567"/>
        <w:rPr>
          <w:sz w:val="18"/>
          <w:szCs w:val="18"/>
          <w:lang w:eastAsia="en-AU"/>
        </w:rPr>
      </w:pPr>
      <w:r>
        <w:rPr>
          <w:sz w:val="18"/>
          <w:szCs w:val="18"/>
          <w:lang w:eastAsia="en-AU"/>
        </w:rPr>
        <w:t>The time period highlighted represents the period of delay between the reporting period and the publication of the report.</w:t>
      </w:r>
    </w:p>
    <w:p w:rsidR="00D033D3" w:rsidRDefault="00D033D3" w:rsidP="00D033D3">
      <w:pPr>
        <w:pStyle w:val="Footer0"/>
        <w:spacing w:before="0" w:after="60"/>
        <w:ind w:left="567" w:firstLine="567"/>
        <w:rPr>
          <w:sz w:val="18"/>
          <w:szCs w:val="18"/>
          <w:lang w:eastAsia="en-AU"/>
        </w:rPr>
      </w:pPr>
      <w:r>
        <w:rPr>
          <w:sz w:val="18"/>
          <w:szCs w:val="18"/>
          <w:lang w:eastAsia="en-AU"/>
        </w:rPr>
        <w:t>The reporting period is the 12 month period before the time period highlighted.</w:t>
      </w:r>
    </w:p>
    <w:p w:rsidR="00D033D3" w:rsidRDefault="00D033D3" w:rsidP="00D033D3">
      <w:pPr>
        <w:pStyle w:val="ParaIndent"/>
      </w:pPr>
      <w:bookmarkStart w:id="352" w:name="_Ref269482045"/>
      <w:bookmarkStart w:id="353" w:name="_Toc264981516"/>
    </w:p>
    <w:p w:rsidR="00D033D3" w:rsidRPr="004D6405" w:rsidRDefault="00D033D3" w:rsidP="00D033D3">
      <w:pPr>
        <w:pStyle w:val="ParaIndent"/>
        <w:sectPr w:rsidR="00D033D3" w:rsidRPr="004D6405" w:rsidSect="00860B52">
          <w:pgSz w:w="16840" w:h="11907" w:orient="landscape" w:code="9"/>
          <w:pgMar w:top="1134" w:right="1134" w:bottom="1134" w:left="1134" w:header="567" w:footer="567" w:gutter="0"/>
          <w:cols w:space="708"/>
          <w:docGrid w:linePitch="360"/>
        </w:sectPr>
      </w:pPr>
    </w:p>
    <w:p w:rsidR="00D033D3" w:rsidRDefault="00D033D3" w:rsidP="00D033D3">
      <w:pPr>
        <w:pStyle w:val="Heading1"/>
        <w:numPr>
          <w:ilvl w:val="0"/>
          <w:numId w:val="0"/>
        </w:numPr>
        <w:ind w:left="1134"/>
      </w:pPr>
      <w:bookmarkStart w:id="354" w:name="_Toc279510583"/>
      <w:r>
        <w:t>Appendix 1: DATA SOURCES</w:t>
      </w:r>
      <w:bookmarkEnd w:id="352"/>
      <w:bookmarkEnd w:id="354"/>
    </w:p>
    <w:p w:rsidR="00D033D3" w:rsidRDefault="00D033D3" w:rsidP="00D033D3">
      <w:pPr>
        <w:pStyle w:val="ParaIndent"/>
      </w:pPr>
      <w:r w:rsidRPr="00B430BA">
        <w:t>The tables shown below show the data sets</w:t>
      </w:r>
      <w:r>
        <w:t xml:space="preserve"> used</w:t>
      </w:r>
      <w:r w:rsidRPr="00B430BA">
        <w:t xml:space="preserve"> </w:t>
      </w:r>
      <w:r>
        <w:t>to report on waste generation for each state and territory in</w:t>
      </w:r>
      <w:r w:rsidRPr="00B430BA">
        <w:t xml:space="preserve"> </w:t>
      </w:r>
      <w:r w:rsidRPr="008C7649">
        <w:rPr>
          <w:i/>
        </w:rPr>
        <w:t>Waste and Recycling in Australia</w:t>
      </w:r>
      <w:r w:rsidRPr="00B430BA">
        <w:t xml:space="preserve"> </w:t>
      </w:r>
      <w:r>
        <w:t>(2009). This includes</w:t>
      </w:r>
      <w:r w:rsidRPr="00B430BA">
        <w:t xml:space="preserve"> those </w:t>
      </w:r>
      <w:r>
        <w:t xml:space="preserve">data sets </w:t>
      </w:r>
      <w:r w:rsidRPr="00B430BA">
        <w:t>generated by the state and territories, and, in some cases, those generated by industry</w:t>
      </w:r>
      <w:r>
        <w:t xml:space="preserve"> groups.</w:t>
      </w:r>
    </w:p>
    <w:p w:rsidR="00D033D3" w:rsidRPr="00AF4F62" w:rsidRDefault="00D033D3" w:rsidP="00D033D3">
      <w:pPr>
        <w:pStyle w:val="TableHeading"/>
        <w:tabs>
          <w:tab w:val="right" w:pos="7263"/>
        </w:tabs>
        <w:rPr>
          <w:szCs w:val="18"/>
        </w:rPr>
      </w:pPr>
      <w:r w:rsidRPr="00AF4F62">
        <w:rPr>
          <w:szCs w:val="18"/>
        </w:rPr>
        <w:t xml:space="preserve">Table </w:t>
      </w:r>
      <w:r w:rsidR="00B9555F" w:rsidRPr="00AF4F62">
        <w:rPr>
          <w:szCs w:val="18"/>
        </w:rPr>
        <w:fldChar w:fldCharType="begin"/>
      </w:r>
      <w:r w:rsidRPr="00AF4F62">
        <w:rPr>
          <w:szCs w:val="18"/>
        </w:rPr>
        <w:instrText xml:space="preserve"> SEQ Table \* ARABIC </w:instrText>
      </w:r>
      <w:r w:rsidR="00B9555F" w:rsidRPr="00AF4F62">
        <w:rPr>
          <w:szCs w:val="18"/>
        </w:rPr>
        <w:fldChar w:fldCharType="separate"/>
      </w:r>
      <w:r w:rsidR="00AE7E3B">
        <w:rPr>
          <w:noProof/>
          <w:szCs w:val="18"/>
        </w:rPr>
        <w:t>71</w:t>
      </w:r>
      <w:r w:rsidR="00B9555F" w:rsidRPr="00AF4F62">
        <w:rPr>
          <w:szCs w:val="18"/>
        </w:rPr>
        <w:fldChar w:fldCharType="end"/>
      </w:r>
      <w:r w:rsidRPr="00AF4F62">
        <w:rPr>
          <w:szCs w:val="18"/>
        </w:rPr>
        <w:t>: New South Wales</w:t>
      </w:r>
      <w:r>
        <w:rPr>
          <w:szCs w:val="18"/>
        </w:rPr>
        <w:t xml:space="preserve"> </w:t>
      </w:r>
    </w:p>
    <w:tbl>
      <w:tblPr>
        <w:tblStyle w:val="TableGrid"/>
        <w:tblW w:w="9920" w:type="dxa"/>
        <w:tblLayout w:type="fixed"/>
        <w:tblLook w:val="04A0"/>
      </w:tblPr>
      <w:tblGrid>
        <w:gridCol w:w="1416"/>
        <w:gridCol w:w="1417"/>
        <w:gridCol w:w="1417"/>
        <w:gridCol w:w="1418"/>
        <w:gridCol w:w="1417"/>
        <w:gridCol w:w="709"/>
        <w:gridCol w:w="709"/>
        <w:gridCol w:w="1417"/>
      </w:tblGrid>
      <w:tr w:rsidR="00D033D3" w:rsidRPr="00AF4F62" w:rsidTr="00D033D3">
        <w:trPr>
          <w:trHeight w:val="907"/>
        </w:trPr>
        <w:tc>
          <w:tcPr>
            <w:tcW w:w="1416"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Destination</w:t>
            </w:r>
          </w:p>
        </w:tc>
        <w:tc>
          <w:tcPr>
            <w:tcW w:w="4252" w:type="dxa"/>
            <w:gridSpan w:val="3"/>
            <w:vAlign w:val="center"/>
          </w:tcPr>
          <w:p w:rsidR="00D033D3" w:rsidRPr="00AF4F62" w:rsidRDefault="00D033D3" w:rsidP="00D033D3">
            <w:pPr>
              <w:pStyle w:val="ParaMargin"/>
              <w:keepNext/>
              <w:jc w:val="center"/>
              <w:rPr>
                <w:b/>
                <w:sz w:val="18"/>
                <w:szCs w:val="18"/>
              </w:rPr>
            </w:pPr>
            <w:r w:rsidRPr="00AF4F62">
              <w:rPr>
                <w:b/>
                <w:sz w:val="18"/>
                <w:szCs w:val="18"/>
              </w:rPr>
              <w:t>Recycled</w:t>
            </w:r>
          </w:p>
        </w:tc>
        <w:tc>
          <w:tcPr>
            <w:tcW w:w="4252" w:type="dxa"/>
            <w:gridSpan w:val="4"/>
            <w:vAlign w:val="center"/>
          </w:tcPr>
          <w:p w:rsidR="00D033D3" w:rsidRPr="00AF4F62" w:rsidRDefault="00D033D3" w:rsidP="00D033D3">
            <w:pPr>
              <w:pStyle w:val="ParaMargin"/>
              <w:keepNext/>
              <w:jc w:val="center"/>
              <w:rPr>
                <w:b/>
                <w:sz w:val="18"/>
                <w:szCs w:val="18"/>
              </w:rPr>
            </w:pPr>
            <w:r>
              <w:rPr>
                <w:b/>
                <w:sz w:val="18"/>
                <w:szCs w:val="18"/>
              </w:rPr>
              <w:t>Disposal</w:t>
            </w:r>
          </w:p>
        </w:tc>
      </w:tr>
      <w:tr w:rsidR="00D033D3" w:rsidRPr="00AF4F62" w:rsidTr="00D033D3">
        <w:trPr>
          <w:trHeight w:val="886"/>
        </w:trPr>
        <w:tc>
          <w:tcPr>
            <w:tcW w:w="1416"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6378" w:type="dxa"/>
            <w:gridSpan w:val="5"/>
            <w:vAlign w:val="center"/>
          </w:tcPr>
          <w:p w:rsidR="00D033D3" w:rsidRPr="00AF4F62" w:rsidRDefault="00D033D3" w:rsidP="00D033D3">
            <w:pPr>
              <w:pStyle w:val="ParaMargin"/>
              <w:keepNext/>
              <w:jc w:val="center"/>
              <w:rPr>
                <w:sz w:val="18"/>
                <w:szCs w:val="18"/>
              </w:rPr>
            </w:pPr>
            <w:r w:rsidRPr="00AF4F62">
              <w:rPr>
                <w:sz w:val="18"/>
                <w:szCs w:val="18"/>
              </w:rPr>
              <w:t>DECC - Waste Avoidance and Resource Recovery Progress Report</w:t>
            </w:r>
          </w:p>
        </w:tc>
        <w:tc>
          <w:tcPr>
            <w:tcW w:w="2126" w:type="dxa"/>
            <w:gridSpan w:val="2"/>
            <w:vAlign w:val="center"/>
          </w:tcPr>
          <w:p w:rsidR="00D033D3" w:rsidRPr="00B430BA" w:rsidRDefault="00D033D3" w:rsidP="00D033D3">
            <w:pPr>
              <w:keepNext/>
              <w:jc w:val="center"/>
              <w:rPr>
                <w:sz w:val="18"/>
                <w:szCs w:val="18"/>
              </w:rPr>
            </w:pPr>
            <w:r w:rsidRPr="00B430BA">
              <w:rPr>
                <w:rFonts w:cs="Arial"/>
                <w:sz w:val="18"/>
                <w:szCs w:val="18"/>
              </w:rPr>
              <w:t>Landfill levy data</w:t>
            </w:r>
          </w:p>
        </w:tc>
      </w:tr>
      <w:tr w:rsidR="00D033D3" w:rsidRPr="00AF4F62" w:rsidTr="00D033D3">
        <w:trPr>
          <w:trHeight w:val="907"/>
        </w:trPr>
        <w:tc>
          <w:tcPr>
            <w:tcW w:w="1416"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Stream</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8" w:type="dxa"/>
            <w:gridSpan w:val="2"/>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r>
      <w:tr w:rsidR="00D033D3" w:rsidRPr="00AF4F62" w:rsidTr="00D033D3">
        <w:trPr>
          <w:trHeight w:val="910"/>
        </w:trPr>
        <w:tc>
          <w:tcPr>
            <w:tcW w:w="1416"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8504" w:type="dxa"/>
            <w:gridSpan w:val="7"/>
            <w:vAlign w:val="center"/>
          </w:tcPr>
          <w:p w:rsidR="00D033D3" w:rsidRPr="00AF4F62" w:rsidRDefault="00D033D3" w:rsidP="00D033D3">
            <w:pPr>
              <w:pStyle w:val="ParaMargin"/>
              <w:keepNext/>
              <w:jc w:val="center"/>
              <w:rPr>
                <w:sz w:val="18"/>
                <w:szCs w:val="18"/>
              </w:rPr>
            </w:pPr>
            <w:r w:rsidRPr="00AF4F62">
              <w:rPr>
                <w:sz w:val="18"/>
                <w:szCs w:val="18"/>
              </w:rPr>
              <w:t>DECC - Waste Avoidance and Resource Recovery Progress Report</w:t>
            </w:r>
          </w:p>
        </w:tc>
      </w:tr>
      <w:tr w:rsidR="00D033D3" w:rsidRPr="00AF4F62" w:rsidTr="00D033D3">
        <w:trPr>
          <w:trHeight w:val="907"/>
        </w:trPr>
        <w:tc>
          <w:tcPr>
            <w:tcW w:w="1416"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Composition</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Resource Recovery Industries Survey</w:t>
            </w:r>
          </w:p>
          <w:p w:rsidR="00D033D3" w:rsidRPr="00AF4F62" w:rsidRDefault="00D033D3" w:rsidP="00D033D3">
            <w:pPr>
              <w:pStyle w:val="ParaMargin"/>
              <w:keepNext/>
              <w:jc w:val="center"/>
              <w:rPr>
                <w:sz w:val="18"/>
                <w:szCs w:val="18"/>
              </w:rPr>
            </w:pPr>
            <w:r w:rsidRPr="00AF4F62">
              <w:rPr>
                <w:sz w:val="18"/>
                <w:szCs w:val="18"/>
              </w:rPr>
              <w:t>NEPC - Used Packaging Materials NEPM (2007)</w:t>
            </w:r>
          </w:p>
          <w:p w:rsidR="00D033D3" w:rsidRPr="00AF4F62" w:rsidRDefault="00D033D3" w:rsidP="00D033D3">
            <w:pPr>
              <w:pStyle w:val="ParaMargin"/>
              <w:keepNext/>
              <w:jc w:val="center"/>
              <w:rPr>
                <w:sz w:val="18"/>
                <w:szCs w:val="18"/>
              </w:rPr>
            </w:pPr>
            <w:r w:rsidRPr="00AF4F62">
              <w:rPr>
                <w:sz w:val="18"/>
                <w:szCs w:val="18"/>
              </w:rPr>
              <w:t>PACIA - Plastics Recycling Activity Study (2006)</w:t>
            </w:r>
          </w:p>
          <w:p w:rsidR="00D033D3" w:rsidRPr="00AF4F62" w:rsidRDefault="00D033D3" w:rsidP="00D033D3">
            <w:pPr>
              <w:pStyle w:val="ParaMargin"/>
              <w:keepNext/>
              <w:jc w:val="center"/>
              <w:rPr>
                <w:sz w:val="18"/>
                <w:szCs w:val="18"/>
              </w:rPr>
            </w:pPr>
            <w:r w:rsidRPr="00AF4F62">
              <w:rPr>
                <w:sz w:val="18"/>
                <w:szCs w:val="18"/>
              </w:rPr>
              <w:t>WMAA - Resource Recovery Industry Survey (2008)</w:t>
            </w:r>
          </w:p>
        </w:tc>
        <w:tc>
          <w:tcPr>
            <w:tcW w:w="2835" w:type="dxa"/>
            <w:gridSpan w:val="3"/>
            <w:vAlign w:val="center"/>
          </w:tcPr>
          <w:p w:rsidR="00D033D3" w:rsidRPr="00AF4F62" w:rsidRDefault="00D033D3" w:rsidP="00D033D3">
            <w:pPr>
              <w:pStyle w:val="ParaMargin"/>
              <w:keepNext/>
              <w:jc w:val="center"/>
              <w:rPr>
                <w:sz w:val="18"/>
                <w:szCs w:val="18"/>
              </w:rPr>
            </w:pPr>
            <w:r w:rsidRPr="00AF4F62">
              <w:rPr>
                <w:sz w:val="18"/>
                <w:szCs w:val="18"/>
              </w:rPr>
              <w:t>Audits by DECC on the composition of disposal to landfill.</w:t>
            </w: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DECC - Report into the C&amp;D Waste Stream - Sydney Metropolitan Area</w:t>
            </w:r>
          </w:p>
        </w:tc>
      </w:tr>
    </w:tbl>
    <w:p w:rsidR="00D033D3" w:rsidRPr="00AF4F62" w:rsidRDefault="00D033D3" w:rsidP="00D033D3">
      <w:pPr>
        <w:pStyle w:val="ParaIndent"/>
        <w:ind w:left="0"/>
        <w:rPr>
          <w:rFonts w:cs="Arial"/>
          <w:color w:val="495F70"/>
          <w:sz w:val="18"/>
          <w:szCs w:val="18"/>
        </w:rPr>
      </w:pPr>
    </w:p>
    <w:p w:rsidR="00D033D3" w:rsidRPr="00AF4F62" w:rsidRDefault="00D033D3" w:rsidP="00D033D3">
      <w:pPr>
        <w:pStyle w:val="TableHeading"/>
        <w:tabs>
          <w:tab w:val="right" w:pos="7263"/>
        </w:tabs>
        <w:rPr>
          <w:szCs w:val="18"/>
        </w:rPr>
      </w:pPr>
      <w:r w:rsidRPr="00AF4F62">
        <w:rPr>
          <w:szCs w:val="18"/>
        </w:rPr>
        <w:t xml:space="preserve">Table </w:t>
      </w:r>
      <w:r w:rsidR="00B9555F" w:rsidRPr="00AF4F62">
        <w:rPr>
          <w:szCs w:val="18"/>
        </w:rPr>
        <w:fldChar w:fldCharType="begin"/>
      </w:r>
      <w:r w:rsidRPr="00AF4F62">
        <w:rPr>
          <w:szCs w:val="18"/>
        </w:rPr>
        <w:instrText xml:space="preserve"> SEQ Table \* ARABIC </w:instrText>
      </w:r>
      <w:r w:rsidR="00B9555F" w:rsidRPr="00AF4F62">
        <w:rPr>
          <w:szCs w:val="18"/>
        </w:rPr>
        <w:fldChar w:fldCharType="separate"/>
      </w:r>
      <w:r w:rsidR="00AE7E3B">
        <w:rPr>
          <w:noProof/>
          <w:szCs w:val="18"/>
        </w:rPr>
        <w:t>72</w:t>
      </w:r>
      <w:r w:rsidR="00B9555F" w:rsidRPr="00AF4F62">
        <w:rPr>
          <w:szCs w:val="18"/>
        </w:rPr>
        <w:fldChar w:fldCharType="end"/>
      </w:r>
      <w:r w:rsidRPr="00AF4F62">
        <w:rPr>
          <w:szCs w:val="18"/>
        </w:rPr>
        <w:t>:</w:t>
      </w:r>
      <w:r>
        <w:rPr>
          <w:szCs w:val="18"/>
        </w:rPr>
        <w:t xml:space="preserve"> </w:t>
      </w:r>
      <w:r w:rsidRPr="00AF4F62">
        <w:rPr>
          <w:szCs w:val="18"/>
        </w:rPr>
        <w:t>Victoria</w:t>
      </w:r>
    </w:p>
    <w:tbl>
      <w:tblPr>
        <w:tblStyle w:val="TableGrid"/>
        <w:tblW w:w="9921" w:type="dxa"/>
        <w:tblLayout w:type="fixed"/>
        <w:tblLook w:val="04A0"/>
      </w:tblPr>
      <w:tblGrid>
        <w:gridCol w:w="1417"/>
        <w:gridCol w:w="1417"/>
        <w:gridCol w:w="709"/>
        <w:gridCol w:w="708"/>
        <w:gridCol w:w="1418"/>
        <w:gridCol w:w="1417"/>
        <w:gridCol w:w="709"/>
        <w:gridCol w:w="708"/>
        <w:gridCol w:w="1418"/>
      </w:tblGrid>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Destination</w:t>
            </w:r>
          </w:p>
        </w:tc>
        <w:tc>
          <w:tcPr>
            <w:tcW w:w="4252" w:type="dxa"/>
            <w:gridSpan w:val="4"/>
            <w:vAlign w:val="center"/>
          </w:tcPr>
          <w:p w:rsidR="00D033D3" w:rsidRPr="00AF4F62" w:rsidRDefault="00D033D3" w:rsidP="00D033D3">
            <w:pPr>
              <w:pStyle w:val="ParaMargin"/>
              <w:keepNext/>
              <w:jc w:val="center"/>
              <w:rPr>
                <w:b/>
                <w:sz w:val="18"/>
                <w:szCs w:val="18"/>
              </w:rPr>
            </w:pPr>
            <w:r w:rsidRPr="00AF4F62">
              <w:rPr>
                <w:b/>
                <w:sz w:val="18"/>
                <w:szCs w:val="18"/>
              </w:rPr>
              <w:t>Recycled</w:t>
            </w:r>
          </w:p>
        </w:tc>
        <w:tc>
          <w:tcPr>
            <w:tcW w:w="4252" w:type="dxa"/>
            <w:gridSpan w:val="4"/>
            <w:vAlign w:val="center"/>
          </w:tcPr>
          <w:p w:rsidR="00D033D3" w:rsidRPr="00AF4F62" w:rsidRDefault="00D033D3" w:rsidP="00D033D3">
            <w:pPr>
              <w:pStyle w:val="ParaMargin"/>
              <w:keepNext/>
              <w:jc w:val="center"/>
              <w:rPr>
                <w:b/>
                <w:sz w:val="18"/>
                <w:szCs w:val="18"/>
              </w:rPr>
            </w:pPr>
            <w:r>
              <w:rPr>
                <w:b/>
                <w:sz w:val="18"/>
                <w:szCs w:val="18"/>
              </w:rPr>
              <w:t>Disposal</w:t>
            </w:r>
          </w:p>
        </w:tc>
      </w:tr>
      <w:tr w:rsidR="00D033D3" w:rsidRPr="00AF4F62" w:rsidTr="00D033D3">
        <w:trPr>
          <w:trHeight w:val="450"/>
        </w:trPr>
        <w:tc>
          <w:tcPr>
            <w:tcW w:w="1417" w:type="dxa"/>
            <w:vMerge w:val="restart"/>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8504" w:type="dxa"/>
            <w:gridSpan w:val="8"/>
            <w:vAlign w:val="center"/>
          </w:tcPr>
          <w:p w:rsidR="00D033D3" w:rsidRPr="00AF4F62" w:rsidRDefault="00D033D3" w:rsidP="00D033D3">
            <w:pPr>
              <w:pStyle w:val="ParaMargin"/>
              <w:keepNext/>
              <w:jc w:val="center"/>
              <w:rPr>
                <w:sz w:val="18"/>
                <w:szCs w:val="18"/>
              </w:rPr>
            </w:pPr>
            <w:r w:rsidRPr="00AF4F62">
              <w:rPr>
                <w:sz w:val="18"/>
                <w:szCs w:val="18"/>
              </w:rPr>
              <w:t>SV waste model</w:t>
            </w:r>
          </w:p>
        </w:tc>
      </w:tr>
      <w:tr w:rsidR="00D033D3" w:rsidRPr="00AF4F62" w:rsidTr="00D033D3">
        <w:trPr>
          <w:trHeight w:val="450"/>
        </w:trPr>
        <w:tc>
          <w:tcPr>
            <w:tcW w:w="1417" w:type="dxa"/>
            <w:vMerge/>
            <w:shd w:val="clear" w:color="auto" w:fill="D9D9D9" w:themeFill="background1" w:themeFillShade="D9"/>
            <w:vAlign w:val="center"/>
          </w:tcPr>
          <w:p w:rsidR="00D033D3" w:rsidRPr="00AF4F62" w:rsidRDefault="00D033D3" w:rsidP="00D033D3">
            <w:pPr>
              <w:pStyle w:val="ParaMargin"/>
              <w:keepNext/>
              <w:jc w:val="center"/>
              <w:rPr>
                <w:sz w:val="18"/>
                <w:szCs w:val="18"/>
              </w:rPr>
            </w:pPr>
          </w:p>
        </w:tc>
        <w:tc>
          <w:tcPr>
            <w:tcW w:w="2126" w:type="dxa"/>
            <w:gridSpan w:val="2"/>
            <w:vAlign w:val="center"/>
          </w:tcPr>
          <w:p w:rsidR="00D033D3" w:rsidRPr="00AF4F62" w:rsidRDefault="00D033D3" w:rsidP="00D033D3">
            <w:pPr>
              <w:pStyle w:val="ParaMargin"/>
              <w:keepNext/>
              <w:jc w:val="center"/>
              <w:rPr>
                <w:sz w:val="18"/>
                <w:szCs w:val="18"/>
              </w:rPr>
            </w:pPr>
            <w:r w:rsidRPr="00AF4F62">
              <w:rPr>
                <w:sz w:val="18"/>
                <w:szCs w:val="18"/>
              </w:rPr>
              <w:t xml:space="preserve">SV - </w:t>
            </w:r>
            <w:r w:rsidRPr="00C05C25">
              <w:rPr>
                <w:sz w:val="18"/>
                <w:szCs w:val="18"/>
              </w:rPr>
              <w:t>Victorian Recycling Industries Annual Survey</w:t>
            </w:r>
          </w:p>
        </w:tc>
        <w:tc>
          <w:tcPr>
            <w:tcW w:w="4252" w:type="dxa"/>
            <w:gridSpan w:val="4"/>
            <w:vAlign w:val="center"/>
          </w:tcPr>
          <w:p w:rsidR="00D033D3" w:rsidRPr="00AF4F62" w:rsidRDefault="00D033D3" w:rsidP="00D033D3">
            <w:pPr>
              <w:pStyle w:val="ParaMargin"/>
              <w:keepNext/>
              <w:jc w:val="center"/>
              <w:rPr>
                <w:sz w:val="18"/>
                <w:szCs w:val="18"/>
              </w:rPr>
            </w:pPr>
            <w:r w:rsidRPr="00AF4F62">
              <w:rPr>
                <w:sz w:val="18"/>
                <w:szCs w:val="18"/>
              </w:rPr>
              <w:t xml:space="preserve">SV - </w:t>
            </w:r>
            <w:r w:rsidRPr="00C05C25">
              <w:rPr>
                <w:sz w:val="18"/>
                <w:szCs w:val="18"/>
              </w:rPr>
              <w:t>Victorian Local Government Survey</w:t>
            </w:r>
          </w:p>
        </w:tc>
        <w:tc>
          <w:tcPr>
            <w:tcW w:w="2126" w:type="dxa"/>
            <w:gridSpan w:val="2"/>
            <w:vAlign w:val="center"/>
          </w:tcPr>
          <w:p w:rsidR="00D033D3" w:rsidRPr="00AF4F62" w:rsidRDefault="00D033D3" w:rsidP="00D033D3">
            <w:pPr>
              <w:pStyle w:val="ParaMargin"/>
              <w:keepNext/>
              <w:jc w:val="center"/>
              <w:rPr>
                <w:sz w:val="18"/>
                <w:szCs w:val="18"/>
              </w:rPr>
            </w:pPr>
            <w:r w:rsidRPr="00AF4F62">
              <w:rPr>
                <w:sz w:val="18"/>
                <w:szCs w:val="18"/>
              </w:rPr>
              <w:t>EPA - Landfill levy data</w:t>
            </w:r>
          </w:p>
        </w:tc>
      </w:tr>
      <w:tr w:rsidR="00D033D3" w:rsidRPr="00AF4F62" w:rsidTr="00D033D3">
        <w:trPr>
          <w:trHeight w:val="907"/>
        </w:trPr>
        <w:tc>
          <w:tcPr>
            <w:tcW w:w="1417" w:type="dxa"/>
            <w:shd w:val="clear" w:color="auto" w:fill="D9D9D9" w:themeFill="background1" w:themeFillShade="D9"/>
            <w:vAlign w:val="center"/>
          </w:tcPr>
          <w:p w:rsidR="00D033D3" w:rsidRPr="007A0BC7" w:rsidRDefault="00D033D3" w:rsidP="00D033D3">
            <w:pPr>
              <w:pStyle w:val="ParaMargin"/>
              <w:keepNext/>
              <w:jc w:val="center"/>
              <w:rPr>
                <w:b/>
                <w:sz w:val="18"/>
                <w:szCs w:val="18"/>
              </w:rPr>
            </w:pPr>
            <w:r w:rsidRPr="007A0BC7">
              <w:rPr>
                <w:b/>
                <w:sz w:val="18"/>
                <w:szCs w:val="18"/>
              </w:rPr>
              <w:t>Stream</w:t>
            </w:r>
          </w:p>
        </w:tc>
        <w:tc>
          <w:tcPr>
            <w:tcW w:w="1417" w:type="dxa"/>
            <w:vAlign w:val="center"/>
          </w:tcPr>
          <w:p w:rsidR="00D033D3" w:rsidRPr="007A0BC7" w:rsidRDefault="00D033D3" w:rsidP="00D033D3">
            <w:pPr>
              <w:pStyle w:val="ParaMargin"/>
              <w:keepNext/>
              <w:jc w:val="center"/>
              <w:rPr>
                <w:b/>
                <w:sz w:val="18"/>
                <w:szCs w:val="18"/>
              </w:rPr>
            </w:pPr>
            <w:r w:rsidRPr="007A0BC7">
              <w:rPr>
                <w:b/>
                <w:sz w:val="18"/>
                <w:szCs w:val="18"/>
              </w:rPr>
              <w:t>Municipal</w:t>
            </w:r>
          </w:p>
        </w:tc>
        <w:tc>
          <w:tcPr>
            <w:tcW w:w="1417" w:type="dxa"/>
            <w:gridSpan w:val="2"/>
            <w:vAlign w:val="center"/>
          </w:tcPr>
          <w:p w:rsidR="00D033D3" w:rsidRPr="007A0BC7" w:rsidRDefault="00D033D3" w:rsidP="00D033D3">
            <w:pPr>
              <w:pStyle w:val="ParaMargin"/>
              <w:keepNext/>
              <w:jc w:val="center"/>
              <w:rPr>
                <w:b/>
                <w:sz w:val="18"/>
                <w:szCs w:val="18"/>
              </w:rPr>
            </w:pPr>
            <w:r w:rsidRPr="007A0BC7">
              <w:rPr>
                <w:b/>
                <w:sz w:val="18"/>
                <w:szCs w:val="18"/>
              </w:rPr>
              <w:t>C&amp;I</w:t>
            </w:r>
          </w:p>
        </w:tc>
        <w:tc>
          <w:tcPr>
            <w:tcW w:w="1418" w:type="dxa"/>
            <w:vAlign w:val="center"/>
          </w:tcPr>
          <w:p w:rsidR="00D033D3" w:rsidRPr="007A0BC7" w:rsidRDefault="00D033D3" w:rsidP="00D033D3">
            <w:pPr>
              <w:pStyle w:val="ParaMargin"/>
              <w:keepNext/>
              <w:jc w:val="center"/>
              <w:rPr>
                <w:b/>
                <w:sz w:val="18"/>
                <w:szCs w:val="18"/>
              </w:rPr>
            </w:pPr>
            <w:r w:rsidRPr="007A0BC7">
              <w:rPr>
                <w:b/>
                <w:sz w:val="18"/>
                <w:szCs w:val="18"/>
              </w:rPr>
              <w:t>C&amp;D</w:t>
            </w:r>
          </w:p>
        </w:tc>
        <w:tc>
          <w:tcPr>
            <w:tcW w:w="1417" w:type="dxa"/>
            <w:vAlign w:val="center"/>
          </w:tcPr>
          <w:p w:rsidR="00D033D3" w:rsidRPr="007A0BC7" w:rsidRDefault="00D033D3" w:rsidP="00D033D3">
            <w:pPr>
              <w:pStyle w:val="ParaMargin"/>
              <w:keepNext/>
              <w:jc w:val="center"/>
              <w:rPr>
                <w:b/>
                <w:sz w:val="18"/>
                <w:szCs w:val="18"/>
              </w:rPr>
            </w:pPr>
            <w:r w:rsidRPr="007A0BC7">
              <w:rPr>
                <w:b/>
                <w:sz w:val="18"/>
                <w:szCs w:val="18"/>
              </w:rPr>
              <w:t>Municipal</w:t>
            </w:r>
          </w:p>
        </w:tc>
        <w:tc>
          <w:tcPr>
            <w:tcW w:w="1417" w:type="dxa"/>
            <w:gridSpan w:val="2"/>
            <w:vAlign w:val="center"/>
          </w:tcPr>
          <w:p w:rsidR="00D033D3" w:rsidRPr="007A0BC7" w:rsidRDefault="00D033D3" w:rsidP="00D033D3">
            <w:pPr>
              <w:pStyle w:val="ParaMargin"/>
              <w:keepNext/>
              <w:jc w:val="center"/>
              <w:rPr>
                <w:b/>
                <w:sz w:val="18"/>
                <w:szCs w:val="18"/>
              </w:rPr>
            </w:pPr>
            <w:r w:rsidRPr="007A0BC7">
              <w:rPr>
                <w:b/>
                <w:sz w:val="18"/>
                <w:szCs w:val="18"/>
              </w:rPr>
              <w:t>C&amp;I</w:t>
            </w:r>
          </w:p>
        </w:tc>
        <w:tc>
          <w:tcPr>
            <w:tcW w:w="1418" w:type="dxa"/>
            <w:vAlign w:val="center"/>
          </w:tcPr>
          <w:p w:rsidR="00D033D3" w:rsidRPr="007A0BC7" w:rsidRDefault="00D033D3" w:rsidP="00D033D3">
            <w:pPr>
              <w:pStyle w:val="ParaMargin"/>
              <w:keepNext/>
              <w:jc w:val="center"/>
              <w:rPr>
                <w:b/>
                <w:sz w:val="18"/>
                <w:szCs w:val="18"/>
              </w:rPr>
            </w:pPr>
            <w:r w:rsidRPr="007A0BC7">
              <w:rPr>
                <w:b/>
                <w:sz w:val="18"/>
                <w:szCs w:val="18"/>
              </w:rPr>
              <w:t>C&amp;D</w:t>
            </w:r>
          </w:p>
        </w:tc>
      </w:tr>
      <w:tr w:rsidR="00D033D3" w:rsidRPr="00AF4F62" w:rsidTr="00D033D3">
        <w:trPr>
          <w:trHeight w:val="907"/>
        </w:trPr>
        <w:tc>
          <w:tcPr>
            <w:tcW w:w="1417" w:type="dxa"/>
            <w:shd w:val="clear" w:color="auto" w:fill="D9D9D9" w:themeFill="background1" w:themeFillShade="D9"/>
            <w:vAlign w:val="center"/>
          </w:tcPr>
          <w:p w:rsidR="00D033D3" w:rsidRPr="007A0BC7" w:rsidRDefault="00D033D3" w:rsidP="00D033D3">
            <w:pPr>
              <w:pStyle w:val="ParaMargin"/>
              <w:keepNext/>
              <w:jc w:val="center"/>
              <w:rPr>
                <w:sz w:val="18"/>
                <w:szCs w:val="18"/>
              </w:rPr>
            </w:pPr>
            <w:r w:rsidRPr="007A0BC7">
              <w:rPr>
                <w:sz w:val="18"/>
                <w:szCs w:val="18"/>
              </w:rPr>
              <w:t>Amount</w:t>
            </w:r>
          </w:p>
        </w:tc>
        <w:tc>
          <w:tcPr>
            <w:tcW w:w="8504" w:type="dxa"/>
            <w:gridSpan w:val="8"/>
            <w:vMerge w:val="restart"/>
            <w:vAlign w:val="center"/>
          </w:tcPr>
          <w:p w:rsidR="00D033D3" w:rsidRPr="007A0BC7" w:rsidRDefault="00D033D3" w:rsidP="00D033D3">
            <w:pPr>
              <w:pStyle w:val="ParaMargin"/>
              <w:keepNext/>
              <w:jc w:val="center"/>
              <w:rPr>
                <w:sz w:val="18"/>
                <w:szCs w:val="18"/>
              </w:rPr>
            </w:pPr>
            <w:r w:rsidRPr="007A0BC7">
              <w:rPr>
                <w:sz w:val="18"/>
                <w:szCs w:val="18"/>
              </w:rPr>
              <w:t>SV waste model</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Composition</w:t>
            </w:r>
          </w:p>
        </w:tc>
        <w:tc>
          <w:tcPr>
            <w:tcW w:w="8504" w:type="dxa"/>
            <w:gridSpan w:val="8"/>
            <w:vMerge/>
            <w:vAlign w:val="center"/>
          </w:tcPr>
          <w:p w:rsidR="00D033D3" w:rsidRPr="00320ED7" w:rsidRDefault="00D033D3" w:rsidP="00D033D3">
            <w:pPr>
              <w:pStyle w:val="ParaMargin"/>
              <w:keepNext/>
              <w:jc w:val="center"/>
              <w:rPr>
                <w:sz w:val="18"/>
                <w:szCs w:val="18"/>
                <w:highlight w:val="yellow"/>
              </w:rPr>
            </w:pPr>
          </w:p>
        </w:tc>
      </w:tr>
    </w:tbl>
    <w:p w:rsidR="00D033D3" w:rsidRPr="00AF4F62" w:rsidRDefault="00D033D3" w:rsidP="00D033D3">
      <w:pPr>
        <w:pStyle w:val="ParaIndent"/>
        <w:ind w:left="0"/>
        <w:rPr>
          <w:rFonts w:cs="Arial"/>
          <w:color w:val="495F70"/>
          <w:sz w:val="18"/>
          <w:szCs w:val="18"/>
        </w:rPr>
      </w:pPr>
    </w:p>
    <w:p w:rsidR="00D033D3" w:rsidRPr="00AF4F62" w:rsidRDefault="00D033D3" w:rsidP="00D033D3">
      <w:pPr>
        <w:pStyle w:val="TableHeading"/>
        <w:tabs>
          <w:tab w:val="right" w:pos="7263"/>
        </w:tabs>
        <w:rPr>
          <w:szCs w:val="18"/>
        </w:rPr>
      </w:pPr>
      <w:r w:rsidRPr="00AF4F62">
        <w:rPr>
          <w:szCs w:val="18"/>
        </w:rPr>
        <w:t xml:space="preserve">Table </w:t>
      </w:r>
      <w:r w:rsidR="00B9555F" w:rsidRPr="00AF4F62">
        <w:rPr>
          <w:szCs w:val="18"/>
        </w:rPr>
        <w:fldChar w:fldCharType="begin"/>
      </w:r>
      <w:r w:rsidRPr="00AF4F62">
        <w:rPr>
          <w:szCs w:val="18"/>
        </w:rPr>
        <w:instrText xml:space="preserve"> SEQ Table \* ARABIC </w:instrText>
      </w:r>
      <w:r w:rsidR="00B9555F" w:rsidRPr="00AF4F62">
        <w:rPr>
          <w:szCs w:val="18"/>
        </w:rPr>
        <w:fldChar w:fldCharType="separate"/>
      </w:r>
      <w:r w:rsidR="00AE7E3B">
        <w:rPr>
          <w:noProof/>
          <w:szCs w:val="18"/>
        </w:rPr>
        <w:t>73</w:t>
      </w:r>
      <w:r w:rsidR="00B9555F" w:rsidRPr="00AF4F62">
        <w:rPr>
          <w:szCs w:val="18"/>
        </w:rPr>
        <w:fldChar w:fldCharType="end"/>
      </w:r>
      <w:r w:rsidRPr="00AF4F62">
        <w:rPr>
          <w:szCs w:val="18"/>
        </w:rPr>
        <w:t>: Queensland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1417"/>
        <w:gridCol w:w="1417"/>
        <w:gridCol w:w="1418"/>
        <w:gridCol w:w="1417"/>
        <w:gridCol w:w="1417"/>
        <w:gridCol w:w="1418"/>
      </w:tblGrid>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Destination</w:t>
            </w:r>
          </w:p>
        </w:tc>
        <w:tc>
          <w:tcPr>
            <w:tcW w:w="4252" w:type="dxa"/>
            <w:gridSpan w:val="3"/>
            <w:vAlign w:val="center"/>
          </w:tcPr>
          <w:p w:rsidR="00D033D3" w:rsidRPr="00AF4F62" w:rsidRDefault="00D033D3" w:rsidP="00D033D3">
            <w:pPr>
              <w:pStyle w:val="ParaMargin"/>
              <w:keepNext/>
              <w:jc w:val="center"/>
              <w:rPr>
                <w:b/>
                <w:sz w:val="18"/>
                <w:szCs w:val="18"/>
              </w:rPr>
            </w:pPr>
            <w:r w:rsidRPr="00AF4F62">
              <w:rPr>
                <w:b/>
                <w:sz w:val="18"/>
                <w:szCs w:val="18"/>
              </w:rPr>
              <w:t>Recycled</w:t>
            </w:r>
          </w:p>
        </w:tc>
        <w:tc>
          <w:tcPr>
            <w:tcW w:w="4252" w:type="dxa"/>
            <w:gridSpan w:val="3"/>
            <w:vAlign w:val="center"/>
          </w:tcPr>
          <w:p w:rsidR="00D033D3" w:rsidRPr="00AF4F62" w:rsidRDefault="00D033D3" w:rsidP="00D033D3">
            <w:pPr>
              <w:pStyle w:val="ParaMargin"/>
              <w:keepNext/>
              <w:jc w:val="center"/>
              <w:rPr>
                <w:b/>
                <w:sz w:val="18"/>
                <w:szCs w:val="18"/>
              </w:rPr>
            </w:pPr>
            <w:r>
              <w:rPr>
                <w:b/>
                <w:sz w:val="18"/>
                <w:szCs w:val="18"/>
              </w:rPr>
              <w:t>Disposal</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8504" w:type="dxa"/>
            <w:gridSpan w:val="6"/>
            <w:vAlign w:val="center"/>
          </w:tcPr>
          <w:p w:rsidR="00D033D3" w:rsidRPr="00AF4F62" w:rsidRDefault="00D033D3" w:rsidP="00D033D3">
            <w:pPr>
              <w:pStyle w:val="ParaMargin"/>
              <w:keepNext/>
              <w:jc w:val="center"/>
              <w:rPr>
                <w:sz w:val="18"/>
                <w:szCs w:val="18"/>
              </w:rPr>
            </w:pPr>
            <w:r w:rsidRPr="00AF4F62">
              <w:rPr>
                <w:sz w:val="18"/>
                <w:szCs w:val="18"/>
              </w:rPr>
              <w:t>EPA - The state of waste and recycling</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Stream</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r>
      <w:tr w:rsidR="00D033D3" w:rsidRPr="00AF4F62" w:rsidTr="00D033D3">
        <w:trPr>
          <w:trHeight w:val="450"/>
        </w:trPr>
        <w:tc>
          <w:tcPr>
            <w:tcW w:w="1417" w:type="dxa"/>
            <w:vMerge w:val="restart"/>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8504" w:type="dxa"/>
            <w:gridSpan w:val="6"/>
            <w:vAlign w:val="center"/>
          </w:tcPr>
          <w:p w:rsidR="00D033D3" w:rsidRPr="00AF4F62" w:rsidRDefault="00D033D3" w:rsidP="00D033D3">
            <w:pPr>
              <w:pStyle w:val="ParaMargin"/>
              <w:keepNext/>
              <w:jc w:val="center"/>
              <w:rPr>
                <w:sz w:val="18"/>
                <w:szCs w:val="18"/>
              </w:rPr>
            </w:pPr>
            <w:r w:rsidRPr="00AF4F62">
              <w:rPr>
                <w:sz w:val="18"/>
                <w:szCs w:val="18"/>
              </w:rPr>
              <w:t>EPA - The state of waste and recycling</w:t>
            </w:r>
          </w:p>
        </w:tc>
      </w:tr>
      <w:tr w:rsidR="00D033D3" w:rsidRPr="00AF4F62" w:rsidTr="00D033D3">
        <w:trPr>
          <w:trHeight w:val="393"/>
        </w:trPr>
        <w:tc>
          <w:tcPr>
            <w:tcW w:w="1417" w:type="dxa"/>
            <w:vMerge/>
            <w:shd w:val="clear" w:color="auto" w:fill="D9D9D9" w:themeFill="background1" w:themeFillShade="D9"/>
            <w:vAlign w:val="center"/>
          </w:tcPr>
          <w:p w:rsidR="00D033D3" w:rsidRPr="00AF4F62" w:rsidRDefault="00D033D3" w:rsidP="00D033D3">
            <w:pPr>
              <w:pStyle w:val="ParaMargin"/>
              <w:keepNext/>
              <w:jc w:val="center"/>
              <w:rPr>
                <w:sz w:val="18"/>
                <w:szCs w:val="18"/>
              </w:rPr>
            </w:pP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PACIA - Plastics Recycling Activity Study (2006)</w:t>
            </w:r>
          </w:p>
        </w:tc>
        <w:tc>
          <w:tcPr>
            <w:tcW w:w="4252" w:type="dxa"/>
            <w:gridSpan w:val="3"/>
            <w:vAlign w:val="center"/>
          </w:tcPr>
          <w:p w:rsidR="00D033D3" w:rsidRPr="00AF4F62" w:rsidRDefault="00D033D3" w:rsidP="00D033D3">
            <w:pPr>
              <w:pStyle w:val="ParaMargin"/>
              <w:keepNext/>
              <w:jc w:val="center"/>
              <w:rPr>
                <w:sz w:val="18"/>
                <w:szCs w:val="18"/>
              </w:rPr>
            </w:pPr>
          </w:p>
        </w:tc>
      </w:tr>
      <w:tr w:rsidR="00D033D3" w:rsidRPr="00AF4F62" w:rsidTr="00D033D3">
        <w:trPr>
          <w:trHeight w:val="655"/>
        </w:trPr>
        <w:tc>
          <w:tcPr>
            <w:tcW w:w="1417" w:type="dxa"/>
            <w:vMerge/>
            <w:shd w:val="clear" w:color="auto" w:fill="D9D9D9" w:themeFill="background1" w:themeFillShade="D9"/>
            <w:vAlign w:val="center"/>
          </w:tcPr>
          <w:p w:rsidR="00D033D3" w:rsidRPr="00AF4F62" w:rsidRDefault="00D033D3" w:rsidP="00D033D3">
            <w:pPr>
              <w:pStyle w:val="ParaMargin"/>
              <w:keepNext/>
              <w:jc w:val="center"/>
              <w:rPr>
                <w:sz w:val="18"/>
                <w:szCs w:val="18"/>
              </w:rPr>
            </w:pP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ROU - Organics Recycling in Australia</w:t>
            </w:r>
          </w:p>
        </w:tc>
        <w:tc>
          <w:tcPr>
            <w:tcW w:w="1417" w:type="dxa"/>
            <w:vAlign w:val="center"/>
          </w:tcPr>
          <w:p w:rsidR="00D033D3" w:rsidRPr="00AF4F62" w:rsidRDefault="00D033D3" w:rsidP="00D033D3">
            <w:pPr>
              <w:pStyle w:val="ParaMargin"/>
              <w:keepNext/>
              <w:jc w:val="center"/>
              <w:rPr>
                <w:sz w:val="18"/>
                <w:szCs w:val="18"/>
              </w:rPr>
            </w:pPr>
          </w:p>
        </w:tc>
        <w:tc>
          <w:tcPr>
            <w:tcW w:w="1418" w:type="dxa"/>
            <w:vAlign w:val="center"/>
          </w:tcPr>
          <w:p w:rsidR="00D033D3" w:rsidRPr="00AF4F62" w:rsidRDefault="00D033D3" w:rsidP="00D033D3">
            <w:pPr>
              <w:pStyle w:val="ParaMargin"/>
              <w:keepNext/>
              <w:jc w:val="center"/>
              <w:rPr>
                <w:sz w:val="18"/>
                <w:szCs w:val="18"/>
              </w:rPr>
            </w:pPr>
          </w:p>
        </w:tc>
        <w:tc>
          <w:tcPr>
            <w:tcW w:w="4252" w:type="dxa"/>
            <w:gridSpan w:val="3"/>
            <w:vAlign w:val="center"/>
          </w:tcPr>
          <w:p w:rsidR="00D033D3" w:rsidRPr="00AF4F62" w:rsidRDefault="00D033D3" w:rsidP="00D033D3">
            <w:pPr>
              <w:pStyle w:val="ParaMargin"/>
              <w:keepNext/>
              <w:jc w:val="center"/>
              <w:rPr>
                <w:sz w:val="18"/>
                <w:szCs w:val="18"/>
              </w:rPr>
            </w:pPr>
          </w:p>
        </w:tc>
      </w:tr>
      <w:tr w:rsidR="00D033D3" w:rsidRPr="00AF4F62" w:rsidTr="00D033D3">
        <w:trPr>
          <w:trHeight w:val="450"/>
        </w:trPr>
        <w:tc>
          <w:tcPr>
            <w:tcW w:w="1417" w:type="dxa"/>
            <w:vMerge w:val="restart"/>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Composition</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PACIA - Plastics Recycling Activity Study (2006)</w:t>
            </w:r>
          </w:p>
        </w:tc>
        <w:tc>
          <w:tcPr>
            <w:tcW w:w="4252" w:type="dxa"/>
            <w:gridSpan w:val="3"/>
            <w:vAlign w:val="center"/>
          </w:tcPr>
          <w:p w:rsidR="00D033D3" w:rsidRPr="00AF4F62" w:rsidRDefault="00D033D3" w:rsidP="00D033D3">
            <w:pPr>
              <w:pStyle w:val="ParaMargin"/>
              <w:keepNext/>
              <w:jc w:val="center"/>
              <w:rPr>
                <w:sz w:val="18"/>
                <w:szCs w:val="18"/>
              </w:rPr>
            </w:pPr>
          </w:p>
        </w:tc>
      </w:tr>
      <w:tr w:rsidR="00D033D3" w:rsidRPr="00AF4F62" w:rsidTr="00D033D3">
        <w:trPr>
          <w:trHeight w:val="450"/>
        </w:trPr>
        <w:tc>
          <w:tcPr>
            <w:tcW w:w="1417" w:type="dxa"/>
            <w:vMerge/>
            <w:shd w:val="clear" w:color="auto" w:fill="D9D9D9" w:themeFill="background1" w:themeFillShade="D9"/>
            <w:vAlign w:val="center"/>
          </w:tcPr>
          <w:p w:rsidR="00D033D3" w:rsidRPr="00AF4F62" w:rsidRDefault="00D033D3" w:rsidP="00D033D3">
            <w:pPr>
              <w:pStyle w:val="ParaMargin"/>
              <w:keepNext/>
              <w:jc w:val="center"/>
              <w:rPr>
                <w:sz w:val="18"/>
                <w:szCs w:val="18"/>
              </w:rPr>
            </w:pP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PACIA - Plastics Recycling Activity Study (2006)</w:t>
            </w: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ROU - Organics Recycling in Australia</w:t>
            </w:r>
          </w:p>
        </w:tc>
        <w:tc>
          <w:tcPr>
            <w:tcW w:w="1418" w:type="dxa"/>
            <w:vAlign w:val="center"/>
          </w:tcPr>
          <w:p w:rsidR="00D033D3" w:rsidRPr="00AF4F62" w:rsidRDefault="00D033D3" w:rsidP="00D033D3">
            <w:pPr>
              <w:pStyle w:val="ParaMargin"/>
              <w:keepNext/>
              <w:jc w:val="center"/>
              <w:rPr>
                <w:sz w:val="18"/>
                <w:szCs w:val="18"/>
              </w:rPr>
            </w:pPr>
          </w:p>
        </w:tc>
        <w:tc>
          <w:tcPr>
            <w:tcW w:w="4252" w:type="dxa"/>
            <w:gridSpan w:val="3"/>
            <w:vAlign w:val="center"/>
          </w:tcPr>
          <w:p w:rsidR="00D033D3" w:rsidRPr="00AF4F62" w:rsidRDefault="00D033D3" w:rsidP="00D033D3">
            <w:pPr>
              <w:pStyle w:val="ParaMargin"/>
              <w:keepNext/>
              <w:jc w:val="center"/>
              <w:rPr>
                <w:sz w:val="18"/>
                <w:szCs w:val="18"/>
              </w:rPr>
            </w:pPr>
          </w:p>
        </w:tc>
      </w:tr>
    </w:tbl>
    <w:p w:rsidR="00D033D3" w:rsidRPr="00AF4F62" w:rsidRDefault="00D033D3" w:rsidP="00D033D3">
      <w:pPr>
        <w:pStyle w:val="ParaIndent"/>
        <w:ind w:left="0"/>
        <w:rPr>
          <w:rFonts w:cs="Arial"/>
          <w:color w:val="495F70"/>
          <w:sz w:val="18"/>
          <w:szCs w:val="18"/>
        </w:rPr>
      </w:pPr>
    </w:p>
    <w:p w:rsidR="00D033D3" w:rsidRPr="00AF4F62" w:rsidRDefault="00D033D3" w:rsidP="00D033D3">
      <w:pPr>
        <w:pStyle w:val="TableHeading"/>
        <w:tabs>
          <w:tab w:val="right" w:pos="7263"/>
        </w:tabs>
        <w:rPr>
          <w:szCs w:val="18"/>
        </w:rPr>
      </w:pPr>
      <w:r w:rsidRPr="00AF4F62">
        <w:rPr>
          <w:szCs w:val="18"/>
        </w:rPr>
        <w:t xml:space="preserve">Table </w:t>
      </w:r>
      <w:r w:rsidR="00B9555F" w:rsidRPr="00AF4F62">
        <w:rPr>
          <w:szCs w:val="18"/>
        </w:rPr>
        <w:fldChar w:fldCharType="begin"/>
      </w:r>
      <w:r w:rsidRPr="00AF4F62">
        <w:rPr>
          <w:szCs w:val="18"/>
        </w:rPr>
        <w:instrText xml:space="preserve"> SEQ Table \* ARABIC </w:instrText>
      </w:r>
      <w:r w:rsidR="00B9555F" w:rsidRPr="00AF4F62">
        <w:rPr>
          <w:szCs w:val="18"/>
        </w:rPr>
        <w:fldChar w:fldCharType="separate"/>
      </w:r>
      <w:r w:rsidR="00AE7E3B">
        <w:rPr>
          <w:noProof/>
          <w:szCs w:val="18"/>
        </w:rPr>
        <w:t>74</w:t>
      </w:r>
      <w:r w:rsidR="00B9555F" w:rsidRPr="00AF4F62">
        <w:rPr>
          <w:szCs w:val="18"/>
        </w:rPr>
        <w:fldChar w:fldCharType="end"/>
      </w:r>
      <w:r w:rsidRPr="00AF4F62">
        <w:rPr>
          <w:szCs w:val="18"/>
        </w:rPr>
        <w:t>: Western Australia</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6"/>
        <w:gridCol w:w="1417"/>
        <w:gridCol w:w="1417"/>
        <w:gridCol w:w="1418"/>
        <w:gridCol w:w="1417"/>
        <w:gridCol w:w="1417"/>
        <w:gridCol w:w="1418"/>
      </w:tblGrid>
      <w:tr w:rsidR="00D033D3" w:rsidRPr="00AF4F62" w:rsidTr="00D033D3">
        <w:trPr>
          <w:trHeight w:val="907"/>
        </w:trPr>
        <w:tc>
          <w:tcPr>
            <w:tcW w:w="1416"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Destination</w:t>
            </w:r>
          </w:p>
        </w:tc>
        <w:tc>
          <w:tcPr>
            <w:tcW w:w="4252" w:type="dxa"/>
            <w:gridSpan w:val="3"/>
            <w:vAlign w:val="center"/>
          </w:tcPr>
          <w:p w:rsidR="00D033D3" w:rsidRPr="00AF4F62" w:rsidRDefault="00D033D3" w:rsidP="00D033D3">
            <w:pPr>
              <w:pStyle w:val="ParaMargin"/>
              <w:keepNext/>
              <w:jc w:val="center"/>
              <w:rPr>
                <w:b/>
                <w:sz w:val="18"/>
                <w:szCs w:val="18"/>
              </w:rPr>
            </w:pPr>
            <w:r w:rsidRPr="00AF4F62">
              <w:rPr>
                <w:b/>
                <w:sz w:val="18"/>
                <w:szCs w:val="18"/>
              </w:rPr>
              <w:t>Recycled</w:t>
            </w:r>
          </w:p>
        </w:tc>
        <w:tc>
          <w:tcPr>
            <w:tcW w:w="4252" w:type="dxa"/>
            <w:gridSpan w:val="3"/>
            <w:vAlign w:val="center"/>
          </w:tcPr>
          <w:p w:rsidR="00D033D3" w:rsidRPr="00AF4F62" w:rsidRDefault="00D033D3" w:rsidP="00D033D3">
            <w:pPr>
              <w:pStyle w:val="ParaMargin"/>
              <w:keepNext/>
              <w:jc w:val="center"/>
              <w:rPr>
                <w:b/>
                <w:sz w:val="18"/>
                <w:szCs w:val="18"/>
              </w:rPr>
            </w:pPr>
            <w:r>
              <w:rPr>
                <w:b/>
                <w:sz w:val="18"/>
                <w:szCs w:val="18"/>
              </w:rPr>
              <w:t>Disposal</w:t>
            </w:r>
          </w:p>
        </w:tc>
      </w:tr>
      <w:tr w:rsidR="00D033D3" w:rsidRPr="00AF4F62" w:rsidTr="00D033D3">
        <w:trPr>
          <w:trHeight w:val="907"/>
        </w:trPr>
        <w:tc>
          <w:tcPr>
            <w:tcW w:w="1416"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Cardno BSD - Review of total recycling activity in Western Australia</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www.zerowastewa.com.au extrapolation</w:t>
            </w:r>
          </w:p>
        </w:tc>
      </w:tr>
      <w:tr w:rsidR="00D033D3" w:rsidRPr="00AF4F62" w:rsidTr="00D033D3">
        <w:trPr>
          <w:trHeight w:val="907"/>
        </w:trPr>
        <w:tc>
          <w:tcPr>
            <w:tcW w:w="1416"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Stream</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r>
      <w:tr w:rsidR="00D033D3" w:rsidRPr="00AF4F62" w:rsidTr="00D033D3">
        <w:trPr>
          <w:trHeight w:val="840"/>
        </w:trPr>
        <w:tc>
          <w:tcPr>
            <w:tcW w:w="1416"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Cardno BSD - Review of total recycling activity in Western Australia</w:t>
            </w:r>
          </w:p>
          <w:p w:rsidR="00D033D3" w:rsidRPr="00AF4F62" w:rsidRDefault="00D033D3" w:rsidP="00D033D3">
            <w:pPr>
              <w:pStyle w:val="ParaMargin"/>
              <w:keepNext/>
              <w:jc w:val="center"/>
              <w:rPr>
                <w:sz w:val="18"/>
                <w:szCs w:val="18"/>
              </w:rPr>
            </w:pPr>
            <w:r w:rsidRPr="00AF4F62">
              <w:rPr>
                <w:sz w:val="18"/>
                <w:szCs w:val="18"/>
              </w:rPr>
              <w:t>ROU - Organics Recycling in Australia</w:t>
            </w: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DEC - Zero Waste Plan Development Scheme</w:t>
            </w:r>
          </w:p>
        </w:tc>
        <w:tc>
          <w:tcPr>
            <w:tcW w:w="2835" w:type="dxa"/>
            <w:gridSpan w:val="2"/>
            <w:vAlign w:val="center"/>
          </w:tcPr>
          <w:p w:rsidR="00D033D3" w:rsidRPr="00AF4F62" w:rsidRDefault="00D033D3" w:rsidP="00D033D3">
            <w:pPr>
              <w:pStyle w:val="ParaMargin"/>
              <w:keepNext/>
              <w:jc w:val="center"/>
              <w:rPr>
                <w:sz w:val="18"/>
                <w:szCs w:val="18"/>
              </w:rPr>
            </w:pPr>
            <w:r w:rsidRPr="00AF4F62">
              <w:rPr>
                <w:sz w:val="18"/>
                <w:szCs w:val="18"/>
              </w:rPr>
              <w:t>www.zerowastewa.com.au</w:t>
            </w:r>
          </w:p>
        </w:tc>
      </w:tr>
      <w:tr w:rsidR="00D033D3" w:rsidRPr="00AF4F62" w:rsidTr="00D033D3">
        <w:trPr>
          <w:trHeight w:val="907"/>
        </w:trPr>
        <w:tc>
          <w:tcPr>
            <w:tcW w:w="1416"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Composition</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Cardno BSD - Review of total recycling activity in Western Australia</w:t>
            </w: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Murdoch University - City of Stirling</w:t>
            </w:r>
          </w:p>
        </w:tc>
        <w:tc>
          <w:tcPr>
            <w:tcW w:w="2835" w:type="dxa"/>
            <w:gridSpan w:val="2"/>
            <w:vAlign w:val="center"/>
          </w:tcPr>
          <w:p w:rsidR="00D033D3" w:rsidRPr="00AF4F62" w:rsidRDefault="00D033D3" w:rsidP="00D033D3">
            <w:pPr>
              <w:pStyle w:val="ParaMargin"/>
              <w:keepNext/>
              <w:jc w:val="center"/>
              <w:rPr>
                <w:sz w:val="18"/>
                <w:szCs w:val="18"/>
              </w:rPr>
            </w:pPr>
            <w:r w:rsidRPr="00AF4F62">
              <w:rPr>
                <w:sz w:val="18"/>
                <w:szCs w:val="18"/>
              </w:rPr>
              <w:t>Audits by Waste Audit and Consultancy Services for DEC</w:t>
            </w:r>
          </w:p>
        </w:tc>
      </w:tr>
    </w:tbl>
    <w:p w:rsidR="00D033D3" w:rsidRPr="00AF4F62" w:rsidRDefault="00D033D3" w:rsidP="00D033D3">
      <w:pPr>
        <w:pStyle w:val="ParaIndent"/>
        <w:ind w:left="0"/>
        <w:rPr>
          <w:rFonts w:cs="Arial"/>
          <w:color w:val="495F70"/>
          <w:sz w:val="18"/>
          <w:szCs w:val="18"/>
        </w:rPr>
      </w:pPr>
    </w:p>
    <w:p w:rsidR="00D033D3" w:rsidRPr="00AF4F62" w:rsidRDefault="00D033D3" w:rsidP="00D033D3">
      <w:pPr>
        <w:pStyle w:val="TableHeading"/>
        <w:tabs>
          <w:tab w:val="right" w:pos="7263"/>
        </w:tabs>
        <w:rPr>
          <w:szCs w:val="18"/>
        </w:rPr>
      </w:pPr>
      <w:r w:rsidRPr="00AF4F62">
        <w:rPr>
          <w:szCs w:val="18"/>
        </w:rPr>
        <w:t xml:space="preserve">Table </w:t>
      </w:r>
      <w:r w:rsidR="00B9555F" w:rsidRPr="00AF4F62">
        <w:rPr>
          <w:szCs w:val="18"/>
        </w:rPr>
        <w:fldChar w:fldCharType="begin"/>
      </w:r>
      <w:r w:rsidRPr="00AF4F62">
        <w:rPr>
          <w:szCs w:val="18"/>
        </w:rPr>
        <w:instrText xml:space="preserve"> SEQ Table \* ARABIC </w:instrText>
      </w:r>
      <w:r w:rsidR="00B9555F" w:rsidRPr="00AF4F62">
        <w:rPr>
          <w:szCs w:val="18"/>
        </w:rPr>
        <w:fldChar w:fldCharType="separate"/>
      </w:r>
      <w:r w:rsidR="00AE7E3B">
        <w:rPr>
          <w:noProof/>
          <w:szCs w:val="18"/>
        </w:rPr>
        <w:t>75</w:t>
      </w:r>
      <w:r w:rsidR="00B9555F" w:rsidRPr="00AF4F62">
        <w:rPr>
          <w:szCs w:val="18"/>
        </w:rPr>
        <w:fldChar w:fldCharType="end"/>
      </w:r>
      <w:r w:rsidRPr="00AF4F62">
        <w:rPr>
          <w:szCs w:val="18"/>
        </w:rPr>
        <w:t>: South Australia</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1417"/>
        <w:gridCol w:w="1417"/>
        <w:gridCol w:w="1418"/>
        <w:gridCol w:w="1417"/>
        <w:gridCol w:w="1417"/>
        <w:gridCol w:w="1418"/>
      </w:tblGrid>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Destination</w:t>
            </w:r>
          </w:p>
        </w:tc>
        <w:tc>
          <w:tcPr>
            <w:tcW w:w="4252" w:type="dxa"/>
            <w:gridSpan w:val="3"/>
            <w:vAlign w:val="center"/>
          </w:tcPr>
          <w:p w:rsidR="00D033D3" w:rsidRPr="00AF4F62" w:rsidRDefault="00D033D3" w:rsidP="00D033D3">
            <w:pPr>
              <w:pStyle w:val="ParaMargin"/>
              <w:keepNext/>
              <w:jc w:val="center"/>
              <w:rPr>
                <w:b/>
                <w:sz w:val="18"/>
                <w:szCs w:val="18"/>
              </w:rPr>
            </w:pPr>
            <w:r w:rsidRPr="00AF4F62">
              <w:rPr>
                <w:b/>
                <w:sz w:val="18"/>
                <w:szCs w:val="18"/>
              </w:rPr>
              <w:t>Recycled</w:t>
            </w:r>
          </w:p>
        </w:tc>
        <w:tc>
          <w:tcPr>
            <w:tcW w:w="4252" w:type="dxa"/>
            <w:gridSpan w:val="3"/>
            <w:vAlign w:val="center"/>
          </w:tcPr>
          <w:p w:rsidR="00D033D3" w:rsidRPr="00AF4F62" w:rsidRDefault="00D033D3" w:rsidP="00D033D3">
            <w:pPr>
              <w:pStyle w:val="ParaMargin"/>
              <w:keepNext/>
              <w:jc w:val="center"/>
              <w:rPr>
                <w:b/>
                <w:sz w:val="18"/>
                <w:szCs w:val="18"/>
              </w:rPr>
            </w:pPr>
            <w:r>
              <w:rPr>
                <w:b/>
                <w:sz w:val="18"/>
                <w:szCs w:val="18"/>
              </w:rPr>
              <w:t>Disposal</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ZWSA - Recycling Activity in SA</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EPA - Landfill data</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Stream</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4252" w:type="dxa"/>
            <w:gridSpan w:val="3"/>
            <w:vMerge w:val="restart"/>
            <w:vAlign w:val="center"/>
          </w:tcPr>
          <w:p w:rsidR="00D033D3" w:rsidRPr="00AF4F62" w:rsidRDefault="00D033D3" w:rsidP="00D033D3">
            <w:pPr>
              <w:pStyle w:val="ParaMargin"/>
              <w:keepNext/>
              <w:jc w:val="center"/>
              <w:rPr>
                <w:sz w:val="18"/>
                <w:szCs w:val="18"/>
              </w:rPr>
            </w:pPr>
            <w:r w:rsidRPr="00AF4F62">
              <w:rPr>
                <w:sz w:val="18"/>
                <w:szCs w:val="18"/>
              </w:rPr>
              <w:t>ZWSA - Recycling Activity in SA</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Waste Audit and Consultancy Services - Disposal based survey</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Composition</w:t>
            </w:r>
          </w:p>
        </w:tc>
        <w:tc>
          <w:tcPr>
            <w:tcW w:w="4252" w:type="dxa"/>
            <w:gridSpan w:val="3"/>
            <w:vMerge/>
            <w:vAlign w:val="center"/>
          </w:tcPr>
          <w:p w:rsidR="00D033D3" w:rsidRPr="00AF4F62" w:rsidRDefault="00D033D3" w:rsidP="00D033D3">
            <w:pPr>
              <w:pStyle w:val="ParaMargin"/>
              <w:keepNext/>
              <w:jc w:val="center"/>
              <w:rPr>
                <w:sz w:val="18"/>
                <w:szCs w:val="18"/>
              </w:rPr>
            </w:pP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EPA - State of the Environment Report</w:t>
            </w:r>
          </w:p>
        </w:tc>
        <w:tc>
          <w:tcPr>
            <w:tcW w:w="2835" w:type="dxa"/>
            <w:gridSpan w:val="2"/>
            <w:vAlign w:val="center"/>
          </w:tcPr>
          <w:p w:rsidR="00D033D3" w:rsidRPr="00AF4F62" w:rsidRDefault="00D033D3" w:rsidP="00D033D3">
            <w:pPr>
              <w:pStyle w:val="ParaMargin"/>
              <w:keepNext/>
              <w:jc w:val="center"/>
              <w:rPr>
                <w:sz w:val="18"/>
                <w:szCs w:val="18"/>
              </w:rPr>
            </w:pPr>
            <w:r w:rsidRPr="00AF4F62">
              <w:rPr>
                <w:sz w:val="18"/>
                <w:szCs w:val="18"/>
              </w:rPr>
              <w:t>Waste Audit and Consultancy Services - Disposal based survey</w:t>
            </w:r>
          </w:p>
        </w:tc>
      </w:tr>
    </w:tbl>
    <w:p w:rsidR="00D033D3" w:rsidRPr="00AF4F62" w:rsidRDefault="00D033D3" w:rsidP="00D033D3">
      <w:pPr>
        <w:pStyle w:val="ParaIndent"/>
        <w:ind w:left="0"/>
        <w:rPr>
          <w:rFonts w:cs="Arial"/>
          <w:color w:val="495F70"/>
          <w:sz w:val="18"/>
          <w:szCs w:val="18"/>
        </w:rPr>
      </w:pPr>
    </w:p>
    <w:p w:rsidR="00D033D3" w:rsidRPr="00AF4F62" w:rsidRDefault="00D033D3" w:rsidP="00D033D3">
      <w:pPr>
        <w:pStyle w:val="TableHeading"/>
        <w:tabs>
          <w:tab w:val="right" w:pos="7263"/>
        </w:tabs>
        <w:rPr>
          <w:szCs w:val="18"/>
        </w:rPr>
      </w:pPr>
      <w:r w:rsidRPr="00AF4F62">
        <w:rPr>
          <w:szCs w:val="18"/>
        </w:rPr>
        <w:t xml:space="preserve">Table </w:t>
      </w:r>
      <w:r w:rsidR="00B9555F" w:rsidRPr="00AF4F62">
        <w:rPr>
          <w:szCs w:val="18"/>
        </w:rPr>
        <w:fldChar w:fldCharType="begin"/>
      </w:r>
      <w:r w:rsidRPr="00AF4F62">
        <w:rPr>
          <w:szCs w:val="18"/>
        </w:rPr>
        <w:instrText xml:space="preserve"> SEQ Table \* ARABIC </w:instrText>
      </w:r>
      <w:r w:rsidR="00B9555F" w:rsidRPr="00AF4F62">
        <w:rPr>
          <w:szCs w:val="18"/>
        </w:rPr>
        <w:fldChar w:fldCharType="separate"/>
      </w:r>
      <w:r w:rsidR="00AE7E3B">
        <w:rPr>
          <w:noProof/>
          <w:szCs w:val="18"/>
        </w:rPr>
        <w:t>76</w:t>
      </w:r>
      <w:r w:rsidR="00B9555F" w:rsidRPr="00AF4F62">
        <w:rPr>
          <w:szCs w:val="18"/>
        </w:rPr>
        <w:fldChar w:fldCharType="end"/>
      </w:r>
      <w:r w:rsidRPr="00AF4F62">
        <w:rPr>
          <w:szCs w:val="18"/>
        </w:rPr>
        <w:t>: Tasmania</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4"/>
        <w:gridCol w:w="1417"/>
        <w:gridCol w:w="1417"/>
        <w:gridCol w:w="1419"/>
        <w:gridCol w:w="1417"/>
        <w:gridCol w:w="1417"/>
        <w:gridCol w:w="1418"/>
      </w:tblGrid>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Destination</w:t>
            </w:r>
          </w:p>
        </w:tc>
        <w:tc>
          <w:tcPr>
            <w:tcW w:w="4253" w:type="dxa"/>
            <w:gridSpan w:val="3"/>
            <w:vAlign w:val="center"/>
          </w:tcPr>
          <w:p w:rsidR="00D033D3" w:rsidRPr="00AF4F62" w:rsidRDefault="00D033D3" w:rsidP="00D033D3">
            <w:pPr>
              <w:pStyle w:val="ParaMargin"/>
              <w:keepNext/>
              <w:jc w:val="center"/>
              <w:rPr>
                <w:b/>
                <w:sz w:val="18"/>
                <w:szCs w:val="18"/>
              </w:rPr>
            </w:pPr>
            <w:r w:rsidRPr="00AF4F62">
              <w:rPr>
                <w:b/>
                <w:sz w:val="18"/>
                <w:szCs w:val="18"/>
              </w:rPr>
              <w:t>Recycled</w:t>
            </w:r>
          </w:p>
        </w:tc>
        <w:tc>
          <w:tcPr>
            <w:tcW w:w="4252" w:type="dxa"/>
            <w:gridSpan w:val="3"/>
            <w:vAlign w:val="center"/>
          </w:tcPr>
          <w:p w:rsidR="00D033D3" w:rsidRPr="00AF4F62" w:rsidRDefault="00D033D3" w:rsidP="00D033D3">
            <w:pPr>
              <w:pStyle w:val="ParaMargin"/>
              <w:keepNext/>
              <w:jc w:val="center"/>
              <w:rPr>
                <w:b/>
                <w:sz w:val="18"/>
                <w:szCs w:val="18"/>
              </w:rPr>
            </w:pPr>
            <w:r>
              <w:rPr>
                <w:b/>
                <w:sz w:val="18"/>
                <w:szCs w:val="18"/>
              </w:rPr>
              <w:t>Disposal</w:t>
            </w:r>
          </w:p>
        </w:tc>
      </w:tr>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8505" w:type="dxa"/>
            <w:gridSpan w:val="6"/>
            <w:vAlign w:val="center"/>
          </w:tcPr>
          <w:p w:rsidR="00D033D3" w:rsidRPr="00AF4F62" w:rsidRDefault="00D033D3" w:rsidP="00D033D3">
            <w:pPr>
              <w:pStyle w:val="ParaMargin"/>
              <w:keepNext/>
              <w:jc w:val="center"/>
              <w:rPr>
                <w:sz w:val="18"/>
                <w:szCs w:val="18"/>
              </w:rPr>
            </w:pPr>
            <w:r w:rsidRPr="00AF4F62">
              <w:rPr>
                <w:sz w:val="18"/>
                <w:szCs w:val="18"/>
              </w:rPr>
              <w:t>DPIPWE</w:t>
            </w:r>
          </w:p>
        </w:tc>
      </w:tr>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Stream</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9"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r>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4253" w:type="dxa"/>
            <w:gridSpan w:val="3"/>
            <w:vAlign w:val="center"/>
          </w:tcPr>
          <w:p w:rsidR="00D033D3" w:rsidRPr="00AF4F62" w:rsidRDefault="00D033D3" w:rsidP="00D033D3">
            <w:pPr>
              <w:pStyle w:val="ParaMargin"/>
              <w:keepNext/>
              <w:jc w:val="center"/>
              <w:rPr>
                <w:sz w:val="18"/>
                <w:szCs w:val="18"/>
              </w:rPr>
            </w:pPr>
            <w:r w:rsidRPr="00AF4F62">
              <w:rPr>
                <w:sz w:val="18"/>
                <w:szCs w:val="18"/>
              </w:rPr>
              <w:t>DPIPWE</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Landfill operators</w:t>
            </w:r>
          </w:p>
        </w:tc>
      </w:tr>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Composition</w:t>
            </w:r>
          </w:p>
        </w:tc>
        <w:tc>
          <w:tcPr>
            <w:tcW w:w="8505" w:type="dxa"/>
            <w:gridSpan w:val="6"/>
            <w:vAlign w:val="center"/>
          </w:tcPr>
          <w:p w:rsidR="00D033D3" w:rsidRPr="00AF4F62" w:rsidRDefault="00D033D3" w:rsidP="00D033D3">
            <w:pPr>
              <w:pStyle w:val="ParaMargin"/>
              <w:keepNext/>
              <w:jc w:val="center"/>
              <w:rPr>
                <w:sz w:val="18"/>
                <w:szCs w:val="18"/>
              </w:rPr>
            </w:pPr>
          </w:p>
        </w:tc>
      </w:tr>
    </w:tbl>
    <w:p w:rsidR="00D033D3" w:rsidRPr="00AF4F62" w:rsidRDefault="00D033D3" w:rsidP="00D033D3">
      <w:pPr>
        <w:pStyle w:val="ParaIndent"/>
        <w:ind w:left="0"/>
        <w:rPr>
          <w:rFonts w:cs="Arial"/>
          <w:color w:val="495F70"/>
          <w:sz w:val="18"/>
          <w:szCs w:val="18"/>
        </w:rPr>
      </w:pPr>
    </w:p>
    <w:p w:rsidR="00D033D3" w:rsidRPr="00AF4F62" w:rsidRDefault="00D033D3" w:rsidP="00D033D3">
      <w:pPr>
        <w:pStyle w:val="TableHeading"/>
        <w:tabs>
          <w:tab w:val="right" w:pos="7263"/>
        </w:tabs>
        <w:rPr>
          <w:szCs w:val="18"/>
        </w:rPr>
      </w:pPr>
      <w:r w:rsidRPr="00AF4F62">
        <w:rPr>
          <w:szCs w:val="18"/>
        </w:rPr>
        <w:t xml:space="preserve">Table </w:t>
      </w:r>
      <w:r w:rsidR="00B9555F" w:rsidRPr="00AF4F62">
        <w:rPr>
          <w:szCs w:val="18"/>
        </w:rPr>
        <w:fldChar w:fldCharType="begin"/>
      </w:r>
      <w:r w:rsidRPr="00AF4F62">
        <w:rPr>
          <w:szCs w:val="18"/>
        </w:rPr>
        <w:instrText xml:space="preserve"> SEQ Table \* ARABIC </w:instrText>
      </w:r>
      <w:r w:rsidR="00B9555F" w:rsidRPr="00AF4F62">
        <w:rPr>
          <w:szCs w:val="18"/>
        </w:rPr>
        <w:fldChar w:fldCharType="separate"/>
      </w:r>
      <w:r w:rsidR="00AE7E3B">
        <w:rPr>
          <w:noProof/>
          <w:szCs w:val="18"/>
        </w:rPr>
        <w:t>77</w:t>
      </w:r>
      <w:r w:rsidR="00B9555F" w:rsidRPr="00AF4F62">
        <w:rPr>
          <w:szCs w:val="18"/>
        </w:rPr>
        <w:fldChar w:fldCharType="end"/>
      </w:r>
      <w:r w:rsidRPr="00AF4F62">
        <w:rPr>
          <w:szCs w:val="18"/>
        </w:rPr>
        <w:t>: Australian Capital Territory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1417"/>
        <w:gridCol w:w="1417"/>
        <w:gridCol w:w="1418"/>
        <w:gridCol w:w="1417"/>
        <w:gridCol w:w="1417"/>
        <w:gridCol w:w="1418"/>
      </w:tblGrid>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Destination</w:t>
            </w:r>
          </w:p>
        </w:tc>
        <w:tc>
          <w:tcPr>
            <w:tcW w:w="4252" w:type="dxa"/>
            <w:gridSpan w:val="3"/>
            <w:vAlign w:val="center"/>
          </w:tcPr>
          <w:p w:rsidR="00D033D3" w:rsidRPr="00AF4F62" w:rsidRDefault="00D033D3" w:rsidP="00D033D3">
            <w:pPr>
              <w:pStyle w:val="ParaMargin"/>
              <w:keepNext/>
              <w:jc w:val="center"/>
              <w:rPr>
                <w:b/>
                <w:sz w:val="18"/>
                <w:szCs w:val="18"/>
              </w:rPr>
            </w:pPr>
            <w:r w:rsidRPr="00AF4F62">
              <w:rPr>
                <w:b/>
                <w:sz w:val="18"/>
                <w:szCs w:val="18"/>
              </w:rPr>
              <w:t>Recycled</w:t>
            </w:r>
          </w:p>
        </w:tc>
        <w:tc>
          <w:tcPr>
            <w:tcW w:w="4252" w:type="dxa"/>
            <w:gridSpan w:val="3"/>
            <w:vAlign w:val="center"/>
          </w:tcPr>
          <w:p w:rsidR="00D033D3" w:rsidRPr="00AF4F62" w:rsidRDefault="00D033D3" w:rsidP="00D033D3">
            <w:pPr>
              <w:pStyle w:val="ParaMargin"/>
              <w:keepNext/>
              <w:jc w:val="center"/>
              <w:rPr>
                <w:b/>
                <w:sz w:val="18"/>
                <w:szCs w:val="18"/>
              </w:rPr>
            </w:pPr>
            <w:r>
              <w:rPr>
                <w:b/>
                <w:sz w:val="18"/>
                <w:szCs w:val="18"/>
              </w:rPr>
              <w:t>Disposal</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8504" w:type="dxa"/>
            <w:gridSpan w:val="6"/>
            <w:vAlign w:val="center"/>
          </w:tcPr>
          <w:p w:rsidR="00D033D3" w:rsidRPr="00AF4F62" w:rsidRDefault="00D033D3" w:rsidP="00D033D3">
            <w:pPr>
              <w:pStyle w:val="ParaMargin"/>
              <w:keepNext/>
              <w:jc w:val="center"/>
              <w:rPr>
                <w:sz w:val="18"/>
                <w:szCs w:val="18"/>
              </w:rPr>
            </w:pPr>
            <w:r w:rsidRPr="00AF4F62">
              <w:rPr>
                <w:sz w:val="18"/>
                <w:szCs w:val="18"/>
              </w:rPr>
              <w:t>www.tams.act.gov.au</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Stream</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NEPC Annual Report</w:t>
            </w:r>
          </w:p>
        </w:tc>
        <w:tc>
          <w:tcPr>
            <w:tcW w:w="7087" w:type="dxa"/>
            <w:gridSpan w:val="5"/>
            <w:vAlign w:val="center"/>
          </w:tcPr>
          <w:p w:rsidR="00D033D3" w:rsidRPr="00AF4F62" w:rsidRDefault="00D033D3" w:rsidP="00D033D3">
            <w:pPr>
              <w:pStyle w:val="ParaMargin"/>
              <w:keepNext/>
              <w:jc w:val="center"/>
              <w:rPr>
                <w:sz w:val="18"/>
                <w:szCs w:val="18"/>
              </w:rPr>
            </w:pPr>
            <w:r w:rsidRPr="00AF4F62">
              <w:rPr>
                <w:sz w:val="18"/>
                <w:szCs w:val="18"/>
              </w:rPr>
              <w:t>www.tams.act.gov.au</w:t>
            </w:r>
          </w:p>
          <w:p w:rsidR="00D033D3" w:rsidRPr="00AF4F62" w:rsidRDefault="00D033D3" w:rsidP="00D033D3">
            <w:pPr>
              <w:pStyle w:val="ParaMargin"/>
              <w:keepNext/>
              <w:jc w:val="center"/>
              <w:rPr>
                <w:sz w:val="18"/>
                <w:szCs w:val="18"/>
              </w:rPr>
            </w:pPr>
            <w:r w:rsidRPr="00AF4F62">
              <w:rPr>
                <w:sz w:val="18"/>
                <w:szCs w:val="18"/>
              </w:rPr>
              <w:t>ROU - Organics Recycling in Australia</w:t>
            </w:r>
          </w:p>
        </w:tc>
      </w:tr>
      <w:tr w:rsidR="00D033D3" w:rsidRPr="00AF4F62" w:rsidTr="00D033D3">
        <w:trPr>
          <w:trHeight w:val="907"/>
        </w:trPr>
        <w:tc>
          <w:tcPr>
            <w:tcW w:w="1417"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Composition</w:t>
            </w: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PACIA - Plastics Recycling Activity Study (2006)</w:t>
            </w:r>
          </w:p>
        </w:tc>
        <w:tc>
          <w:tcPr>
            <w:tcW w:w="1417" w:type="dxa"/>
            <w:vAlign w:val="center"/>
          </w:tcPr>
          <w:p w:rsidR="00D033D3" w:rsidRPr="00AF4F62" w:rsidRDefault="00D033D3" w:rsidP="00D033D3">
            <w:pPr>
              <w:pStyle w:val="ParaMargin"/>
              <w:keepNext/>
              <w:jc w:val="center"/>
              <w:rPr>
                <w:sz w:val="18"/>
                <w:szCs w:val="18"/>
              </w:rPr>
            </w:pPr>
          </w:p>
        </w:tc>
        <w:tc>
          <w:tcPr>
            <w:tcW w:w="1417" w:type="dxa"/>
            <w:vAlign w:val="center"/>
          </w:tcPr>
          <w:p w:rsidR="00D033D3" w:rsidRPr="00AF4F62" w:rsidRDefault="00D033D3" w:rsidP="00D033D3">
            <w:pPr>
              <w:pStyle w:val="ParaMargin"/>
              <w:keepNext/>
              <w:jc w:val="center"/>
              <w:rPr>
                <w:sz w:val="18"/>
                <w:szCs w:val="18"/>
              </w:rPr>
            </w:pPr>
          </w:p>
        </w:tc>
        <w:tc>
          <w:tcPr>
            <w:tcW w:w="1417" w:type="dxa"/>
            <w:vAlign w:val="center"/>
          </w:tcPr>
          <w:p w:rsidR="00D033D3" w:rsidRPr="00AF4F62" w:rsidRDefault="00D033D3" w:rsidP="00D033D3">
            <w:pPr>
              <w:pStyle w:val="ParaMargin"/>
              <w:keepNext/>
              <w:jc w:val="center"/>
              <w:rPr>
                <w:sz w:val="18"/>
                <w:szCs w:val="18"/>
              </w:rPr>
            </w:pP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ACT NoWaste</w:t>
            </w:r>
          </w:p>
        </w:tc>
        <w:tc>
          <w:tcPr>
            <w:tcW w:w="1417" w:type="dxa"/>
            <w:vAlign w:val="center"/>
          </w:tcPr>
          <w:p w:rsidR="00D033D3" w:rsidRPr="00AF4F62" w:rsidRDefault="00D033D3" w:rsidP="00D033D3">
            <w:pPr>
              <w:pStyle w:val="ParaMargin"/>
              <w:keepNext/>
              <w:jc w:val="center"/>
              <w:rPr>
                <w:sz w:val="18"/>
                <w:szCs w:val="18"/>
              </w:rPr>
            </w:pPr>
            <w:r w:rsidRPr="00AF4F62">
              <w:rPr>
                <w:sz w:val="18"/>
                <w:szCs w:val="18"/>
              </w:rPr>
              <w:t>ACT Waste Inventory</w:t>
            </w:r>
          </w:p>
        </w:tc>
      </w:tr>
    </w:tbl>
    <w:p w:rsidR="00D033D3" w:rsidRPr="00AF4F62" w:rsidRDefault="00D033D3" w:rsidP="00D033D3">
      <w:pPr>
        <w:pStyle w:val="ParaIndent"/>
        <w:ind w:left="0"/>
        <w:rPr>
          <w:rFonts w:cs="Arial"/>
          <w:color w:val="495F70"/>
          <w:sz w:val="18"/>
          <w:szCs w:val="18"/>
        </w:rPr>
      </w:pPr>
    </w:p>
    <w:p w:rsidR="00D033D3" w:rsidRPr="00AF4F62" w:rsidRDefault="00D033D3" w:rsidP="00D033D3">
      <w:pPr>
        <w:pStyle w:val="TableHeading"/>
        <w:tabs>
          <w:tab w:val="right" w:pos="7263"/>
        </w:tabs>
        <w:rPr>
          <w:szCs w:val="18"/>
        </w:rPr>
      </w:pPr>
      <w:r w:rsidRPr="00AF4F62">
        <w:rPr>
          <w:szCs w:val="18"/>
        </w:rPr>
        <w:t xml:space="preserve">Table </w:t>
      </w:r>
      <w:r w:rsidR="00B9555F" w:rsidRPr="00AF4F62">
        <w:rPr>
          <w:szCs w:val="18"/>
        </w:rPr>
        <w:fldChar w:fldCharType="begin"/>
      </w:r>
      <w:r w:rsidRPr="00AF4F62">
        <w:rPr>
          <w:szCs w:val="18"/>
        </w:rPr>
        <w:instrText xml:space="preserve"> SEQ Table \* ARABIC </w:instrText>
      </w:r>
      <w:r w:rsidR="00B9555F" w:rsidRPr="00AF4F62">
        <w:rPr>
          <w:szCs w:val="18"/>
        </w:rPr>
        <w:fldChar w:fldCharType="separate"/>
      </w:r>
      <w:r w:rsidR="00AE7E3B">
        <w:rPr>
          <w:noProof/>
          <w:szCs w:val="18"/>
        </w:rPr>
        <w:t>78</w:t>
      </w:r>
      <w:r w:rsidR="00B9555F" w:rsidRPr="00AF4F62">
        <w:rPr>
          <w:szCs w:val="18"/>
        </w:rPr>
        <w:fldChar w:fldCharType="end"/>
      </w:r>
      <w:r w:rsidRPr="00AF4F62">
        <w:rPr>
          <w:szCs w:val="18"/>
        </w:rPr>
        <w:t>: Northern Territory</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4"/>
        <w:gridCol w:w="1417"/>
        <w:gridCol w:w="1417"/>
        <w:gridCol w:w="1419"/>
        <w:gridCol w:w="1417"/>
        <w:gridCol w:w="1417"/>
        <w:gridCol w:w="1418"/>
      </w:tblGrid>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Destination</w:t>
            </w:r>
          </w:p>
        </w:tc>
        <w:tc>
          <w:tcPr>
            <w:tcW w:w="4253" w:type="dxa"/>
            <w:gridSpan w:val="3"/>
            <w:vAlign w:val="center"/>
          </w:tcPr>
          <w:p w:rsidR="00D033D3" w:rsidRPr="00AF4F62" w:rsidRDefault="00D033D3" w:rsidP="00D033D3">
            <w:pPr>
              <w:pStyle w:val="ParaMargin"/>
              <w:keepNext/>
              <w:jc w:val="center"/>
              <w:rPr>
                <w:b/>
                <w:sz w:val="18"/>
                <w:szCs w:val="18"/>
              </w:rPr>
            </w:pPr>
            <w:r w:rsidRPr="00AF4F62">
              <w:rPr>
                <w:b/>
                <w:sz w:val="18"/>
                <w:szCs w:val="18"/>
              </w:rPr>
              <w:t>Recycled</w:t>
            </w:r>
          </w:p>
        </w:tc>
        <w:tc>
          <w:tcPr>
            <w:tcW w:w="4252" w:type="dxa"/>
            <w:gridSpan w:val="3"/>
            <w:vAlign w:val="center"/>
          </w:tcPr>
          <w:p w:rsidR="00D033D3" w:rsidRPr="00AF4F62" w:rsidRDefault="00D033D3" w:rsidP="00D033D3">
            <w:pPr>
              <w:pStyle w:val="ParaMargin"/>
              <w:keepNext/>
              <w:jc w:val="center"/>
              <w:rPr>
                <w:b/>
                <w:sz w:val="18"/>
                <w:szCs w:val="18"/>
              </w:rPr>
            </w:pPr>
            <w:r>
              <w:rPr>
                <w:b/>
                <w:sz w:val="18"/>
                <w:szCs w:val="18"/>
              </w:rPr>
              <w:t>Disposal</w:t>
            </w:r>
          </w:p>
        </w:tc>
      </w:tr>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4253" w:type="dxa"/>
            <w:gridSpan w:val="3"/>
            <w:vAlign w:val="center"/>
          </w:tcPr>
          <w:p w:rsidR="00D033D3" w:rsidRPr="00AF4F62" w:rsidRDefault="00D033D3" w:rsidP="00D033D3">
            <w:pPr>
              <w:pStyle w:val="ParaMargin"/>
              <w:keepNext/>
              <w:jc w:val="center"/>
              <w:rPr>
                <w:sz w:val="18"/>
                <w:szCs w:val="18"/>
              </w:rPr>
            </w:pPr>
            <w:r w:rsidRPr="00AF4F62">
              <w:rPr>
                <w:sz w:val="18"/>
                <w:szCs w:val="18"/>
              </w:rPr>
              <w:t>NEPC Annual Report</w:t>
            </w:r>
          </w:p>
          <w:p w:rsidR="00D033D3" w:rsidRPr="00AF4F62" w:rsidRDefault="00D033D3" w:rsidP="00D033D3">
            <w:pPr>
              <w:pStyle w:val="ParaMargin"/>
              <w:keepNext/>
              <w:jc w:val="center"/>
              <w:rPr>
                <w:sz w:val="18"/>
                <w:szCs w:val="18"/>
              </w:rPr>
            </w:pPr>
            <w:r w:rsidRPr="00AF4F62">
              <w:rPr>
                <w:sz w:val="18"/>
                <w:szCs w:val="18"/>
              </w:rPr>
              <w:t>Darwin City Council</w:t>
            </w:r>
          </w:p>
        </w:tc>
        <w:tc>
          <w:tcPr>
            <w:tcW w:w="4252" w:type="dxa"/>
            <w:gridSpan w:val="3"/>
            <w:vAlign w:val="center"/>
          </w:tcPr>
          <w:p w:rsidR="00D033D3" w:rsidRPr="00AF4F62" w:rsidRDefault="00D033D3" w:rsidP="00D033D3">
            <w:pPr>
              <w:pStyle w:val="ParaMargin"/>
              <w:keepNext/>
              <w:jc w:val="center"/>
              <w:rPr>
                <w:sz w:val="18"/>
                <w:szCs w:val="18"/>
              </w:rPr>
            </w:pPr>
            <w:r w:rsidRPr="00AF4F62">
              <w:rPr>
                <w:sz w:val="18"/>
                <w:szCs w:val="18"/>
              </w:rPr>
              <w:t>Darwin City Council</w:t>
            </w:r>
          </w:p>
        </w:tc>
      </w:tr>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b/>
                <w:sz w:val="18"/>
                <w:szCs w:val="18"/>
              </w:rPr>
            </w:pPr>
            <w:r w:rsidRPr="00AF4F62">
              <w:rPr>
                <w:b/>
                <w:sz w:val="18"/>
                <w:szCs w:val="18"/>
              </w:rPr>
              <w:t>Stream</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9"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Municipal</w:t>
            </w:r>
          </w:p>
        </w:tc>
        <w:tc>
          <w:tcPr>
            <w:tcW w:w="1417" w:type="dxa"/>
            <w:vAlign w:val="center"/>
          </w:tcPr>
          <w:p w:rsidR="00D033D3" w:rsidRPr="00AF4F62" w:rsidRDefault="00D033D3" w:rsidP="00D033D3">
            <w:pPr>
              <w:pStyle w:val="ParaMargin"/>
              <w:keepNext/>
              <w:jc w:val="center"/>
              <w:rPr>
                <w:b/>
                <w:sz w:val="18"/>
                <w:szCs w:val="18"/>
              </w:rPr>
            </w:pPr>
            <w:r w:rsidRPr="00AF4F62">
              <w:rPr>
                <w:b/>
                <w:sz w:val="18"/>
                <w:szCs w:val="18"/>
              </w:rPr>
              <w:t>C&amp;I</w:t>
            </w:r>
          </w:p>
        </w:tc>
        <w:tc>
          <w:tcPr>
            <w:tcW w:w="1418" w:type="dxa"/>
            <w:vAlign w:val="center"/>
          </w:tcPr>
          <w:p w:rsidR="00D033D3" w:rsidRPr="00AF4F62" w:rsidRDefault="00D033D3" w:rsidP="00D033D3">
            <w:pPr>
              <w:pStyle w:val="ParaMargin"/>
              <w:keepNext/>
              <w:jc w:val="center"/>
              <w:rPr>
                <w:b/>
                <w:sz w:val="18"/>
                <w:szCs w:val="18"/>
              </w:rPr>
            </w:pPr>
            <w:r w:rsidRPr="00AF4F62">
              <w:rPr>
                <w:b/>
                <w:sz w:val="18"/>
                <w:szCs w:val="18"/>
              </w:rPr>
              <w:t>C&amp;D</w:t>
            </w:r>
          </w:p>
        </w:tc>
      </w:tr>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Amount</w:t>
            </w:r>
          </w:p>
        </w:tc>
        <w:tc>
          <w:tcPr>
            <w:tcW w:w="4253" w:type="dxa"/>
            <w:gridSpan w:val="3"/>
            <w:vAlign w:val="center"/>
          </w:tcPr>
          <w:p w:rsidR="00D033D3" w:rsidRPr="00AF4F62" w:rsidRDefault="00D033D3" w:rsidP="00D033D3">
            <w:pPr>
              <w:pStyle w:val="ParaMargin"/>
              <w:keepNext/>
              <w:jc w:val="center"/>
              <w:rPr>
                <w:sz w:val="18"/>
                <w:szCs w:val="18"/>
              </w:rPr>
            </w:pPr>
          </w:p>
        </w:tc>
        <w:tc>
          <w:tcPr>
            <w:tcW w:w="4252" w:type="dxa"/>
            <w:gridSpan w:val="3"/>
            <w:vAlign w:val="center"/>
          </w:tcPr>
          <w:p w:rsidR="00D033D3" w:rsidRPr="00AF4F62" w:rsidRDefault="00D033D3" w:rsidP="00D033D3">
            <w:pPr>
              <w:pStyle w:val="ParaMargin"/>
              <w:keepNext/>
              <w:jc w:val="center"/>
              <w:rPr>
                <w:sz w:val="18"/>
                <w:szCs w:val="18"/>
              </w:rPr>
            </w:pPr>
          </w:p>
        </w:tc>
      </w:tr>
      <w:tr w:rsidR="00D033D3" w:rsidRPr="00AF4F62" w:rsidTr="00D033D3">
        <w:trPr>
          <w:trHeight w:val="907"/>
        </w:trPr>
        <w:tc>
          <w:tcPr>
            <w:tcW w:w="1414" w:type="dxa"/>
            <w:shd w:val="clear" w:color="auto" w:fill="D9D9D9" w:themeFill="background1" w:themeFillShade="D9"/>
            <w:vAlign w:val="center"/>
          </w:tcPr>
          <w:p w:rsidR="00D033D3" w:rsidRPr="00AF4F62" w:rsidRDefault="00D033D3" w:rsidP="00D033D3">
            <w:pPr>
              <w:pStyle w:val="ParaMargin"/>
              <w:keepNext/>
              <w:jc w:val="center"/>
              <w:rPr>
                <w:sz w:val="18"/>
                <w:szCs w:val="18"/>
              </w:rPr>
            </w:pPr>
            <w:r w:rsidRPr="00AF4F62">
              <w:rPr>
                <w:sz w:val="18"/>
                <w:szCs w:val="18"/>
              </w:rPr>
              <w:t>Composition</w:t>
            </w:r>
          </w:p>
        </w:tc>
        <w:tc>
          <w:tcPr>
            <w:tcW w:w="4253" w:type="dxa"/>
            <w:gridSpan w:val="3"/>
            <w:vAlign w:val="center"/>
          </w:tcPr>
          <w:p w:rsidR="00D033D3" w:rsidRPr="00AF4F62" w:rsidRDefault="00D033D3" w:rsidP="00D033D3">
            <w:pPr>
              <w:pStyle w:val="ParaMargin"/>
              <w:keepNext/>
              <w:jc w:val="center"/>
              <w:rPr>
                <w:sz w:val="18"/>
                <w:szCs w:val="18"/>
              </w:rPr>
            </w:pPr>
          </w:p>
        </w:tc>
        <w:tc>
          <w:tcPr>
            <w:tcW w:w="4252" w:type="dxa"/>
            <w:gridSpan w:val="3"/>
            <w:vAlign w:val="center"/>
          </w:tcPr>
          <w:p w:rsidR="00D033D3" w:rsidRPr="00AF4F62" w:rsidRDefault="00D033D3" w:rsidP="00D033D3">
            <w:pPr>
              <w:pStyle w:val="ParaMargin"/>
              <w:keepNext/>
              <w:jc w:val="center"/>
              <w:rPr>
                <w:sz w:val="18"/>
                <w:szCs w:val="18"/>
              </w:rPr>
            </w:pPr>
          </w:p>
        </w:tc>
      </w:tr>
    </w:tbl>
    <w:p w:rsidR="00D033D3" w:rsidRDefault="00D033D3" w:rsidP="00D033D3">
      <w:pPr>
        <w:spacing w:after="0" w:line="240" w:lineRule="auto"/>
        <w:rPr>
          <w:rFonts w:cs="Arial"/>
          <w:color w:val="495F70"/>
          <w:kern w:val="28"/>
          <w:sz w:val="40"/>
        </w:rPr>
        <w:sectPr w:rsidR="00D033D3" w:rsidSect="00860B52">
          <w:type w:val="oddPage"/>
          <w:pgSz w:w="11907" w:h="16840" w:code="9"/>
          <w:pgMar w:top="1134" w:right="1134" w:bottom="1134" w:left="1134" w:header="567" w:footer="567" w:gutter="0"/>
          <w:cols w:space="708"/>
          <w:docGrid w:linePitch="360"/>
        </w:sectPr>
      </w:pPr>
      <w:bookmarkStart w:id="355" w:name="_Toc264981517"/>
      <w:bookmarkEnd w:id="353"/>
    </w:p>
    <w:p w:rsidR="00D033D3" w:rsidRDefault="00D033D3" w:rsidP="00D033D3">
      <w:pPr>
        <w:pStyle w:val="Heading1"/>
        <w:numPr>
          <w:ilvl w:val="0"/>
          <w:numId w:val="0"/>
        </w:numPr>
        <w:ind w:left="1134"/>
      </w:pPr>
      <w:bookmarkStart w:id="356" w:name="_Toc279510584"/>
      <w:bookmarkEnd w:id="355"/>
      <w:r>
        <w:t>Appendix 2: REFERENCES</w:t>
      </w:r>
      <w:bookmarkEnd w:id="356"/>
    </w:p>
    <w:p w:rsidR="00D033D3" w:rsidRPr="002F37D0" w:rsidRDefault="00D033D3" w:rsidP="00D033D3">
      <w:pPr>
        <w:pStyle w:val="ParaIndent"/>
        <w:rPr>
          <w:rFonts w:cs="Arial"/>
        </w:rPr>
      </w:pPr>
      <w:r w:rsidRPr="002F37D0">
        <w:rPr>
          <w:rFonts w:cs="Arial"/>
          <w:color w:val="292526"/>
          <w:lang w:eastAsia="en-AU"/>
        </w:rPr>
        <w:t xml:space="preserve">ACT Waste, </w:t>
      </w:r>
      <w:r w:rsidRPr="002F37D0">
        <w:rPr>
          <w:rFonts w:cs="Arial"/>
          <w:i/>
          <w:color w:val="292526"/>
          <w:lang w:eastAsia="en-AU"/>
        </w:rPr>
        <w:t>No Waste by 2010 – A waste management strategy for Canberra</w:t>
      </w:r>
      <w:r w:rsidRPr="002F37D0">
        <w:rPr>
          <w:rFonts w:cs="Arial"/>
          <w:color w:val="292526"/>
          <w:lang w:eastAsia="en-AU"/>
        </w:rPr>
        <w:t>, 1996.</w:t>
      </w:r>
    </w:p>
    <w:p w:rsidR="00D033D3" w:rsidRDefault="00D033D3" w:rsidP="00D033D3">
      <w:pPr>
        <w:pStyle w:val="ParaIndent"/>
      </w:pPr>
      <w:r>
        <w:t xml:space="preserve">Allen Consulting Group, </w:t>
      </w:r>
      <w:r>
        <w:rPr>
          <w:i/>
        </w:rPr>
        <w:t>National Waste Policy – Regulatory Impact Statement</w:t>
      </w:r>
      <w:r w:rsidRPr="00A525FB">
        <w:t xml:space="preserve">, </w:t>
      </w:r>
      <w:r>
        <w:t>prepared for the Department of the Environment, Water, Heritage and the Arts, October 2009.</w:t>
      </w:r>
    </w:p>
    <w:p w:rsidR="00D033D3" w:rsidRDefault="00D033D3" w:rsidP="00D033D3">
      <w:pPr>
        <w:pStyle w:val="ParaIndent"/>
      </w:pPr>
      <w:r>
        <w:t xml:space="preserve">Australian/New Zealand Standard, </w:t>
      </w:r>
      <w:r w:rsidRPr="00A525FB">
        <w:rPr>
          <w:i/>
        </w:rPr>
        <w:t>AS/NZS 3831:199</w:t>
      </w:r>
      <w:r>
        <w:rPr>
          <w:i/>
        </w:rPr>
        <w:t>8</w:t>
      </w:r>
      <w:r w:rsidRPr="00A525FB">
        <w:t>,</w:t>
      </w:r>
      <w:r w:rsidRPr="00A525FB">
        <w:rPr>
          <w:i/>
        </w:rPr>
        <w:t xml:space="preserve"> Waste management - Glossary of terms</w:t>
      </w:r>
      <w:r>
        <w:t>.</w:t>
      </w:r>
    </w:p>
    <w:p w:rsidR="00D033D3" w:rsidRDefault="00D033D3" w:rsidP="00D033D3">
      <w:pPr>
        <w:pStyle w:val="ParaIndent"/>
      </w:pPr>
      <w:r>
        <w:t xml:space="preserve">Cardno BSD, </w:t>
      </w:r>
      <w:r>
        <w:rPr>
          <w:i/>
        </w:rPr>
        <w:t>Review of total recycling activity in Western Australia 2006/07</w:t>
      </w:r>
      <w:r w:rsidRPr="00A525FB">
        <w:t>,</w:t>
      </w:r>
      <w:r>
        <w:rPr>
          <w:i/>
        </w:rPr>
        <w:t xml:space="preserve"> </w:t>
      </w:r>
      <w:r>
        <w:t>prepared for the Department of Environment and Conservation (WA), 2008.</w:t>
      </w:r>
    </w:p>
    <w:p w:rsidR="00D033D3" w:rsidRPr="002F37D0" w:rsidRDefault="00D033D3" w:rsidP="00D033D3">
      <w:pPr>
        <w:pStyle w:val="ParaIndent"/>
      </w:pPr>
      <w:r>
        <w:t xml:space="preserve">Department of Sustainability and Environment (Vic), </w:t>
      </w:r>
      <w:r w:rsidRPr="002F37D0">
        <w:rPr>
          <w:i/>
        </w:rPr>
        <w:t>Metropolitan Waste and Resource Recovery Strategic Plan</w:t>
      </w:r>
      <w:r>
        <w:t>, March 2009.</w:t>
      </w:r>
    </w:p>
    <w:p w:rsidR="00D033D3" w:rsidRPr="009E1D24" w:rsidRDefault="00D033D3" w:rsidP="00D033D3">
      <w:pPr>
        <w:pStyle w:val="ParaIndent"/>
      </w:pPr>
      <w:r>
        <w:t xml:space="preserve">Department of Environment and Climate Change (NSW), </w:t>
      </w:r>
      <w:r>
        <w:rPr>
          <w:i/>
        </w:rPr>
        <w:t>NSW Resource Recovery Industries Survey 2005-06</w:t>
      </w:r>
      <w:r>
        <w:t>, April 2008.</w:t>
      </w:r>
    </w:p>
    <w:p w:rsidR="00D033D3" w:rsidRDefault="00D033D3" w:rsidP="00D033D3">
      <w:pPr>
        <w:pStyle w:val="ParaIndent"/>
      </w:pPr>
      <w:r>
        <w:t xml:space="preserve">Department of Environment and Climate Change (NSW), </w:t>
      </w:r>
      <w:r>
        <w:rPr>
          <w:i/>
        </w:rPr>
        <w:t>Waste Avoidance and Resource Recovery Progress Report 2008</w:t>
      </w:r>
      <w:r>
        <w:t>, March 2009.</w:t>
      </w:r>
    </w:p>
    <w:p w:rsidR="00D033D3" w:rsidRPr="002F37D0" w:rsidRDefault="00D033D3" w:rsidP="00D033D3">
      <w:pPr>
        <w:pStyle w:val="ParaIndent"/>
      </w:pPr>
      <w:r>
        <w:t xml:space="preserve">Department of Environment and Conservation (WA), </w:t>
      </w:r>
      <w:r>
        <w:rPr>
          <w:i/>
        </w:rPr>
        <w:t xml:space="preserve">Draft Waste Strategy for Western Australia, </w:t>
      </w:r>
      <w:r>
        <w:t>2009.</w:t>
      </w:r>
    </w:p>
    <w:p w:rsidR="00D033D3" w:rsidRPr="00C031DB" w:rsidRDefault="00D033D3" w:rsidP="00D033D3">
      <w:pPr>
        <w:pStyle w:val="ParaIndent"/>
      </w:pPr>
      <w:r>
        <w:t xml:space="preserve">Department of Environment and Conservation (WA), </w:t>
      </w:r>
      <w:r>
        <w:rPr>
          <w:i/>
        </w:rPr>
        <w:t>Towards Zero Waste Plan Development Scheme – Phase 1 Report 2006-07</w:t>
      </w:r>
      <w:r>
        <w:t>.</w:t>
      </w:r>
    </w:p>
    <w:p w:rsidR="00D033D3" w:rsidRPr="009E1D24" w:rsidRDefault="00D033D3" w:rsidP="00D033D3">
      <w:pPr>
        <w:pStyle w:val="ParaIndent"/>
      </w:pPr>
      <w:r>
        <w:t xml:space="preserve">Department of Environment and Resource Management (Qld), </w:t>
      </w:r>
      <w:r>
        <w:rPr>
          <w:i/>
        </w:rPr>
        <w:t>The State of Waste and Recycling in Queensland – Technical Report</w:t>
      </w:r>
      <w:r>
        <w:t xml:space="preserve">, December 2009. </w:t>
      </w:r>
    </w:p>
    <w:p w:rsidR="00D033D3" w:rsidRDefault="00D033D3" w:rsidP="00D033D3">
      <w:pPr>
        <w:pStyle w:val="ParaIndent"/>
      </w:pPr>
      <w:r>
        <w:t xml:space="preserve">Department of the Environment, Water, Heritage and the Arts, </w:t>
      </w:r>
      <w:r>
        <w:rPr>
          <w:i/>
        </w:rPr>
        <w:t>National Waste Policy: Less Waste, More Resources</w:t>
      </w:r>
      <w:r>
        <w:t>, November 2009.</w:t>
      </w:r>
    </w:p>
    <w:p w:rsidR="00D033D3" w:rsidRDefault="00D033D3" w:rsidP="00D033D3">
      <w:pPr>
        <w:pStyle w:val="ParaIndent"/>
      </w:pPr>
      <w:r>
        <w:t xml:space="preserve">Department of the Environment, Water, Heritage and the Arts, </w:t>
      </w:r>
      <w:r>
        <w:rPr>
          <w:i/>
        </w:rPr>
        <w:t>National Waste Report 2010</w:t>
      </w:r>
      <w:r>
        <w:t>, March 2010</w:t>
      </w:r>
      <w:r>
        <w:rPr>
          <w:i/>
        </w:rPr>
        <w:t>.</w:t>
      </w:r>
    </w:p>
    <w:p w:rsidR="00D033D3" w:rsidRPr="00BF4072" w:rsidRDefault="00D033D3" w:rsidP="00D033D3">
      <w:pPr>
        <w:ind w:left="1134"/>
      </w:pPr>
      <w:r w:rsidRPr="00BF4072">
        <w:t xml:space="preserve">Environment Protection Authority </w:t>
      </w:r>
      <w:r>
        <w:t>(</w:t>
      </w:r>
      <w:r w:rsidRPr="00BF4072">
        <w:t>Tasmania</w:t>
      </w:r>
      <w:r>
        <w:t xml:space="preserve">), </w:t>
      </w:r>
      <w:r>
        <w:rPr>
          <w:i/>
        </w:rPr>
        <w:t xml:space="preserve">Annual Report 2008-09, </w:t>
      </w:r>
      <w:r>
        <w:t>October 2009.</w:t>
      </w:r>
    </w:p>
    <w:p w:rsidR="00D033D3" w:rsidRDefault="00D033D3" w:rsidP="00D033D3">
      <w:pPr>
        <w:ind w:left="1134"/>
      </w:pPr>
      <w:r>
        <w:t xml:space="preserve">Environment Protection Agency (United States), </w:t>
      </w:r>
      <w:r w:rsidRPr="00574EEA">
        <w:rPr>
          <w:i/>
        </w:rPr>
        <w:t>Setting the Standard for Recycling Measurement</w:t>
      </w:r>
      <w:r>
        <w:rPr>
          <w:i/>
        </w:rPr>
        <w:t>,</w:t>
      </w:r>
      <w:r w:rsidRPr="00574EEA">
        <w:t xml:space="preserve"> </w:t>
      </w:r>
      <w:r>
        <w:t>f</w:t>
      </w:r>
      <w:r w:rsidRPr="00574EEA">
        <w:t>irst published in Resource Recycling (September 1997).</w:t>
      </w:r>
    </w:p>
    <w:p w:rsidR="00D033D3" w:rsidRDefault="00D033D3" w:rsidP="00D033D3">
      <w:pPr>
        <w:pStyle w:val="ParaIndent"/>
      </w:pPr>
      <w:r>
        <w:t xml:space="preserve">Environment Protection Authority (Victoria), </w:t>
      </w:r>
      <w:r>
        <w:rPr>
          <w:i/>
        </w:rPr>
        <w:t>Information bulletin – calculating the landfill levy and recycling rebates</w:t>
      </w:r>
      <w:r w:rsidRPr="009E1D24">
        <w:t>,</w:t>
      </w:r>
      <w:r>
        <w:rPr>
          <w:i/>
        </w:rPr>
        <w:t xml:space="preserve"> </w:t>
      </w:r>
      <w:r>
        <w:t>May 2008.</w:t>
      </w:r>
    </w:p>
    <w:p w:rsidR="00D033D3" w:rsidRPr="009E1D24" w:rsidRDefault="00D033D3" w:rsidP="00D033D3">
      <w:pPr>
        <w:pStyle w:val="ParaIndent"/>
      </w:pPr>
      <w:r>
        <w:t xml:space="preserve">Hyder, </w:t>
      </w:r>
      <w:r w:rsidRPr="009E1D24">
        <w:rPr>
          <w:i/>
        </w:rPr>
        <w:t>Comparative Greenhouse Gas Life Cycle Assessment of Wollert Landfill</w:t>
      </w:r>
      <w:r w:rsidRPr="009E1D24">
        <w:t>,</w:t>
      </w:r>
      <w:r>
        <w:t xml:space="preserve"> prepared for Hanson Landfill Services and the City of Whittlesea, 1 February 2010.</w:t>
      </w:r>
    </w:p>
    <w:p w:rsidR="00D033D3" w:rsidRDefault="00D033D3" w:rsidP="00D033D3">
      <w:pPr>
        <w:pStyle w:val="ParaIndent"/>
      </w:pPr>
      <w:r>
        <w:t xml:space="preserve">Hyder, </w:t>
      </w:r>
      <w:r>
        <w:rPr>
          <w:i/>
        </w:rPr>
        <w:t>Recycling activity in South Australia 2008-09</w:t>
      </w:r>
      <w:r>
        <w:t>, prepared for Zero Waste South Australia, 20 May 2010.</w:t>
      </w:r>
    </w:p>
    <w:p w:rsidR="00D033D3" w:rsidRDefault="00D033D3" w:rsidP="00D033D3">
      <w:pPr>
        <w:pStyle w:val="ParaIndent"/>
      </w:pPr>
      <w:r>
        <w:t xml:space="preserve">Hyder, </w:t>
      </w:r>
      <w:r>
        <w:rPr>
          <w:i/>
        </w:rPr>
        <w:t>Recycling activity in Western Australia 2007-08 &amp; 2008-09</w:t>
      </w:r>
      <w:r>
        <w:t>, prepared for the Department of Environment and Conservation (WA) on behalf of the Waste Authority, 19 July 2010.</w:t>
      </w:r>
    </w:p>
    <w:p w:rsidR="00D033D3" w:rsidRDefault="00D033D3" w:rsidP="00D033D3">
      <w:pPr>
        <w:pStyle w:val="ParaIndent"/>
      </w:pPr>
      <w:r w:rsidRPr="00823F90">
        <w:t xml:space="preserve">Hyder, </w:t>
      </w:r>
      <w:r w:rsidRPr="00823F90">
        <w:rPr>
          <w:i/>
        </w:rPr>
        <w:t>National Steel Can Recycling Survey</w:t>
      </w:r>
      <w:r w:rsidRPr="00823F90">
        <w:t xml:space="preserve">, </w:t>
      </w:r>
      <w:r>
        <w:t xml:space="preserve">prepared for the </w:t>
      </w:r>
      <w:r w:rsidRPr="00823F90">
        <w:t>National Packaging Covenant</w:t>
      </w:r>
      <w:r>
        <w:t xml:space="preserve"> </w:t>
      </w:r>
      <w:r w:rsidRPr="00823F90">
        <w:t>Council, October 2009</w:t>
      </w:r>
      <w:r>
        <w:t>.</w:t>
      </w:r>
    </w:p>
    <w:p w:rsidR="00D033D3" w:rsidRDefault="00D033D3" w:rsidP="00D033D3">
      <w:pPr>
        <w:pStyle w:val="ParaIndent"/>
      </w:pPr>
      <w:r w:rsidRPr="00823F90">
        <w:t xml:space="preserve">Hyder, </w:t>
      </w:r>
      <w:r w:rsidRPr="00823F90">
        <w:rPr>
          <w:i/>
        </w:rPr>
        <w:t>2009 National Plastics Recycling Survey</w:t>
      </w:r>
      <w:r w:rsidRPr="00823F90">
        <w:t>,</w:t>
      </w:r>
      <w:r>
        <w:t xml:space="preserve"> prepared for the Plastic and Chemicals Industry Association, </w:t>
      </w:r>
      <w:r w:rsidRPr="00823F90">
        <w:t>December 2009</w:t>
      </w:r>
      <w:r>
        <w:t>.</w:t>
      </w:r>
    </w:p>
    <w:p w:rsidR="00D033D3" w:rsidRDefault="00D033D3" w:rsidP="00D033D3">
      <w:pPr>
        <w:pStyle w:val="ParaIndent"/>
      </w:pPr>
      <w:r>
        <w:t xml:space="preserve">Hyder, </w:t>
      </w:r>
      <w:r>
        <w:rPr>
          <w:i/>
        </w:rPr>
        <w:t>Waste and Recycling in Australia, A short paper</w:t>
      </w:r>
      <w:r w:rsidRPr="009E1D24">
        <w:t>,</w:t>
      </w:r>
      <w:r>
        <w:rPr>
          <w:i/>
        </w:rPr>
        <w:t xml:space="preserve"> </w:t>
      </w:r>
      <w:r>
        <w:t>prepared for the Department of the Environment and Heritage, 2006.</w:t>
      </w:r>
    </w:p>
    <w:p w:rsidR="00D033D3" w:rsidRDefault="00D033D3" w:rsidP="00D033D3">
      <w:pPr>
        <w:pStyle w:val="ParaIndent"/>
      </w:pPr>
      <w:r>
        <w:t xml:space="preserve">Hyder, </w:t>
      </w:r>
      <w:r>
        <w:rPr>
          <w:i/>
        </w:rPr>
        <w:t>Waste and Recycling in Australia</w:t>
      </w:r>
      <w:r w:rsidRPr="009E1D24">
        <w:t>,</w:t>
      </w:r>
      <w:r>
        <w:rPr>
          <w:i/>
        </w:rPr>
        <w:t xml:space="preserve"> </w:t>
      </w:r>
      <w:r>
        <w:t>prepared for the Department of the Environment, Water, Heritage and the Arts, 3 November 2008.</w:t>
      </w:r>
    </w:p>
    <w:p w:rsidR="00D033D3" w:rsidRDefault="00D033D3" w:rsidP="00D033D3">
      <w:pPr>
        <w:pStyle w:val="ParaIndent"/>
      </w:pPr>
      <w:r>
        <w:t xml:space="preserve">Hyder, </w:t>
      </w:r>
      <w:r>
        <w:rPr>
          <w:i/>
        </w:rPr>
        <w:t>Waste and Recycling in Australia, Amended Report</w:t>
      </w:r>
      <w:r w:rsidRPr="009E1D24">
        <w:t>,</w:t>
      </w:r>
      <w:r>
        <w:rPr>
          <w:i/>
        </w:rPr>
        <w:t xml:space="preserve"> </w:t>
      </w:r>
      <w:r>
        <w:t>prepared for the Department of the Environment, Water, Heritage and the Arts, 19 November 2009.</w:t>
      </w:r>
    </w:p>
    <w:p w:rsidR="00D033D3" w:rsidRDefault="00D033D3" w:rsidP="00D033D3">
      <w:pPr>
        <w:pStyle w:val="ParaIndent"/>
      </w:pPr>
      <w:r>
        <w:t xml:space="preserve">Hyder, </w:t>
      </w:r>
      <w:r>
        <w:rPr>
          <w:i/>
        </w:rPr>
        <w:t>Waste, recycling and resource recovery policy: jurisdictional differences and opportunities for harmonisation</w:t>
      </w:r>
      <w:r w:rsidRPr="009E1D24">
        <w:t>,</w:t>
      </w:r>
      <w:r>
        <w:t xml:space="preserve"> prepared for the Department of the Environment, Water, Heritage and the Arts, 21 October 2009.</w:t>
      </w:r>
    </w:p>
    <w:p w:rsidR="00D033D3" w:rsidRDefault="00D033D3" w:rsidP="00D033D3">
      <w:pPr>
        <w:pStyle w:val="ParaIndent"/>
      </w:pPr>
      <w:r w:rsidRPr="00823F90">
        <w:rPr>
          <w:i/>
        </w:rPr>
        <w:t>National Environment Protection (Used Packaging Materials) Measure</w:t>
      </w:r>
      <w:r>
        <w:t>, 8 July 2005.</w:t>
      </w:r>
    </w:p>
    <w:p w:rsidR="00D033D3" w:rsidRPr="002B7791" w:rsidRDefault="00D033D3" w:rsidP="00D033D3">
      <w:pPr>
        <w:pStyle w:val="ParaIndent"/>
      </w:pPr>
      <w:r>
        <w:t xml:space="preserve">National Packaging Covenant, </w:t>
      </w:r>
      <w:r>
        <w:rPr>
          <w:i/>
        </w:rPr>
        <w:t>2009 Annual Report</w:t>
      </w:r>
      <w:r>
        <w:t>, May 2010.</w:t>
      </w:r>
    </w:p>
    <w:p w:rsidR="00D033D3" w:rsidRDefault="00D033D3" w:rsidP="00D033D3">
      <w:pPr>
        <w:pStyle w:val="ParaIndent"/>
      </w:pPr>
      <w:r>
        <w:t xml:space="preserve">Net Balance, </w:t>
      </w:r>
      <w:r>
        <w:rPr>
          <w:i/>
        </w:rPr>
        <w:t>National Waste Data System Requirements Study</w:t>
      </w:r>
      <w:r w:rsidRPr="009E1D24">
        <w:t>,</w:t>
      </w:r>
      <w:r>
        <w:t xml:space="preserve"> prepared for the Department of the Environment, Water, Heritage and the Arts, 2009.</w:t>
      </w:r>
    </w:p>
    <w:p w:rsidR="00D033D3" w:rsidRDefault="00D033D3" w:rsidP="00D033D3">
      <w:pPr>
        <w:pStyle w:val="ParaIndent"/>
      </w:pPr>
      <w:r>
        <w:t xml:space="preserve">Productivity Commission Inquiry Report no. 38, </w:t>
      </w:r>
      <w:r>
        <w:rPr>
          <w:i/>
        </w:rPr>
        <w:t>Waste Management</w:t>
      </w:r>
      <w:r w:rsidRPr="009E1D24">
        <w:t xml:space="preserve">, </w:t>
      </w:r>
      <w:r>
        <w:t>October 2006.</w:t>
      </w:r>
    </w:p>
    <w:p w:rsidR="00D033D3" w:rsidRDefault="00D033D3" w:rsidP="00D033D3">
      <w:pPr>
        <w:pStyle w:val="ParaIndent"/>
      </w:pPr>
      <w:r>
        <w:t xml:space="preserve">Recycled Organics Unit, </w:t>
      </w:r>
      <w:r w:rsidRPr="00A525FB">
        <w:rPr>
          <w:i/>
        </w:rPr>
        <w:t>Organics Recycling in Australia: Industry Statistics 2009</w:t>
      </w:r>
      <w:r w:rsidRPr="00A525FB">
        <w:t>,</w:t>
      </w:r>
      <w:r>
        <w:t xml:space="preserve"> revised edition December 2009.</w:t>
      </w:r>
    </w:p>
    <w:p w:rsidR="00D033D3" w:rsidRDefault="00D033D3" w:rsidP="00D033D3">
      <w:pPr>
        <w:pStyle w:val="ParaIndent"/>
      </w:pPr>
      <w:r>
        <w:t xml:space="preserve">Senate Standing Committee on the Environment, Communication and the Arts, </w:t>
      </w:r>
      <w:r>
        <w:rPr>
          <w:i/>
        </w:rPr>
        <w:t>Management of Australia’s Waste Streams</w:t>
      </w:r>
      <w:r w:rsidRPr="009E1D24">
        <w:t>,</w:t>
      </w:r>
      <w:r>
        <w:t xml:space="preserve"> September 2008.</w:t>
      </w:r>
    </w:p>
    <w:p w:rsidR="00D033D3" w:rsidRPr="00385C1E" w:rsidRDefault="00D033D3" w:rsidP="00D033D3">
      <w:pPr>
        <w:pStyle w:val="ParaIndent"/>
      </w:pPr>
      <w:r>
        <w:t xml:space="preserve">Sustainability Victoria, </w:t>
      </w:r>
      <w:r>
        <w:rPr>
          <w:i/>
        </w:rPr>
        <w:t>Towards Zero Waste Strategy – Progress Report for 2007-08</w:t>
      </w:r>
      <w:r>
        <w:t>.</w:t>
      </w:r>
    </w:p>
    <w:p w:rsidR="00D033D3" w:rsidRPr="00385C1E" w:rsidRDefault="00D033D3" w:rsidP="00D033D3">
      <w:pPr>
        <w:pStyle w:val="ParaIndent"/>
      </w:pPr>
      <w:r>
        <w:t xml:space="preserve">Sustainability Victoria, </w:t>
      </w:r>
      <w:r>
        <w:rPr>
          <w:i/>
        </w:rPr>
        <w:t>Victorian Local Government Annual Survey 2007-08</w:t>
      </w:r>
      <w:r>
        <w:t>, 2009.</w:t>
      </w:r>
    </w:p>
    <w:p w:rsidR="00D033D3" w:rsidRDefault="00D033D3" w:rsidP="00D033D3">
      <w:pPr>
        <w:pStyle w:val="ParaIndent"/>
      </w:pPr>
      <w:r>
        <w:t xml:space="preserve">Sustainability Victoria, </w:t>
      </w:r>
      <w:r>
        <w:rPr>
          <w:i/>
        </w:rPr>
        <w:t>Victorian Recycling Industries Annual Survey 2007-09</w:t>
      </w:r>
      <w:r>
        <w:t>, 2009.</w:t>
      </w:r>
    </w:p>
    <w:p w:rsidR="00D033D3" w:rsidRDefault="00D033D3" w:rsidP="00D033D3">
      <w:pPr>
        <w:ind w:left="1134"/>
      </w:pPr>
      <w:r>
        <w:t xml:space="preserve">Waste Management Association of Australia, </w:t>
      </w:r>
      <w:r>
        <w:rPr>
          <w:i/>
        </w:rPr>
        <w:t>Australian Waste Database – Feasibility Study, Final Report</w:t>
      </w:r>
      <w:r w:rsidRPr="009E1D24">
        <w:t>,</w:t>
      </w:r>
      <w:r>
        <w:t xml:space="preserve"> May 2009.</w:t>
      </w:r>
    </w:p>
    <w:p w:rsidR="00D033D3" w:rsidRPr="00853B0E" w:rsidRDefault="00D033D3" w:rsidP="00D033D3">
      <w:pPr>
        <w:pStyle w:val="ParaIndent"/>
      </w:pPr>
      <w:r>
        <w:t xml:space="preserve">Waste Management Association of Australia, </w:t>
      </w:r>
      <w:r>
        <w:rPr>
          <w:i/>
        </w:rPr>
        <w:t xml:space="preserve">Construction and Demolition Sector Resource </w:t>
      </w:r>
      <w:r w:rsidRPr="00853B0E">
        <w:rPr>
          <w:i/>
        </w:rPr>
        <w:t>Recovery Industry Survey 2006-07</w:t>
      </w:r>
      <w:r w:rsidRPr="00853B0E">
        <w:t>, August 2008.</w:t>
      </w:r>
    </w:p>
    <w:p w:rsidR="00D033D3" w:rsidRPr="00853B0E" w:rsidRDefault="00D033D3" w:rsidP="00D033D3">
      <w:pPr>
        <w:pStyle w:val="ParaIndent"/>
        <w:ind w:firstLine="567"/>
      </w:pPr>
    </w:p>
    <w:p w:rsidR="00D033D3" w:rsidRPr="00853B0E" w:rsidRDefault="00D033D3" w:rsidP="00D033D3">
      <w:pPr>
        <w:pStyle w:val="ParaIndent"/>
      </w:pPr>
      <w:r w:rsidRPr="00853B0E">
        <w:t>Other internet reference homepages:</w:t>
      </w:r>
    </w:p>
    <w:p w:rsidR="00D033D3" w:rsidRPr="00853B0E" w:rsidRDefault="00B9555F" w:rsidP="00D033D3">
      <w:pPr>
        <w:pStyle w:val="ParaIndent"/>
      </w:pPr>
      <w:hyperlink r:id="rId91" w:history="1">
        <w:r w:rsidR="00D033D3" w:rsidRPr="00853B0E">
          <w:t>www.aluminium-cans.com.au</w:t>
        </w:r>
      </w:hyperlink>
    </w:p>
    <w:p w:rsidR="00D033D3" w:rsidRPr="00853B0E" w:rsidRDefault="00D033D3" w:rsidP="00D033D3">
      <w:pPr>
        <w:pStyle w:val="ParaIndent"/>
      </w:pPr>
      <w:r w:rsidRPr="00853B0E">
        <w:rPr>
          <w:iCs/>
        </w:rPr>
        <w:t>www.dpiw.tas.gov.au</w:t>
      </w:r>
    </w:p>
    <w:p w:rsidR="00D033D3" w:rsidRPr="00853B0E" w:rsidRDefault="00D033D3" w:rsidP="00D033D3">
      <w:pPr>
        <w:pStyle w:val="ParaIndent"/>
      </w:pPr>
      <w:r w:rsidRPr="00853B0E">
        <w:t>www.pneb.com.au</w:t>
      </w:r>
    </w:p>
    <w:p w:rsidR="00D033D3" w:rsidRPr="00853B0E" w:rsidRDefault="00D033D3" w:rsidP="00D033D3">
      <w:pPr>
        <w:pStyle w:val="ParaIndent"/>
      </w:pPr>
      <w:r w:rsidRPr="00853B0E">
        <w:t>www.tams.act.gov.au</w:t>
      </w:r>
    </w:p>
    <w:p w:rsidR="00D033D3" w:rsidRPr="00853B0E" w:rsidRDefault="00D033D3" w:rsidP="00D033D3">
      <w:pPr>
        <w:pStyle w:val="ParaIndent"/>
      </w:pPr>
      <w:r w:rsidRPr="00853B0E">
        <w:t>www.zerowastewa.com.au</w:t>
      </w:r>
    </w:p>
    <w:p w:rsidR="00D033D3" w:rsidRPr="00777EA2" w:rsidRDefault="00D033D3" w:rsidP="00D033D3">
      <w:pPr>
        <w:pStyle w:val="ParaIndent"/>
      </w:pPr>
    </w:p>
    <w:p w:rsidR="00CE0794" w:rsidRDefault="00CE0794">
      <w:pPr>
        <w:spacing w:after="0" w:line="240" w:lineRule="auto"/>
        <w:ind w:left="0"/>
      </w:pPr>
    </w:p>
    <w:p w:rsidR="0081261D" w:rsidRPr="00C36C8F" w:rsidRDefault="0081261D">
      <w:pPr>
        <w:spacing w:after="0" w:line="240" w:lineRule="auto"/>
        <w:ind w:left="0"/>
      </w:pPr>
    </w:p>
    <w:sectPr w:rsidR="0081261D" w:rsidRPr="00C36C8F" w:rsidSect="00860B52">
      <w:pgSz w:w="11907" w:h="16840" w:code="9"/>
      <w:pgMar w:top="1134"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F53" w:rsidRDefault="00303F53" w:rsidP="00737A4B">
      <w:pPr>
        <w:pStyle w:val="ParaMargin"/>
      </w:pPr>
      <w:r>
        <w:separator/>
      </w:r>
    </w:p>
  </w:endnote>
  <w:endnote w:type="continuationSeparator" w:id="0">
    <w:p w:rsidR="00303F53" w:rsidRDefault="00303F53" w:rsidP="00737A4B">
      <w:pPr>
        <w:pStyle w:val="ParaMargin"/>
      </w:pPr>
      <w:r>
        <w:continuationSeparator/>
      </w:r>
    </w:p>
  </w:endnote>
  <w:endnote w:type="continuationNotice" w:id="1">
    <w:p w:rsidR="00303F53" w:rsidRDefault="00303F53">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HelveticaNeueLT Std Thin">
    <w:altName w:val="HelveticaNeueLT Std Thin"/>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MyriadPro-LightI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TE27F29F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A47" w:rsidRPr="00FD2172" w:rsidRDefault="009A0A47" w:rsidP="005C1F78">
    <w:pPr>
      <w:pStyle w:val="Footer0"/>
    </w:pPr>
    <w:r>
      <w:rPr>
        <w:noProof/>
        <w:lang w:eastAsia="en-AU"/>
      </w:rPr>
      <w:drawing>
        <wp:inline distT="0" distB="0" distL="0" distR="0">
          <wp:extent cx="6115050" cy="38100"/>
          <wp:effectExtent l="19050" t="0" r="0" b="0"/>
          <wp:docPr id="8" name="Picture 8" descr="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le"/>
                  <pic:cNvPicPr>
                    <a:picLocks noChangeAspect="1" noChangeArrowheads="1"/>
                  </pic:cNvPicPr>
                </pic:nvPicPr>
                <pic:blipFill>
                  <a:blip r:embed="rId1"/>
                  <a:srcRect/>
                  <a:stretch>
                    <a:fillRect/>
                  </a:stretch>
                </pic:blipFill>
                <pic:spPr bwMode="auto">
                  <a:xfrm>
                    <a:off x="0" y="0"/>
                    <a:ext cx="6115050" cy="38100"/>
                  </a:xfrm>
                  <a:prstGeom prst="rect">
                    <a:avLst/>
                  </a:prstGeom>
                  <a:noFill/>
                  <a:ln w="9525">
                    <a:noFill/>
                    <a:miter lim="800000"/>
                    <a:headEnd/>
                    <a:tailEnd/>
                  </a:ln>
                </pic:spPr>
              </pic:pic>
            </a:graphicData>
          </a:graphic>
        </wp:inline>
      </w:drawing>
    </w:r>
  </w:p>
  <w:tbl>
    <w:tblPr>
      <w:tblW w:w="9639" w:type="dxa"/>
      <w:tblLayout w:type="fixed"/>
      <w:tblCellMar>
        <w:left w:w="0" w:type="dxa"/>
        <w:right w:w="0" w:type="dxa"/>
      </w:tblCellMar>
      <w:tblLook w:val="01E0"/>
    </w:tblPr>
    <w:tblGrid>
      <w:gridCol w:w="1134"/>
      <w:gridCol w:w="8505"/>
    </w:tblGrid>
    <w:tr w:rsidR="009A0A47" w:rsidRPr="00FD2172">
      <w:tc>
        <w:tcPr>
          <w:tcW w:w="1134" w:type="dxa"/>
        </w:tcPr>
        <w:p w:rsidR="009A0A47" w:rsidRPr="00FD2172" w:rsidRDefault="009A0A47" w:rsidP="00350310">
          <w:pPr>
            <w:pStyle w:val="Footer0"/>
          </w:pPr>
        </w:p>
      </w:tc>
      <w:tc>
        <w:tcPr>
          <w:tcW w:w="8505" w:type="dxa"/>
        </w:tcPr>
        <w:p w:rsidR="009A0A47" w:rsidRPr="00FD2172" w:rsidRDefault="00B9555F" w:rsidP="0088590F">
          <w:pPr>
            <w:pStyle w:val="Footer0"/>
            <w:jc w:val="right"/>
          </w:pPr>
          <w:fldSimple w:instr=" DOCPROPERTY &quot;Title&quot;  \* MERGEFORMAT ">
            <w:r w:rsidR="009A0A47">
              <w:t>Incorporating a revised method for compiling waste and recycling data</w:t>
            </w:r>
          </w:fldSimple>
          <w:r w:rsidR="009A0A47">
            <w:t xml:space="preserve"> </w:t>
          </w:r>
          <w:fldSimple w:instr=" DOCPROPERTY &quot;RevisionText&quot;  \* MERGEFORMAT ">
            <w:r w:rsidR="009A0A47">
              <w:t>Version</w:t>
            </w:r>
          </w:fldSimple>
          <w:r w:rsidR="009A0A47">
            <w:t xml:space="preserve"> </w:t>
          </w:r>
          <w:fldSimple w:instr=" DOCPROPERTY &quot;RevisionInfo&quot;  \* MERGEFORMAT  ">
            <w:r w:rsidR="009A0A47">
              <w:t>2</w:t>
            </w:r>
          </w:fldSimple>
        </w:p>
      </w:tc>
    </w:tr>
    <w:tr w:rsidR="009A0A47" w:rsidRPr="00FD2172">
      <w:tc>
        <w:tcPr>
          <w:tcW w:w="1134" w:type="dxa"/>
        </w:tcPr>
        <w:p w:rsidR="009A0A47" w:rsidRPr="00FD2172" w:rsidRDefault="009A0A47" w:rsidP="00350310">
          <w:pPr>
            <w:pStyle w:val="Footer0"/>
          </w:pPr>
          <w:r w:rsidRPr="00FD2172">
            <w:t xml:space="preserve">Page </w:t>
          </w:r>
          <w:r w:rsidR="00B9555F" w:rsidRPr="00FD2172">
            <w:rPr>
              <w:rStyle w:val="PageNumber"/>
            </w:rPr>
            <w:fldChar w:fldCharType="begin"/>
          </w:r>
          <w:r w:rsidRPr="00FD2172">
            <w:rPr>
              <w:rStyle w:val="PageNumber"/>
            </w:rPr>
            <w:instrText xml:space="preserve"> PAGE </w:instrText>
          </w:r>
          <w:r w:rsidR="00B9555F" w:rsidRPr="00FD2172">
            <w:rPr>
              <w:rStyle w:val="PageNumber"/>
            </w:rPr>
            <w:fldChar w:fldCharType="separate"/>
          </w:r>
          <w:r>
            <w:rPr>
              <w:rStyle w:val="PageNumber"/>
              <w:noProof/>
            </w:rPr>
            <w:t>39</w:t>
          </w:r>
          <w:r w:rsidR="00B9555F" w:rsidRPr="00FD2172">
            <w:rPr>
              <w:rStyle w:val="PageNumber"/>
            </w:rPr>
            <w:fldChar w:fldCharType="end"/>
          </w:r>
        </w:p>
      </w:tc>
      <w:tc>
        <w:tcPr>
          <w:tcW w:w="8505" w:type="dxa"/>
        </w:tcPr>
        <w:p w:rsidR="009A0A47" w:rsidRPr="00FD2172" w:rsidRDefault="00B9555F" w:rsidP="0088590F">
          <w:pPr>
            <w:pStyle w:val="Footer0"/>
            <w:jc w:val="right"/>
          </w:pPr>
          <w:fldSimple w:instr=" INCLUDETEXT &quot;C:\\Program Files\\Microsoft Office\\Templates\\Info.doc&quot; CoName \* MERGEFORMAT ">
            <w:r w:rsidR="009A0A47" w:rsidRPr="00FD2172">
              <w:t>Hyder Consulting Pty Ltd</w:t>
            </w:r>
          </w:fldSimple>
          <w:r w:rsidR="009A0A47" w:rsidRPr="00FD2172">
            <w:noBreakHyphen/>
          </w:r>
          <w:fldSimple w:instr=" INCLUDETEXT &quot;C:\\Program Files\\Microsoft Office\\Templates\\Info.doc&quot; CoNo \* MERGEFORMAT ">
            <w:r w:rsidR="009A0A47" w:rsidRPr="00FD2172">
              <w:t>ABN 76 104 485 289</w:t>
            </w:r>
          </w:fldSimple>
        </w:p>
      </w:tc>
    </w:tr>
    <w:tr w:rsidR="009A0A47" w:rsidRPr="00350310">
      <w:tc>
        <w:tcPr>
          <w:tcW w:w="1134" w:type="dxa"/>
        </w:tcPr>
        <w:p w:rsidR="009A0A47" w:rsidRPr="00FD2172" w:rsidRDefault="009A0A47" w:rsidP="00350310">
          <w:pPr>
            <w:pStyle w:val="Footer0"/>
          </w:pPr>
        </w:p>
      </w:tc>
      <w:tc>
        <w:tcPr>
          <w:tcW w:w="8505" w:type="dxa"/>
        </w:tcPr>
        <w:p w:rsidR="009A0A47" w:rsidRPr="00350310" w:rsidRDefault="00B9555F" w:rsidP="0088590F">
          <w:pPr>
            <w:pStyle w:val="PathFileName"/>
            <w:jc w:val="right"/>
          </w:pPr>
          <w:fldSimple w:instr=" FILENAME  \p \* Lower \* MERGEFORMAT ">
            <w:r w:rsidR="009A0A47">
              <w:rPr>
                <w:noProof/>
              </w:rPr>
              <w:t>c:\users\dcc2264\appdata\local\microsoft\windows\temporary internet files\content.outlook\r8b48mld\wria2011 final 28 aug 2012 for slipstream (2).docx</w:t>
            </w:r>
          </w:fldSimple>
        </w:p>
      </w:tc>
    </w:tr>
  </w:tbl>
  <w:p w:rsidR="009A0A47" w:rsidRPr="00350310" w:rsidRDefault="009A0A47" w:rsidP="00350310">
    <w:pPr>
      <w:pStyle w:val="Footer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A47" w:rsidRDefault="009A0A47" w:rsidP="00D033D3">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8505"/>
      <w:gridCol w:w="1134"/>
    </w:tblGrid>
    <w:tr w:rsidR="009A0A47" w:rsidRPr="00FD2172" w:rsidTr="00D033D3">
      <w:tc>
        <w:tcPr>
          <w:tcW w:w="8505" w:type="dxa"/>
          <w:tcBorders>
            <w:bottom w:val="single" w:sz="8" w:space="0" w:color="00519E"/>
          </w:tcBorders>
        </w:tcPr>
        <w:p w:rsidR="009A0A47" w:rsidRDefault="009A0A47" w:rsidP="008503D1">
          <w:pPr>
            <w:pStyle w:val="Footer0"/>
          </w:pPr>
        </w:p>
      </w:tc>
      <w:tc>
        <w:tcPr>
          <w:tcW w:w="1134" w:type="dxa"/>
          <w:tcBorders>
            <w:bottom w:val="single" w:sz="8" w:space="0" w:color="00519E"/>
          </w:tcBorders>
        </w:tcPr>
        <w:p w:rsidR="009A0A47" w:rsidRPr="00FD2172" w:rsidRDefault="009A0A47" w:rsidP="00D033D3">
          <w:pPr>
            <w:pStyle w:val="Footer0"/>
            <w:jc w:val="right"/>
          </w:pPr>
        </w:p>
      </w:tc>
    </w:tr>
    <w:tr w:rsidR="009A0A47" w:rsidRPr="00FD2172" w:rsidTr="00D033D3">
      <w:tc>
        <w:tcPr>
          <w:tcW w:w="8505" w:type="dxa"/>
          <w:tcBorders>
            <w:top w:val="single" w:sz="8" w:space="0" w:color="00519E"/>
          </w:tcBorders>
        </w:tcPr>
        <w:p w:rsidR="009A0A47" w:rsidRPr="00FD2172" w:rsidRDefault="00B9555F" w:rsidP="008503D1">
          <w:pPr>
            <w:pStyle w:val="Footer0"/>
          </w:pPr>
          <w:fldSimple w:instr=" DOCPROPERTY &quot;Project&quot;  \* MERGEFORMAT ">
            <w:r w:rsidR="009A0A47">
              <w:t>Waste and recycling in Australia 2011</w:t>
            </w:r>
          </w:fldSimple>
          <w:r w:rsidR="009A0A47">
            <w:t xml:space="preserve"> — </w:t>
          </w:r>
          <w:fldSimple w:instr=" DOCPROPERTY &quot;Title&quot;  \* MERGEFORMAT ">
            <w:r w:rsidR="009A0A47">
              <w:t>Incorporating a revised method for compiling waste and recycling data</w:t>
            </w:r>
          </w:fldSimple>
          <w:r w:rsidR="009A0A47" w:rsidRPr="00FD2172">
            <w:t xml:space="preserve">  </w:t>
          </w:r>
          <w:fldSimple w:instr=" DOCPROPERTY &quot;RevisionText&quot;  \* MERGEFORMAT ">
            <w:r w:rsidR="009A0A47">
              <w:t>Version</w:t>
            </w:r>
          </w:fldSimple>
          <w:r w:rsidR="009A0A47" w:rsidRPr="00FD2172">
            <w:t xml:space="preserve">  </w:t>
          </w:r>
          <w:fldSimple w:instr=" DOCPROPERTY &quot;RevisionInfo&quot;  \* MERGEFORMAT  ">
            <w:r w:rsidR="009A0A47">
              <w:t>2</w:t>
            </w:r>
          </w:fldSimple>
        </w:p>
      </w:tc>
      <w:tc>
        <w:tcPr>
          <w:tcW w:w="1134" w:type="dxa"/>
          <w:tcBorders>
            <w:top w:val="single" w:sz="8" w:space="0" w:color="00519E"/>
          </w:tcBorders>
        </w:tcPr>
        <w:p w:rsidR="009A0A47" w:rsidRPr="00FD2172" w:rsidRDefault="009A0A47" w:rsidP="00D033D3">
          <w:pPr>
            <w:pStyle w:val="Footer0"/>
            <w:jc w:val="right"/>
          </w:pPr>
        </w:p>
      </w:tc>
    </w:tr>
    <w:tr w:rsidR="009A0A47" w:rsidRPr="00FD2172" w:rsidTr="00D033D3">
      <w:tc>
        <w:tcPr>
          <w:tcW w:w="8505" w:type="dxa"/>
        </w:tcPr>
        <w:p w:rsidR="009A0A47" w:rsidRPr="00FD2172" w:rsidRDefault="00B9555F" w:rsidP="00D033D3">
          <w:pPr>
            <w:pStyle w:val="Footer0"/>
          </w:pPr>
          <w:fldSimple w:instr=" INCLUDETEXT &quot;C:\\Program Files\\Microsoft Office\\Templates\\Info.doc&quot; CoName \* MERGEFORMAT ">
            <w:r w:rsidR="009A0A47" w:rsidRPr="005C2F2C">
              <w:rPr>
                <w:bCs/>
                <w:lang w:val="en-US"/>
              </w:rPr>
              <w:t>Hyder</w:t>
            </w:r>
            <w:r w:rsidR="009A0A47">
              <w:t xml:space="preserve"> Consulting Pty Ltd</w:t>
            </w:r>
          </w:fldSimple>
          <w:r w:rsidR="009A0A47">
            <w:t xml:space="preserve"> </w:t>
          </w:r>
          <w:fldSimple w:instr=" INCLUDETEXT &quot;C:\\Program Files\\Microsoft Office\\Templates\\Info.doc&quot; CoNo \* MERGEFORMAT ">
            <w:r w:rsidR="009A0A47" w:rsidRPr="005C2F2C">
              <w:rPr>
                <w:bCs/>
                <w:lang w:val="en-US"/>
              </w:rPr>
              <w:t>ABN</w:t>
            </w:r>
            <w:r w:rsidR="009A0A47">
              <w:t xml:space="preserve"> 76 104 485 289</w:t>
            </w:r>
          </w:fldSimple>
        </w:p>
      </w:tc>
      <w:tc>
        <w:tcPr>
          <w:tcW w:w="1134" w:type="dxa"/>
        </w:tcPr>
        <w:p w:rsidR="009A0A47" w:rsidRPr="00FD2172" w:rsidRDefault="009A0A47" w:rsidP="00D033D3">
          <w:pPr>
            <w:pStyle w:val="Footer0"/>
            <w:jc w:val="right"/>
          </w:pPr>
          <w:r w:rsidRPr="00FD2172">
            <w:t xml:space="preserve">Page </w:t>
          </w:r>
          <w:r w:rsidR="00B9555F" w:rsidRPr="00FD2172">
            <w:rPr>
              <w:rStyle w:val="PageNumber"/>
            </w:rPr>
            <w:fldChar w:fldCharType="begin"/>
          </w:r>
          <w:r w:rsidRPr="00FD2172">
            <w:rPr>
              <w:rStyle w:val="PageNumber"/>
            </w:rPr>
            <w:instrText xml:space="preserve"> PAGE </w:instrText>
          </w:r>
          <w:r w:rsidR="00B9555F" w:rsidRPr="00FD2172">
            <w:rPr>
              <w:rStyle w:val="PageNumber"/>
            </w:rPr>
            <w:fldChar w:fldCharType="separate"/>
          </w:r>
          <w:r w:rsidR="009F3FA5">
            <w:rPr>
              <w:rStyle w:val="PageNumber"/>
              <w:noProof/>
            </w:rPr>
            <w:t>42</w:t>
          </w:r>
          <w:r w:rsidR="00B9555F" w:rsidRPr="00FD2172">
            <w:rPr>
              <w:rStyle w:val="PageNumber"/>
            </w:rPr>
            <w:fldChar w:fldCharType="end"/>
          </w:r>
        </w:p>
      </w:tc>
    </w:tr>
    <w:tr w:rsidR="009A0A47" w:rsidTr="00D033D3">
      <w:tc>
        <w:tcPr>
          <w:tcW w:w="8505" w:type="dxa"/>
        </w:tcPr>
        <w:p w:rsidR="009A0A47" w:rsidRDefault="009A0A47" w:rsidP="00A95103">
          <w:pPr>
            <w:pStyle w:val="PathFileName"/>
          </w:pPr>
          <w:r>
            <w:t>AA003418</w:t>
          </w:r>
        </w:p>
      </w:tc>
      <w:tc>
        <w:tcPr>
          <w:tcW w:w="1134" w:type="dxa"/>
        </w:tcPr>
        <w:p w:rsidR="009A0A47" w:rsidRDefault="009A0A47" w:rsidP="00D033D3">
          <w:pPr>
            <w:pStyle w:val="Footer0"/>
            <w:jc w:val="right"/>
          </w:pPr>
        </w:p>
      </w:tc>
    </w:tr>
  </w:tbl>
  <w:p w:rsidR="009A0A47" w:rsidRDefault="009A0A47" w:rsidP="007C0C1E">
    <w:pPr>
      <w:pStyle w:val="Foo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8505"/>
      <w:gridCol w:w="1134"/>
    </w:tblGrid>
    <w:tr w:rsidR="009A0A47" w:rsidRPr="00FD2172">
      <w:tc>
        <w:tcPr>
          <w:tcW w:w="8505" w:type="dxa"/>
          <w:tcBorders>
            <w:top w:val="single" w:sz="8" w:space="0" w:color="00519E"/>
          </w:tcBorders>
        </w:tcPr>
        <w:p w:rsidR="009A0A47" w:rsidRPr="00FD2172" w:rsidRDefault="009A0A47" w:rsidP="001350BC">
          <w:pPr>
            <w:pStyle w:val="Footer0"/>
          </w:pPr>
        </w:p>
      </w:tc>
      <w:tc>
        <w:tcPr>
          <w:tcW w:w="1134" w:type="dxa"/>
          <w:tcBorders>
            <w:top w:val="single" w:sz="8" w:space="0" w:color="00519E"/>
          </w:tcBorders>
        </w:tcPr>
        <w:p w:rsidR="009A0A47" w:rsidRPr="00FD2172" w:rsidRDefault="009A0A47" w:rsidP="0088590F">
          <w:pPr>
            <w:pStyle w:val="Footer0"/>
            <w:jc w:val="right"/>
          </w:pPr>
        </w:p>
      </w:tc>
    </w:tr>
    <w:tr w:rsidR="009A0A47" w:rsidRPr="00FD2172">
      <w:tc>
        <w:tcPr>
          <w:tcW w:w="8505" w:type="dxa"/>
        </w:tcPr>
        <w:p w:rsidR="009A0A47" w:rsidRPr="00FD2172" w:rsidRDefault="009A0A47" w:rsidP="008503D1">
          <w:pPr>
            <w:pStyle w:val="Footer0"/>
          </w:pPr>
        </w:p>
      </w:tc>
      <w:tc>
        <w:tcPr>
          <w:tcW w:w="1134" w:type="dxa"/>
        </w:tcPr>
        <w:p w:rsidR="009A0A47" w:rsidRPr="00FD2172" w:rsidRDefault="009A0A47" w:rsidP="0088590F">
          <w:pPr>
            <w:pStyle w:val="Footer0"/>
            <w:jc w:val="right"/>
          </w:pPr>
        </w:p>
      </w:tc>
    </w:tr>
    <w:tr w:rsidR="009A0A47">
      <w:tc>
        <w:tcPr>
          <w:tcW w:w="8505" w:type="dxa"/>
        </w:tcPr>
        <w:p w:rsidR="009A0A47" w:rsidRDefault="009A0A47" w:rsidP="00A95103">
          <w:pPr>
            <w:pStyle w:val="PathFileName"/>
          </w:pPr>
        </w:p>
      </w:tc>
      <w:tc>
        <w:tcPr>
          <w:tcW w:w="1134" w:type="dxa"/>
        </w:tcPr>
        <w:p w:rsidR="009A0A47" w:rsidRDefault="009A0A47" w:rsidP="0088590F">
          <w:pPr>
            <w:pStyle w:val="Footer0"/>
            <w:jc w:val="right"/>
          </w:pPr>
        </w:p>
      </w:tc>
    </w:tr>
  </w:tbl>
  <w:p w:rsidR="009A0A47" w:rsidRDefault="009A0A47" w:rsidP="007C0C1E">
    <w:pPr>
      <w:pStyle w:val="Foo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Layout w:type="fixed"/>
      <w:tblCellMar>
        <w:left w:w="0" w:type="dxa"/>
        <w:right w:w="0" w:type="dxa"/>
      </w:tblCellMar>
      <w:tblLook w:val="01E0"/>
    </w:tblPr>
    <w:tblGrid>
      <w:gridCol w:w="10206"/>
      <w:gridCol w:w="4395"/>
    </w:tblGrid>
    <w:tr w:rsidR="009A0A47" w:rsidRPr="00FD2172" w:rsidTr="003D3B7D">
      <w:tc>
        <w:tcPr>
          <w:tcW w:w="10206" w:type="dxa"/>
          <w:tcBorders>
            <w:top w:val="single" w:sz="8" w:space="0" w:color="00519E"/>
          </w:tcBorders>
        </w:tcPr>
        <w:p w:rsidR="009A0A47" w:rsidRPr="00CF122D" w:rsidRDefault="00B9555F" w:rsidP="003D3B7D">
          <w:pPr>
            <w:pStyle w:val="Footer0"/>
            <w:rPr>
              <w:i/>
            </w:rPr>
          </w:pPr>
          <w:fldSimple w:instr=" DOCPROPERTY &quot;Project&quot;  \* MERGEFORMAT ">
            <w:r w:rsidR="009A0A47" w:rsidRPr="008C199E">
              <w:rPr>
                <w:i/>
              </w:rPr>
              <w:t>Waste and recycling in Australia 2011</w:t>
            </w:r>
          </w:fldSimple>
          <w:r w:rsidR="009A0A47" w:rsidRPr="00CF122D">
            <w:rPr>
              <w:i/>
            </w:rPr>
            <w:t>—</w:t>
          </w:r>
          <w:fldSimple w:instr=" DOCPROPERTY &quot;Title&quot;  \* MERGEFORMAT ">
            <w:r w:rsidR="009A0A47" w:rsidRPr="008C199E">
              <w:rPr>
                <w:i/>
              </w:rPr>
              <w:t>Incorporating a revised method for compiling waste and recycling data</w:t>
            </w:r>
          </w:fldSimple>
        </w:p>
      </w:tc>
      <w:tc>
        <w:tcPr>
          <w:tcW w:w="4395" w:type="dxa"/>
          <w:tcBorders>
            <w:top w:val="single" w:sz="8" w:space="0" w:color="00519E"/>
          </w:tcBorders>
        </w:tcPr>
        <w:p w:rsidR="009A0A47" w:rsidRPr="00FD2172" w:rsidRDefault="009A0A47" w:rsidP="0088590F">
          <w:pPr>
            <w:pStyle w:val="Footer0"/>
            <w:jc w:val="right"/>
          </w:pPr>
        </w:p>
      </w:tc>
    </w:tr>
    <w:tr w:rsidR="009A0A47" w:rsidRPr="00FD2172" w:rsidTr="003D3B7D">
      <w:tc>
        <w:tcPr>
          <w:tcW w:w="10206" w:type="dxa"/>
        </w:tcPr>
        <w:p w:rsidR="009A0A47" w:rsidRPr="00FD2172" w:rsidRDefault="00B9555F" w:rsidP="008503D1">
          <w:pPr>
            <w:pStyle w:val="Footer0"/>
          </w:pPr>
          <w:fldSimple w:instr=" INCLUDETEXT &quot;C:\\Program Files\\Microsoft Office\\Templates\\Info.doc&quot; CoName \* MERGEFORMAT ">
            <w:r w:rsidR="009A0A47" w:rsidRPr="00D9691C">
              <w:rPr>
                <w:bCs/>
                <w:lang w:val="en-US"/>
              </w:rPr>
              <w:t>Hyder</w:t>
            </w:r>
            <w:r w:rsidR="009A0A47">
              <w:t xml:space="preserve"> Consulting Pty Ltd</w:t>
            </w:r>
          </w:fldSimple>
          <w:r w:rsidR="009A0A47" w:rsidRPr="00FD2172">
            <w:noBreakHyphen/>
          </w:r>
          <w:fldSimple w:instr=" INCLUDETEXT &quot;C:\\Program Files\\Microsoft Office\\Templates\\Info.doc&quot; CoNo \* MERGEFORMAT ">
            <w:r w:rsidR="009A0A47" w:rsidRPr="00D9691C">
              <w:rPr>
                <w:bCs/>
                <w:lang w:val="en-US"/>
              </w:rPr>
              <w:t>ABN</w:t>
            </w:r>
            <w:r w:rsidR="009A0A47">
              <w:t xml:space="preserve"> 76 104 485 289</w:t>
            </w:r>
          </w:fldSimple>
        </w:p>
      </w:tc>
      <w:tc>
        <w:tcPr>
          <w:tcW w:w="4395" w:type="dxa"/>
        </w:tcPr>
        <w:p w:rsidR="009A0A47" w:rsidRPr="00FD2172" w:rsidRDefault="009A0A47" w:rsidP="0088590F">
          <w:pPr>
            <w:pStyle w:val="Footer0"/>
            <w:jc w:val="right"/>
          </w:pPr>
          <w:r w:rsidRPr="00FD2172">
            <w:t xml:space="preserve">Page </w:t>
          </w:r>
          <w:r w:rsidR="00B9555F" w:rsidRPr="00FD2172">
            <w:rPr>
              <w:rStyle w:val="PageNumber"/>
            </w:rPr>
            <w:fldChar w:fldCharType="begin"/>
          </w:r>
          <w:r w:rsidRPr="00FD2172">
            <w:rPr>
              <w:rStyle w:val="PageNumber"/>
            </w:rPr>
            <w:instrText xml:space="preserve"> PAGE </w:instrText>
          </w:r>
          <w:r w:rsidR="00B9555F" w:rsidRPr="00FD2172">
            <w:rPr>
              <w:rStyle w:val="PageNumber"/>
            </w:rPr>
            <w:fldChar w:fldCharType="separate"/>
          </w:r>
          <w:r w:rsidR="009F3FA5">
            <w:rPr>
              <w:rStyle w:val="PageNumber"/>
              <w:noProof/>
            </w:rPr>
            <w:t>ii</w:t>
          </w:r>
          <w:r w:rsidR="00B9555F" w:rsidRPr="00FD2172">
            <w:rPr>
              <w:rStyle w:val="PageNumber"/>
            </w:rPr>
            <w:fldChar w:fldCharType="end"/>
          </w:r>
        </w:p>
      </w:tc>
    </w:tr>
    <w:tr w:rsidR="009A0A47" w:rsidTr="003D3B7D">
      <w:tc>
        <w:tcPr>
          <w:tcW w:w="10206" w:type="dxa"/>
        </w:tcPr>
        <w:p w:rsidR="009A0A47" w:rsidRDefault="009A0A47" w:rsidP="003B7295">
          <w:pPr>
            <w:pStyle w:val="PathFileName"/>
          </w:pPr>
        </w:p>
      </w:tc>
      <w:tc>
        <w:tcPr>
          <w:tcW w:w="4395" w:type="dxa"/>
        </w:tcPr>
        <w:p w:rsidR="009A0A47" w:rsidRDefault="009A0A47" w:rsidP="0029754B">
          <w:pPr>
            <w:pStyle w:val="Footer0"/>
            <w:jc w:val="center"/>
          </w:pPr>
        </w:p>
      </w:tc>
    </w:tr>
  </w:tbl>
  <w:p w:rsidR="009A0A47" w:rsidRDefault="009A0A47" w:rsidP="007C0C1E">
    <w:pPr>
      <w:pStyle w:val="Footer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8505"/>
      <w:gridCol w:w="1134"/>
    </w:tblGrid>
    <w:tr w:rsidR="009A0A47" w:rsidRPr="00FD2172" w:rsidTr="007F7C53">
      <w:tc>
        <w:tcPr>
          <w:tcW w:w="8505" w:type="dxa"/>
          <w:tcBorders>
            <w:bottom w:val="single" w:sz="8" w:space="0" w:color="00519E"/>
          </w:tcBorders>
        </w:tcPr>
        <w:p w:rsidR="009A0A47" w:rsidRPr="007F7C53" w:rsidRDefault="009A0A47" w:rsidP="007F7C53">
          <w:pPr>
            <w:pStyle w:val="Footer0"/>
            <w:spacing w:before="0"/>
            <w:rPr>
              <w:sz w:val="8"/>
              <w:szCs w:val="8"/>
            </w:rPr>
          </w:pPr>
        </w:p>
      </w:tc>
      <w:tc>
        <w:tcPr>
          <w:tcW w:w="1134" w:type="dxa"/>
          <w:tcBorders>
            <w:bottom w:val="single" w:sz="8" w:space="0" w:color="00519E"/>
          </w:tcBorders>
        </w:tcPr>
        <w:p w:rsidR="009A0A47" w:rsidRPr="007F7C53" w:rsidRDefault="009A0A47" w:rsidP="007F7C53">
          <w:pPr>
            <w:pStyle w:val="Footer0"/>
            <w:spacing w:before="0"/>
            <w:rPr>
              <w:sz w:val="8"/>
              <w:szCs w:val="8"/>
            </w:rPr>
          </w:pPr>
        </w:p>
      </w:tc>
    </w:tr>
    <w:tr w:rsidR="009A0A47" w:rsidRPr="00FD2172" w:rsidTr="007F7C53">
      <w:tc>
        <w:tcPr>
          <w:tcW w:w="8505" w:type="dxa"/>
          <w:tcBorders>
            <w:top w:val="single" w:sz="8" w:space="0" w:color="00519E"/>
          </w:tcBorders>
        </w:tcPr>
        <w:p w:rsidR="009A0A47" w:rsidRPr="00B62828" w:rsidRDefault="00B9555F" w:rsidP="003D3B7D">
          <w:pPr>
            <w:pStyle w:val="Footer0"/>
            <w:rPr>
              <w:i/>
            </w:rPr>
          </w:pPr>
          <w:fldSimple w:instr=" DOCPROPERTY &quot;Project&quot;  \* MERGEFORMAT ">
            <w:r w:rsidR="009A0A47" w:rsidRPr="008C199E">
              <w:rPr>
                <w:i/>
              </w:rPr>
              <w:t>Waste and recycling in Australia 2011</w:t>
            </w:r>
          </w:fldSimple>
          <w:r w:rsidR="009A0A47" w:rsidRPr="00B62828">
            <w:rPr>
              <w:i/>
            </w:rPr>
            <w:t>—</w:t>
          </w:r>
          <w:fldSimple w:instr=" DOCPROPERTY &quot;Title&quot;  \* MERGEFORMAT ">
            <w:r w:rsidR="009A0A47" w:rsidRPr="008C199E">
              <w:rPr>
                <w:i/>
              </w:rPr>
              <w:t>Incorporating a revised method for compiling waste and recycling data</w:t>
            </w:r>
          </w:fldSimple>
        </w:p>
      </w:tc>
      <w:tc>
        <w:tcPr>
          <w:tcW w:w="1134" w:type="dxa"/>
          <w:tcBorders>
            <w:top w:val="single" w:sz="8" w:space="0" w:color="00519E"/>
          </w:tcBorders>
        </w:tcPr>
        <w:p w:rsidR="009A0A47" w:rsidRPr="00FD2172" w:rsidRDefault="009A0A47" w:rsidP="0088590F">
          <w:pPr>
            <w:pStyle w:val="Footer0"/>
            <w:jc w:val="right"/>
          </w:pPr>
        </w:p>
      </w:tc>
    </w:tr>
    <w:tr w:rsidR="009A0A47" w:rsidRPr="00FD2172">
      <w:tc>
        <w:tcPr>
          <w:tcW w:w="8505" w:type="dxa"/>
        </w:tcPr>
        <w:p w:rsidR="009A0A47" w:rsidRPr="00FD2172" w:rsidRDefault="00B9555F" w:rsidP="008503D1">
          <w:pPr>
            <w:pStyle w:val="Footer0"/>
          </w:pPr>
          <w:fldSimple w:instr=" INCLUDETEXT &quot;C:\\Program Files\\Microsoft Office\\Templates\\Info.doc&quot; CoName \* MERGEFORMAT ">
            <w:r w:rsidR="009A0A47" w:rsidRPr="00D9691C">
              <w:rPr>
                <w:bCs/>
                <w:lang w:val="en-US"/>
              </w:rPr>
              <w:t>Hyder</w:t>
            </w:r>
            <w:r w:rsidR="009A0A47">
              <w:t xml:space="preserve"> Consulting Pty Ltd</w:t>
            </w:r>
          </w:fldSimple>
          <w:r w:rsidR="009A0A47" w:rsidRPr="00FD2172">
            <w:noBreakHyphen/>
          </w:r>
          <w:fldSimple w:instr=" INCLUDETEXT &quot;C:\\Program Files\\Microsoft Office\\Templates\\Info.doc&quot; CoNo \* MERGEFORMAT ">
            <w:r w:rsidR="009A0A47" w:rsidRPr="00D9691C">
              <w:rPr>
                <w:bCs/>
                <w:lang w:val="en-US"/>
              </w:rPr>
              <w:t>ABN</w:t>
            </w:r>
            <w:r w:rsidR="009A0A47">
              <w:t xml:space="preserve"> 76 104 485 289</w:t>
            </w:r>
          </w:fldSimple>
        </w:p>
      </w:tc>
      <w:tc>
        <w:tcPr>
          <w:tcW w:w="1134" w:type="dxa"/>
        </w:tcPr>
        <w:p w:rsidR="009A0A47" w:rsidRPr="00FD2172" w:rsidRDefault="009A0A47" w:rsidP="0088590F">
          <w:pPr>
            <w:pStyle w:val="Footer0"/>
            <w:jc w:val="right"/>
          </w:pPr>
          <w:r w:rsidRPr="00FD2172">
            <w:t xml:space="preserve">Page </w:t>
          </w:r>
          <w:r w:rsidR="00B9555F" w:rsidRPr="00FD2172">
            <w:rPr>
              <w:rStyle w:val="PageNumber"/>
            </w:rPr>
            <w:fldChar w:fldCharType="begin"/>
          </w:r>
          <w:r w:rsidRPr="00FD2172">
            <w:rPr>
              <w:rStyle w:val="PageNumber"/>
            </w:rPr>
            <w:instrText xml:space="preserve"> PAGE </w:instrText>
          </w:r>
          <w:r w:rsidR="00B9555F" w:rsidRPr="00FD2172">
            <w:rPr>
              <w:rStyle w:val="PageNumber"/>
            </w:rPr>
            <w:fldChar w:fldCharType="separate"/>
          </w:r>
          <w:r w:rsidR="009F3FA5">
            <w:rPr>
              <w:rStyle w:val="PageNumber"/>
              <w:noProof/>
            </w:rPr>
            <w:t>1</w:t>
          </w:r>
          <w:r w:rsidR="00B9555F" w:rsidRPr="00FD2172">
            <w:rPr>
              <w:rStyle w:val="PageNumber"/>
            </w:rPr>
            <w:fldChar w:fldCharType="end"/>
          </w:r>
        </w:p>
      </w:tc>
    </w:tr>
    <w:tr w:rsidR="009A0A47">
      <w:tc>
        <w:tcPr>
          <w:tcW w:w="8505" w:type="dxa"/>
        </w:tcPr>
        <w:p w:rsidR="009A0A47" w:rsidRDefault="009A0A47" w:rsidP="00AF26F7">
          <w:pPr>
            <w:pStyle w:val="PathFileName"/>
          </w:pPr>
        </w:p>
      </w:tc>
      <w:tc>
        <w:tcPr>
          <w:tcW w:w="1134" w:type="dxa"/>
        </w:tcPr>
        <w:p w:rsidR="009A0A47" w:rsidRDefault="009A0A47" w:rsidP="0088590F">
          <w:pPr>
            <w:pStyle w:val="Footer0"/>
            <w:jc w:val="right"/>
          </w:pPr>
        </w:p>
      </w:tc>
    </w:tr>
  </w:tbl>
  <w:p w:rsidR="009A0A47" w:rsidRDefault="009A0A47" w:rsidP="007C0C1E">
    <w:pPr>
      <w:pStyle w:val="Footer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Layout w:type="fixed"/>
      <w:tblLook w:val="01E0"/>
    </w:tblPr>
    <w:tblGrid>
      <w:gridCol w:w="8505"/>
      <w:gridCol w:w="6096"/>
    </w:tblGrid>
    <w:tr w:rsidR="009A0A47" w:rsidRPr="00FD2172" w:rsidTr="000B315F">
      <w:tc>
        <w:tcPr>
          <w:tcW w:w="8505" w:type="dxa"/>
        </w:tcPr>
        <w:p w:rsidR="009A0A47" w:rsidRPr="007F7C53" w:rsidRDefault="009A0A47" w:rsidP="007F7C53">
          <w:pPr>
            <w:pStyle w:val="Footer0"/>
            <w:spacing w:before="0"/>
            <w:rPr>
              <w:sz w:val="8"/>
              <w:szCs w:val="8"/>
            </w:rPr>
          </w:pPr>
        </w:p>
      </w:tc>
      <w:tc>
        <w:tcPr>
          <w:tcW w:w="6096" w:type="dxa"/>
        </w:tcPr>
        <w:p w:rsidR="009A0A47" w:rsidRPr="007F7C53" w:rsidRDefault="009A0A47" w:rsidP="007F7C53">
          <w:pPr>
            <w:pStyle w:val="Footer0"/>
            <w:spacing w:before="0"/>
            <w:rPr>
              <w:sz w:val="8"/>
              <w:szCs w:val="8"/>
            </w:rPr>
          </w:pPr>
        </w:p>
      </w:tc>
    </w:tr>
    <w:tr w:rsidR="009A0A47" w:rsidRPr="00FD2172" w:rsidTr="000B315F">
      <w:tc>
        <w:tcPr>
          <w:tcW w:w="8505" w:type="dxa"/>
        </w:tcPr>
        <w:p w:rsidR="009A0A47" w:rsidRPr="00B62828" w:rsidRDefault="00B9555F" w:rsidP="003D3B7D">
          <w:pPr>
            <w:pStyle w:val="Footer0"/>
            <w:rPr>
              <w:i/>
            </w:rPr>
          </w:pPr>
          <w:fldSimple w:instr=" DOCPROPERTY &quot;Project&quot;  \* MERGEFORMAT ">
            <w:r w:rsidR="009A0A47" w:rsidRPr="008C199E">
              <w:rPr>
                <w:i/>
              </w:rPr>
              <w:t>Waste and recycling in Australia 2011</w:t>
            </w:r>
          </w:fldSimple>
          <w:r w:rsidR="009A0A47" w:rsidRPr="00B62828">
            <w:rPr>
              <w:i/>
            </w:rPr>
            <w:t>—</w:t>
          </w:r>
          <w:fldSimple w:instr=" DOCPROPERTY &quot;Title&quot;  \* MERGEFORMAT ">
            <w:r w:rsidR="009A0A47" w:rsidRPr="008C199E">
              <w:rPr>
                <w:i/>
              </w:rPr>
              <w:t>Incorporating a revised method for compiling waste and recycling data</w:t>
            </w:r>
          </w:fldSimple>
        </w:p>
      </w:tc>
      <w:tc>
        <w:tcPr>
          <w:tcW w:w="6096" w:type="dxa"/>
        </w:tcPr>
        <w:p w:rsidR="009A0A47" w:rsidRPr="00FD2172" w:rsidRDefault="009A0A47" w:rsidP="0088590F">
          <w:pPr>
            <w:pStyle w:val="Footer0"/>
            <w:jc w:val="right"/>
          </w:pPr>
        </w:p>
      </w:tc>
    </w:tr>
    <w:tr w:rsidR="009A0A47" w:rsidRPr="00FD2172" w:rsidTr="000B315F">
      <w:tc>
        <w:tcPr>
          <w:tcW w:w="8505" w:type="dxa"/>
        </w:tcPr>
        <w:p w:rsidR="009A0A47" w:rsidRPr="00FD2172" w:rsidRDefault="00B9555F" w:rsidP="008503D1">
          <w:pPr>
            <w:pStyle w:val="Footer0"/>
          </w:pPr>
          <w:fldSimple w:instr=" INCLUDETEXT &quot;C:\\Program Files\\Microsoft Office\\Templates\\Info.doc&quot; CoName \* MERGEFORMAT ">
            <w:r w:rsidR="009A0A47" w:rsidRPr="00D9691C">
              <w:rPr>
                <w:bCs/>
                <w:lang w:val="en-US"/>
              </w:rPr>
              <w:t>Hyder</w:t>
            </w:r>
            <w:r w:rsidR="009A0A47">
              <w:t xml:space="preserve"> Consulting Pty Ltd</w:t>
            </w:r>
          </w:fldSimple>
          <w:r w:rsidR="009A0A47" w:rsidRPr="00FD2172">
            <w:noBreakHyphen/>
          </w:r>
          <w:fldSimple w:instr=" INCLUDETEXT &quot;C:\\Program Files\\Microsoft Office\\Templates\\Info.doc&quot; CoNo \* MERGEFORMAT ">
            <w:r w:rsidR="009A0A47" w:rsidRPr="00D9691C">
              <w:rPr>
                <w:bCs/>
                <w:lang w:val="en-US"/>
              </w:rPr>
              <w:t>ABN</w:t>
            </w:r>
            <w:r w:rsidR="009A0A47">
              <w:t xml:space="preserve"> 76 104 485 289</w:t>
            </w:r>
          </w:fldSimple>
        </w:p>
      </w:tc>
      <w:tc>
        <w:tcPr>
          <w:tcW w:w="6096" w:type="dxa"/>
        </w:tcPr>
        <w:p w:rsidR="009A0A47" w:rsidRPr="00FD2172" w:rsidRDefault="009A0A47" w:rsidP="0088590F">
          <w:pPr>
            <w:pStyle w:val="Footer0"/>
            <w:jc w:val="right"/>
          </w:pPr>
          <w:r w:rsidRPr="00FD2172">
            <w:t xml:space="preserve">Page </w:t>
          </w:r>
          <w:r w:rsidR="00B9555F" w:rsidRPr="00FD2172">
            <w:rPr>
              <w:rStyle w:val="PageNumber"/>
            </w:rPr>
            <w:fldChar w:fldCharType="begin"/>
          </w:r>
          <w:r w:rsidRPr="00FD2172">
            <w:rPr>
              <w:rStyle w:val="PageNumber"/>
            </w:rPr>
            <w:instrText xml:space="preserve"> PAGE </w:instrText>
          </w:r>
          <w:r w:rsidR="00B9555F" w:rsidRPr="00FD2172">
            <w:rPr>
              <w:rStyle w:val="PageNumber"/>
            </w:rPr>
            <w:fldChar w:fldCharType="separate"/>
          </w:r>
          <w:r w:rsidR="009F3FA5">
            <w:rPr>
              <w:rStyle w:val="PageNumber"/>
              <w:noProof/>
            </w:rPr>
            <w:t>46</w:t>
          </w:r>
          <w:r w:rsidR="00B9555F" w:rsidRPr="00FD2172">
            <w:rPr>
              <w:rStyle w:val="PageNumber"/>
            </w:rPr>
            <w:fldChar w:fldCharType="end"/>
          </w:r>
        </w:p>
      </w:tc>
    </w:tr>
    <w:tr w:rsidR="009A0A47" w:rsidTr="000B315F">
      <w:tc>
        <w:tcPr>
          <w:tcW w:w="8505" w:type="dxa"/>
        </w:tcPr>
        <w:p w:rsidR="009A0A47" w:rsidRDefault="009A0A47" w:rsidP="00A95103">
          <w:pPr>
            <w:pStyle w:val="PathFileName"/>
          </w:pPr>
        </w:p>
      </w:tc>
      <w:tc>
        <w:tcPr>
          <w:tcW w:w="6096" w:type="dxa"/>
        </w:tcPr>
        <w:p w:rsidR="009A0A47" w:rsidRDefault="009A0A47" w:rsidP="0088590F">
          <w:pPr>
            <w:pStyle w:val="Footer0"/>
            <w:jc w:val="right"/>
          </w:pPr>
        </w:p>
      </w:tc>
    </w:tr>
  </w:tbl>
  <w:p w:rsidR="009A0A47" w:rsidRDefault="009A0A47" w:rsidP="007C0C1E">
    <w:pPr>
      <w:pStyle w:val="Footer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8505"/>
      <w:gridCol w:w="1134"/>
    </w:tblGrid>
    <w:tr w:rsidR="009A0A47" w:rsidRPr="00FD2172" w:rsidTr="007F7C53">
      <w:tc>
        <w:tcPr>
          <w:tcW w:w="8505" w:type="dxa"/>
          <w:tcBorders>
            <w:bottom w:val="single" w:sz="8" w:space="0" w:color="00519E"/>
          </w:tcBorders>
        </w:tcPr>
        <w:p w:rsidR="009A0A47" w:rsidRPr="007F7C53" w:rsidRDefault="009A0A47" w:rsidP="007F7C53">
          <w:pPr>
            <w:pStyle w:val="Footer0"/>
            <w:spacing w:before="0"/>
            <w:rPr>
              <w:sz w:val="8"/>
              <w:szCs w:val="8"/>
            </w:rPr>
          </w:pPr>
        </w:p>
      </w:tc>
      <w:tc>
        <w:tcPr>
          <w:tcW w:w="1134" w:type="dxa"/>
          <w:tcBorders>
            <w:bottom w:val="single" w:sz="8" w:space="0" w:color="00519E"/>
          </w:tcBorders>
        </w:tcPr>
        <w:p w:rsidR="009A0A47" w:rsidRPr="007F7C53" w:rsidRDefault="009A0A47" w:rsidP="007F7C53">
          <w:pPr>
            <w:pStyle w:val="Footer0"/>
            <w:spacing w:before="0"/>
            <w:rPr>
              <w:sz w:val="8"/>
              <w:szCs w:val="8"/>
            </w:rPr>
          </w:pPr>
        </w:p>
      </w:tc>
    </w:tr>
    <w:tr w:rsidR="009A0A47" w:rsidRPr="00FD2172" w:rsidTr="007F7C53">
      <w:tc>
        <w:tcPr>
          <w:tcW w:w="8505" w:type="dxa"/>
          <w:tcBorders>
            <w:top w:val="single" w:sz="8" w:space="0" w:color="00519E"/>
          </w:tcBorders>
        </w:tcPr>
        <w:p w:rsidR="009A0A47" w:rsidRPr="00B62828" w:rsidRDefault="00B9555F" w:rsidP="003D3B7D">
          <w:pPr>
            <w:pStyle w:val="Footer0"/>
            <w:rPr>
              <w:i/>
            </w:rPr>
          </w:pPr>
          <w:fldSimple w:instr=" DOCPROPERTY &quot;Project&quot;  \* MERGEFORMAT ">
            <w:r w:rsidR="009A0A47" w:rsidRPr="008C199E">
              <w:rPr>
                <w:i/>
              </w:rPr>
              <w:t>Waste and recycling in Australia 2011</w:t>
            </w:r>
          </w:fldSimple>
          <w:r w:rsidR="009A0A47" w:rsidRPr="00B62828">
            <w:rPr>
              <w:i/>
            </w:rPr>
            <w:t>—</w:t>
          </w:r>
          <w:fldSimple w:instr=" DOCPROPERTY &quot;Title&quot;  \* MERGEFORMAT ">
            <w:r w:rsidR="009A0A47" w:rsidRPr="008C199E">
              <w:rPr>
                <w:i/>
              </w:rPr>
              <w:t>Incorporating a revised method for compiling waste and recycling data</w:t>
            </w:r>
          </w:fldSimple>
        </w:p>
      </w:tc>
      <w:tc>
        <w:tcPr>
          <w:tcW w:w="1134" w:type="dxa"/>
          <w:tcBorders>
            <w:top w:val="single" w:sz="8" w:space="0" w:color="00519E"/>
          </w:tcBorders>
        </w:tcPr>
        <w:p w:rsidR="009A0A47" w:rsidRPr="00FD2172" w:rsidRDefault="009A0A47" w:rsidP="0088590F">
          <w:pPr>
            <w:pStyle w:val="Footer0"/>
            <w:jc w:val="right"/>
          </w:pPr>
        </w:p>
      </w:tc>
    </w:tr>
    <w:tr w:rsidR="009A0A47" w:rsidRPr="00FD2172">
      <w:tc>
        <w:tcPr>
          <w:tcW w:w="8505" w:type="dxa"/>
        </w:tcPr>
        <w:p w:rsidR="009A0A47" w:rsidRPr="00FD2172" w:rsidRDefault="00B9555F" w:rsidP="008503D1">
          <w:pPr>
            <w:pStyle w:val="Footer0"/>
          </w:pPr>
          <w:fldSimple w:instr=" INCLUDETEXT &quot;C:\\Program Files\\Microsoft Office\\Templates\\Info.doc&quot; CoName \* MERGEFORMAT ">
            <w:r w:rsidR="009A0A47" w:rsidRPr="00D9691C">
              <w:rPr>
                <w:bCs/>
                <w:lang w:val="en-US"/>
              </w:rPr>
              <w:t>Hyder</w:t>
            </w:r>
            <w:r w:rsidR="009A0A47">
              <w:t xml:space="preserve"> Consulting Pty Ltd</w:t>
            </w:r>
          </w:fldSimple>
          <w:r w:rsidR="009A0A47" w:rsidRPr="00FD2172">
            <w:noBreakHyphen/>
          </w:r>
          <w:fldSimple w:instr=" INCLUDETEXT &quot;C:\\Program Files\\Microsoft Office\\Templates\\Info.doc&quot; CoNo \* MERGEFORMAT ">
            <w:r w:rsidR="009A0A47" w:rsidRPr="00D9691C">
              <w:rPr>
                <w:bCs/>
                <w:lang w:val="en-US"/>
              </w:rPr>
              <w:t>ABN</w:t>
            </w:r>
            <w:r w:rsidR="009A0A47">
              <w:t xml:space="preserve"> 76 104 485 289</w:t>
            </w:r>
          </w:fldSimple>
        </w:p>
      </w:tc>
      <w:tc>
        <w:tcPr>
          <w:tcW w:w="1134" w:type="dxa"/>
        </w:tcPr>
        <w:p w:rsidR="009A0A47" w:rsidRPr="00FD2172" w:rsidRDefault="009A0A47" w:rsidP="0088590F">
          <w:pPr>
            <w:pStyle w:val="Footer0"/>
            <w:jc w:val="right"/>
          </w:pPr>
          <w:r w:rsidRPr="00FD2172">
            <w:t xml:space="preserve">Page </w:t>
          </w:r>
          <w:r w:rsidR="00B9555F" w:rsidRPr="00FD2172">
            <w:rPr>
              <w:rStyle w:val="PageNumber"/>
            </w:rPr>
            <w:fldChar w:fldCharType="begin"/>
          </w:r>
          <w:r w:rsidRPr="00FD2172">
            <w:rPr>
              <w:rStyle w:val="PageNumber"/>
            </w:rPr>
            <w:instrText xml:space="preserve"> PAGE </w:instrText>
          </w:r>
          <w:r w:rsidR="00B9555F" w:rsidRPr="00FD2172">
            <w:rPr>
              <w:rStyle w:val="PageNumber"/>
            </w:rPr>
            <w:fldChar w:fldCharType="separate"/>
          </w:r>
          <w:r w:rsidR="009F3FA5">
            <w:rPr>
              <w:rStyle w:val="PageNumber"/>
              <w:noProof/>
            </w:rPr>
            <w:t>50</w:t>
          </w:r>
          <w:r w:rsidR="00B9555F" w:rsidRPr="00FD2172">
            <w:rPr>
              <w:rStyle w:val="PageNumber"/>
            </w:rPr>
            <w:fldChar w:fldCharType="end"/>
          </w:r>
        </w:p>
      </w:tc>
    </w:tr>
    <w:tr w:rsidR="009A0A47">
      <w:tc>
        <w:tcPr>
          <w:tcW w:w="8505" w:type="dxa"/>
        </w:tcPr>
        <w:p w:rsidR="009A0A47" w:rsidRDefault="009A0A47" w:rsidP="00A95103">
          <w:pPr>
            <w:pStyle w:val="PathFileName"/>
          </w:pPr>
        </w:p>
      </w:tc>
      <w:tc>
        <w:tcPr>
          <w:tcW w:w="1134" w:type="dxa"/>
        </w:tcPr>
        <w:p w:rsidR="009A0A47" w:rsidRDefault="009A0A47" w:rsidP="0088590F">
          <w:pPr>
            <w:pStyle w:val="Footer0"/>
            <w:jc w:val="right"/>
          </w:pPr>
        </w:p>
      </w:tc>
    </w:tr>
  </w:tbl>
  <w:p w:rsidR="009A0A47" w:rsidRDefault="009A0A47" w:rsidP="007C0C1E">
    <w:pPr>
      <w:pStyle w:val="Footer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Layout w:type="fixed"/>
      <w:tblCellMar>
        <w:left w:w="0" w:type="dxa"/>
        <w:right w:w="0" w:type="dxa"/>
      </w:tblCellMar>
      <w:tblLook w:val="01E0"/>
    </w:tblPr>
    <w:tblGrid>
      <w:gridCol w:w="11340"/>
      <w:gridCol w:w="3261"/>
    </w:tblGrid>
    <w:tr w:rsidR="009A0A47" w:rsidRPr="00FD2172" w:rsidTr="00E27D8E">
      <w:tc>
        <w:tcPr>
          <w:tcW w:w="11340" w:type="dxa"/>
          <w:tcBorders>
            <w:bottom w:val="single" w:sz="8" w:space="0" w:color="00519E"/>
          </w:tcBorders>
        </w:tcPr>
        <w:p w:rsidR="009A0A47" w:rsidRPr="007F7C53" w:rsidRDefault="009A0A47" w:rsidP="007F7C53">
          <w:pPr>
            <w:pStyle w:val="Footer0"/>
            <w:spacing w:before="0"/>
            <w:rPr>
              <w:sz w:val="8"/>
              <w:szCs w:val="8"/>
            </w:rPr>
          </w:pPr>
        </w:p>
      </w:tc>
      <w:tc>
        <w:tcPr>
          <w:tcW w:w="3261" w:type="dxa"/>
          <w:tcBorders>
            <w:bottom w:val="single" w:sz="8" w:space="0" w:color="00519E"/>
          </w:tcBorders>
        </w:tcPr>
        <w:p w:rsidR="009A0A47" w:rsidRPr="007F7C53" w:rsidRDefault="009A0A47" w:rsidP="007F7C53">
          <w:pPr>
            <w:pStyle w:val="Footer0"/>
            <w:spacing w:before="0"/>
            <w:rPr>
              <w:sz w:val="8"/>
              <w:szCs w:val="8"/>
            </w:rPr>
          </w:pPr>
        </w:p>
      </w:tc>
    </w:tr>
    <w:tr w:rsidR="009A0A47" w:rsidRPr="00FD2172" w:rsidTr="00E27D8E">
      <w:tc>
        <w:tcPr>
          <w:tcW w:w="11340" w:type="dxa"/>
          <w:tcBorders>
            <w:top w:val="single" w:sz="8" w:space="0" w:color="00519E"/>
          </w:tcBorders>
        </w:tcPr>
        <w:p w:rsidR="009A0A47" w:rsidRPr="00B62828" w:rsidRDefault="00B9555F" w:rsidP="003D3B7D">
          <w:pPr>
            <w:pStyle w:val="Footer0"/>
            <w:rPr>
              <w:i/>
            </w:rPr>
          </w:pPr>
          <w:fldSimple w:instr=" DOCPROPERTY &quot;Project&quot;  \* MERGEFORMAT ">
            <w:r w:rsidR="009A0A47" w:rsidRPr="008C199E">
              <w:rPr>
                <w:i/>
              </w:rPr>
              <w:t>Waste and recycling in Australia 2011</w:t>
            </w:r>
          </w:fldSimple>
          <w:r w:rsidR="009A0A47" w:rsidRPr="00B62828">
            <w:rPr>
              <w:i/>
            </w:rPr>
            <w:t>—</w:t>
          </w:r>
          <w:fldSimple w:instr=" DOCPROPERTY &quot;Title&quot;  \* MERGEFORMAT ">
            <w:r w:rsidR="009A0A47" w:rsidRPr="008C199E">
              <w:rPr>
                <w:i/>
              </w:rPr>
              <w:t>Incorporating a revised method for compiling waste and recycling data</w:t>
            </w:r>
          </w:fldSimple>
        </w:p>
      </w:tc>
      <w:tc>
        <w:tcPr>
          <w:tcW w:w="3261" w:type="dxa"/>
          <w:tcBorders>
            <w:top w:val="single" w:sz="8" w:space="0" w:color="00519E"/>
          </w:tcBorders>
        </w:tcPr>
        <w:p w:rsidR="009A0A47" w:rsidRPr="00FD2172" w:rsidRDefault="009A0A47" w:rsidP="0088590F">
          <w:pPr>
            <w:pStyle w:val="Footer0"/>
            <w:jc w:val="right"/>
          </w:pPr>
        </w:p>
      </w:tc>
    </w:tr>
    <w:tr w:rsidR="009A0A47" w:rsidRPr="00FD2172" w:rsidTr="00E27D8E">
      <w:tc>
        <w:tcPr>
          <w:tcW w:w="11340" w:type="dxa"/>
        </w:tcPr>
        <w:p w:rsidR="009A0A47" w:rsidRPr="00FD2172" w:rsidRDefault="00B9555F" w:rsidP="008503D1">
          <w:pPr>
            <w:pStyle w:val="Footer0"/>
          </w:pPr>
          <w:fldSimple w:instr=" INCLUDETEXT &quot;C:\\Program Files\\Microsoft Office\\Templates\\Info.doc&quot; CoName \* MERGEFORMAT ">
            <w:r w:rsidR="009A0A47" w:rsidRPr="00D9691C">
              <w:rPr>
                <w:bCs/>
                <w:lang w:val="en-US"/>
              </w:rPr>
              <w:t>Hyder</w:t>
            </w:r>
            <w:r w:rsidR="009A0A47">
              <w:t xml:space="preserve"> Consulting Pty Ltd</w:t>
            </w:r>
          </w:fldSimple>
          <w:r w:rsidR="009A0A47" w:rsidRPr="00FD2172">
            <w:noBreakHyphen/>
          </w:r>
          <w:fldSimple w:instr=" INCLUDETEXT &quot;C:\\Program Files\\Microsoft Office\\Templates\\Info.doc&quot; CoNo \* MERGEFORMAT ">
            <w:r w:rsidR="009A0A47" w:rsidRPr="00D9691C">
              <w:rPr>
                <w:bCs/>
                <w:lang w:val="en-US"/>
              </w:rPr>
              <w:t>ABN</w:t>
            </w:r>
            <w:r w:rsidR="009A0A47">
              <w:t xml:space="preserve"> 76 104 485 289</w:t>
            </w:r>
          </w:fldSimple>
        </w:p>
      </w:tc>
      <w:tc>
        <w:tcPr>
          <w:tcW w:w="3261" w:type="dxa"/>
        </w:tcPr>
        <w:p w:rsidR="009A0A47" w:rsidRPr="00FD2172" w:rsidRDefault="009A0A47" w:rsidP="0088590F">
          <w:pPr>
            <w:pStyle w:val="Footer0"/>
            <w:jc w:val="right"/>
          </w:pPr>
          <w:r w:rsidRPr="00FD2172">
            <w:t xml:space="preserve">Page </w:t>
          </w:r>
          <w:r w:rsidR="00B9555F" w:rsidRPr="00FD2172">
            <w:rPr>
              <w:rStyle w:val="PageNumber"/>
            </w:rPr>
            <w:fldChar w:fldCharType="begin"/>
          </w:r>
          <w:r w:rsidRPr="00FD2172">
            <w:rPr>
              <w:rStyle w:val="PageNumber"/>
            </w:rPr>
            <w:instrText xml:space="preserve"> PAGE </w:instrText>
          </w:r>
          <w:r w:rsidR="00B9555F" w:rsidRPr="00FD2172">
            <w:rPr>
              <w:rStyle w:val="PageNumber"/>
            </w:rPr>
            <w:fldChar w:fldCharType="separate"/>
          </w:r>
          <w:r w:rsidR="009F3FA5">
            <w:rPr>
              <w:rStyle w:val="PageNumber"/>
              <w:noProof/>
            </w:rPr>
            <w:t>113</w:t>
          </w:r>
          <w:r w:rsidR="00B9555F" w:rsidRPr="00FD2172">
            <w:rPr>
              <w:rStyle w:val="PageNumber"/>
            </w:rPr>
            <w:fldChar w:fldCharType="end"/>
          </w:r>
        </w:p>
      </w:tc>
    </w:tr>
    <w:tr w:rsidR="009A0A47" w:rsidTr="00E27D8E">
      <w:tc>
        <w:tcPr>
          <w:tcW w:w="11340" w:type="dxa"/>
        </w:tcPr>
        <w:p w:rsidR="009A0A47" w:rsidRDefault="00B9555F" w:rsidP="00A95103">
          <w:pPr>
            <w:pStyle w:val="PathFileName"/>
          </w:pPr>
          <w:fldSimple w:instr=" FILENAME  \p \* Lower \* MERGEFORMAT "/>
        </w:p>
      </w:tc>
      <w:tc>
        <w:tcPr>
          <w:tcW w:w="3261" w:type="dxa"/>
        </w:tcPr>
        <w:p w:rsidR="009A0A47" w:rsidRDefault="009A0A47" w:rsidP="0088590F">
          <w:pPr>
            <w:pStyle w:val="Footer0"/>
            <w:jc w:val="right"/>
          </w:pPr>
        </w:p>
      </w:tc>
    </w:tr>
  </w:tbl>
  <w:p w:rsidR="009A0A47" w:rsidRDefault="009A0A47" w:rsidP="007C0C1E">
    <w:pPr>
      <w:pStyle w:val="Footer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8505"/>
      <w:gridCol w:w="1134"/>
    </w:tblGrid>
    <w:tr w:rsidR="009A0A47" w:rsidRPr="00FD2172" w:rsidTr="007F7C53">
      <w:tc>
        <w:tcPr>
          <w:tcW w:w="8505" w:type="dxa"/>
          <w:tcBorders>
            <w:bottom w:val="single" w:sz="8" w:space="0" w:color="00519E"/>
          </w:tcBorders>
        </w:tcPr>
        <w:p w:rsidR="009A0A47" w:rsidRPr="007F7C53" w:rsidRDefault="009A0A47" w:rsidP="007F7C53">
          <w:pPr>
            <w:pStyle w:val="Footer0"/>
            <w:spacing w:before="0"/>
            <w:rPr>
              <w:sz w:val="8"/>
              <w:szCs w:val="8"/>
            </w:rPr>
          </w:pPr>
        </w:p>
      </w:tc>
      <w:tc>
        <w:tcPr>
          <w:tcW w:w="1134" w:type="dxa"/>
          <w:tcBorders>
            <w:bottom w:val="single" w:sz="8" w:space="0" w:color="00519E"/>
          </w:tcBorders>
        </w:tcPr>
        <w:p w:rsidR="009A0A47" w:rsidRPr="007F7C53" w:rsidRDefault="009A0A47" w:rsidP="007F7C53">
          <w:pPr>
            <w:pStyle w:val="Footer0"/>
            <w:spacing w:before="0"/>
            <w:rPr>
              <w:sz w:val="8"/>
              <w:szCs w:val="8"/>
            </w:rPr>
          </w:pPr>
        </w:p>
      </w:tc>
    </w:tr>
    <w:tr w:rsidR="009A0A47" w:rsidRPr="00FD2172" w:rsidTr="007F7C53">
      <w:tc>
        <w:tcPr>
          <w:tcW w:w="8505" w:type="dxa"/>
          <w:tcBorders>
            <w:top w:val="single" w:sz="8" w:space="0" w:color="00519E"/>
          </w:tcBorders>
        </w:tcPr>
        <w:p w:rsidR="009A0A47" w:rsidRPr="00B62828" w:rsidRDefault="00B9555F" w:rsidP="003D3B7D">
          <w:pPr>
            <w:pStyle w:val="Footer0"/>
            <w:rPr>
              <w:i/>
            </w:rPr>
          </w:pPr>
          <w:fldSimple w:instr=" DOCPROPERTY &quot;Project&quot;  \* MERGEFORMAT ">
            <w:r w:rsidR="009A0A47" w:rsidRPr="008C199E">
              <w:rPr>
                <w:i/>
              </w:rPr>
              <w:t>Waste and recycling in Australia 2011</w:t>
            </w:r>
          </w:fldSimple>
          <w:r w:rsidR="009A0A47" w:rsidRPr="00B62828">
            <w:rPr>
              <w:i/>
            </w:rPr>
            <w:t xml:space="preserve"> –</w:t>
          </w:r>
          <w:fldSimple w:instr=" DOCPROPERTY &quot;Title&quot;  \* MERGEFORMAT ">
            <w:r w:rsidR="009A0A47" w:rsidRPr="008C199E">
              <w:rPr>
                <w:i/>
              </w:rPr>
              <w:t>Incorporating a revised method for compiling waste and recycling data</w:t>
            </w:r>
          </w:fldSimple>
        </w:p>
      </w:tc>
      <w:tc>
        <w:tcPr>
          <w:tcW w:w="1134" w:type="dxa"/>
          <w:tcBorders>
            <w:top w:val="single" w:sz="8" w:space="0" w:color="00519E"/>
          </w:tcBorders>
        </w:tcPr>
        <w:p w:rsidR="009A0A47" w:rsidRPr="00FD2172" w:rsidRDefault="009A0A47" w:rsidP="0088590F">
          <w:pPr>
            <w:pStyle w:val="Footer0"/>
            <w:jc w:val="right"/>
          </w:pPr>
        </w:p>
      </w:tc>
    </w:tr>
    <w:tr w:rsidR="009A0A47" w:rsidRPr="00FD2172">
      <w:tc>
        <w:tcPr>
          <w:tcW w:w="8505" w:type="dxa"/>
        </w:tcPr>
        <w:p w:rsidR="009A0A47" w:rsidRPr="00FD2172" w:rsidRDefault="00B9555F" w:rsidP="00F65A95">
          <w:pPr>
            <w:pStyle w:val="Footer0"/>
          </w:pPr>
          <w:fldSimple w:instr=" INCLUDETEXT &quot;C:\\Program Files\\Microsoft Office\\Templates\\Info.doc&quot; CoName \* MERGEFORMAT ">
            <w:r w:rsidR="009A0A47" w:rsidRPr="00D9691C">
              <w:rPr>
                <w:bCs/>
                <w:lang w:val="en-US"/>
              </w:rPr>
              <w:t>Hyder</w:t>
            </w:r>
            <w:r w:rsidR="009A0A47">
              <w:t xml:space="preserve"> Consulting Pty Ltd</w:t>
            </w:r>
          </w:fldSimple>
          <w:r w:rsidR="009A0A47">
            <w:t xml:space="preserve"> – </w:t>
          </w:r>
          <w:fldSimple w:instr=" INCLUDETEXT &quot;C:\\Program Files\\Microsoft Office\\Templates\\Info.doc&quot; CoNo \* MERGEFORMAT ">
            <w:r w:rsidR="009A0A47" w:rsidRPr="00D9691C">
              <w:rPr>
                <w:bCs/>
                <w:lang w:val="en-US"/>
              </w:rPr>
              <w:t>ABN</w:t>
            </w:r>
            <w:r w:rsidR="009A0A47">
              <w:t xml:space="preserve"> 76 104 485 289</w:t>
            </w:r>
          </w:fldSimple>
        </w:p>
      </w:tc>
      <w:tc>
        <w:tcPr>
          <w:tcW w:w="1134" w:type="dxa"/>
        </w:tcPr>
        <w:p w:rsidR="009A0A47" w:rsidRPr="00FD2172" w:rsidRDefault="009A0A47" w:rsidP="0088590F">
          <w:pPr>
            <w:pStyle w:val="Footer0"/>
            <w:jc w:val="right"/>
          </w:pPr>
          <w:r w:rsidRPr="00FD2172">
            <w:t xml:space="preserve">Page </w:t>
          </w:r>
          <w:r w:rsidR="00B9555F" w:rsidRPr="00FD2172">
            <w:rPr>
              <w:rStyle w:val="PageNumber"/>
            </w:rPr>
            <w:fldChar w:fldCharType="begin"/>
          </w:r>
          <w:r w:rsidRPr="00FD2172">
            <w:rPr>
              <w:rStyle w:val="PageNumber"/>
            </w:rPr>
            <w:instrText xml:space="preserve"> PAGE </w:instrText>
          </w:r>
          <w:r w:rsidR="00B9555F" w:rsidRPr="00FD2172">
            <w:rPr>
              <w:rStyle w:val="PageNumber"/>
            </w:rPr>
            <w:fldChar w:fldCharType="separate"/>
          </w:r>
          <w:r w:rsidR="009F3FA5">
            <w:rPr>
              <w:rStyle w:val="PageNumber"/>
              <w:noProof/>
            </w:rPr>
            <w:t>116</w:t>
          </w:r>
          <w:r w:rsidR="00B9555F" w:rsidRPr="00FD2172">
            <w:rPr>
              <w:rStyle w:val="PageNumber"/>
            </w:rPr>
            <w:fldChar w:fldCharType="end"/>
          </w:r>
        </w:p>
      </w:tc>
    </w:tr>
    <w:tr w:rsidR="009A0A47">
      <w:tc>
        <w:tcPr>
          <w:tcW w:w="8505" w:type="dxa"/>
        </w:tcPr>
        <w:p w:rsidR="009A0A47" w:rsidRDefault="009A0A47" w:rsidP="00A95103">
          <w:pPr>
            <w:pStyle w:val="PathFileName"/>
          </w:pPr>
          <w:r>
            <w:t>AA003777</w:t>
          </w:r>
        </w:p>
      </w:tc>
      <w:tc>
        <w:tcPr>
          <w:tcW w:w="1134" w:type="dxa"/>
        </w:tcPr>
        <w:p w:rsidR="009A0A47" w:rsidRDefault="009A0A47" w:rsidP="0088590F">
          <w:pPr>
            <w:pStyle w:val="Footer0"/>
            <w:jc w:val="right"/>
          </w:pPr>
        </w:p>
      </w:tc>
    </w:tr>
  </w:tbl>
  <w:p w:rsidR="009A0A47" w:rsidRDefault="009A0A47" w:rsidP="007C0C1E">
    <w:pPr>
      <w:pStyle w:val="Footer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Layout w:type="fixed"/>
      <w:tblCellMar>
        <w:left w:w="0" w:type="dxa"/>
        <w:right w:w="0" w:type="dxa"/>
      </w:tblCellMar>
      <w:tblLook w:val="01E0"/>
    </w:tblPr>
    <w:tblGrid>
      <w:gridCol w:w="1134"/>
      <w:gridCol w:w="8505"/>
    </w:tblGrid>
    <w:tr w:rsidR="009A0A47" w:rsidRPr="00FD2172" w:rsidTr="00D033D3">
      <w:tc>
        <w:tcPr>
          <w:tcW w:w="1134" w:type="dxa"/>
          <w:tcBorders>
            <w:bottom w:val="single" w:sz="8" w:space="0" w:color="00519E"/>
          </w:tcBorders>
        </w:tcPr>
        <w:p w:rsidR="009A0A47" w:rsidRPr="00FD2172" w:rsidRDefault="009A0A47" w:rsidP="00350310">
          <w:pPr>
            <w:pStyle w:val="Footer0"/>
          </w:pPr>
        </w:p>
      </w:tc>
      <w:tc>
        <w:tcPr>
          <w:tcW w:w="8505" w:type="dxa"/>
          <w:tcBorders>
            <w:bottom w:val="single" w:sz="8" w:space="0" w:color="00519E"/>
          </w:tcBorders>
        </w:tcPr>
        <w:p w:rsidR="009A0A47" w:rsidRDefault="009A0A47" w:rsidP="00D033D3">
          <w:pPr>
            <w:pStyle w:val="Footer0"/>
            <w:jc w:val="right"/>
          </w:pPr>
        </w:p>
      </w:tc>
    </w:tr>
    <w:tr w:rsidR="009A0A47" w:rsidRPr="00FD2172" w:rsidTr="00D033D3">
      <w:tc>
        <w:tcPr>
          <w:tcW w:w="1134" w:type="dxa"/>
          <w:tcBorders>
            <w:top w:val="single" w:sz="8" w:space="0" w:color="00519E"/>
          </w:tcBorders>
        </w:tcPr>
        <w:p w:rsidR="009A0A47" w:rsidRPr="00FD2172" w:rsidRDefault="009A0A47" w:rsidP="00350310">
          <w:pPr>
            <w:pStyle w:val="Footer0"/>
          </w:pPr>
        </w:p>
      </w:tc>
      <w:tc>
        <w:tcPr>
          <w:tcW w:w="8505" w:type="dxa"/>
          <w:tcBorders>
            <w:top w:val="single" w:sz="8" w:space="0" w:color="00519E"/>
          </w:tcBorders>
        </w:tcPr>
        <w:p w:rsidR="009A0A47" w:rsidRPr="00FD2172" w:rsidRDefault="00B9555F" w:rsidP="00D033D3">
          <w:pPr>
            <w:pStyle w:val="Footer0"/>
            <w:jc w:val="right"/>
          </w:pPr>
          <w:fldSimple w:instr=" DOCPROPERTY &quot;Project&quot;  \* MERGEFORMAT ">
            <w:r w:rsidR="009A0A47">
              <w:t>Waste and recycling in Australia 2011</w:t>
            </w:r>
          </w:fldSimple>
          <w:r w:rsidR="009A0A47">
            <w:t xml:space="preserve"> — </w:t>
          </w:r>
          <w:fldSimple w:instr=" DOCPROPERTY &quot;Title&quot;  \* MERGEFORMAT ">
            <w:r w:rsidR="009A0A47">
              <w:t>Incorporating a revised method for compiling waste and recycling data</w:t>
            </w:r>
          </w:fldSimple>
          <w:r w:rsidR="009A0A47" w:rsidRPr="00FD2172">
            <w:t xml:space="preserve">  </w:t>
          </w:r>
          <w:fldSimple w:instr=" DOCPROPERTY &quot;RevisionText&quot;  \* MERGEFORMAT ">
            <w:r w:rsidR="009A0A47">
              <w:t>Version</w:t>
            </w:r>
          </w:fldSimple>
          <w:r w:rsidR="009A0A47" w:rsidRPr="00FD2172">
            <w:t xml:space="preserve">  </w:t>
          </w:r>
          <w:fldSimple w:instr=" DOCPROPERTY &quot;RevisionInfo&quot;  \* MERGEFORMAT  ">
            <w:r w:rsidR="009A0A47">
              <w:t>2</w:t>
            </w:r>
          </w:fldSimple>
        </w:p>
      </w:tc>
    </w:tr>
    <w:tr w:rsidR="009A0A47" w:rsidRPr="00FD2172" w:rsidTr="00D033D3">
      <w:tc>
        <w:tcPr>
          <w:tcW w:w="1134" w:type="dxa"/>
        </w:tcPr>
        <w:p w:rsidR="009A0A47" w:rsidRPr="00FD2172" w:rsidRDefault="009A0A47" w:rsidP="00350310">
          <w:pPr>
            <w:pStyle w:val="Footer0"/>
          </w:pPr>
          <w:r w:rsidRPr="00FD2172">
            <w:t xml:space="preserve">Page </w:t>
          </w:r>
          <w:r w:rsidR="00B9555F" w:rsidRPr="00FD2172">
            <w:rPr>
              <w:rStyle w:val="PageNumber"/>
            </w:rPr>
            <w:fldChar w:fldCharType="begin"/>
          </w:r>
          <w:r w:rsidRPr="00FD2172">
            <w:rPr>
              <w:rStyle w:val="PageNumber"/>
            </w:rPr>
            <w:instrText xml:space="preserve"> PAGE </w:instrText>
          </w:r>
          <w:r w:rsidR="00B9555F" w:rsidRPr="00FD2172">
            <w:rPr>
              <w:rStyle w:val="PageNumber"/>
            </w:rPr>
            <w:fldChar w:fldCharType="separate"/>
          </w:r>
          <w:r>
            <w:rPr>
              <w:rStyle w:val="PageNumber"/>
              <w:noProof/>
            </w:rPr>
            <w:t>39</w:t>
          </w:r>
          <w:r w:rsidR="00B9555F" w:rsidRPr="00FD2172">
            <w:rPr>
              <w:rStyle w:val="PageNumber"/>
            </w:rPr>
            <w:fldChar w:fldCharType="end"/>
          </w:r>
        </w:p>
      </w:tc>
      <w:tc>
        <w:tcPr>
          <w:tcW w:w="8505" w:type="dxa"/>
        </w:tcPr>
        <w:p w:rsidR="009A0A47" w:rsidRPr="00FD2172" w:rsidRDefault="00B9555F" w:rsidP="00D033D3">
          <w:pPr>
            <w:pStyle w:val="Footer0"/>
            <w:jc w:val="right"/>
          </w:pPr>
          <w:fldSimple w:instr=" INCLUDETEXT &quot;C:\\Program Files\\Microsoft Office\\Templates\\Info.doc&quot; CoName \* MERGEFORMAT ">
            <w:r w:rsidR="009A0A47" w:rsidRPr="00FD2172">
              <w:t>Hyder Consulting Pty Ltd</w:t>
            </w:r>
          </w:fldSimple>
          <w:r w:rsidR="009A0A47">
            <w:t xml:space="preserve"> </w:t>
          </w:r>
          <w:fldSimple w:instr=" INCLUDETEXT &quot;C:\\Program Files\\Microsoft Office\\Templates\\Info.doc&quot; CoNo \* MERGEFORMAT ">
            <w:r w:rsidR="009A0A47" w:rsidRPr="00FD2172">
              <w:t>ABN 76 104 485 289</w:t>
            </w:r>
          </w:fldSimple>
        </w:p>
      </w:tc>
    </w:tr>
    <w:tr w:rsidR="009A0A47" w:rsidRPr="00350310" w:rsidTr="00D033D3">
      <w:tc>
        <w:tcPr>
          <w:tcW w:w="1134" w:type="dxa"/>
        </w:tcPr>
        <w:p w:rsidR="009A0A47" w:rsidRPr="00FD2172" w:rsidRDefault="009A0A47" w:rsidP="00350310">
          <w:pPr>
            <w:pStyle w:val="Footer0"/>
          </w:pPr>
        </w:p>
      </w:tc>
      <w:tc>
        <w:tcPr>
          <w:tcW w:w="8505" w:type="dxa"/>
        </w:tcPr>
        <w:p w:rsidR="009A0A47" w:rsidRPr="00350310" w:rsidRDefault="009A0A47" w:rsidP="00D033D3">
          <w:pPr>
            <w:pStyle w:val="PathFileName"/>
            <w:jc w:val="right"/>
          </w:pPr>
          <w:r>
            <w:t>AA003418</w:t>
          </w:r>
        </w:p>
      </w:tc>
    </w:tr>
  </w:tbl>
  <w:p w:rsidR="009A0A47" w:rsidRPr="00350310" w:rsidRDefault="009A0A47" w:rsidP="00350310">
    <w:pPr>
      <w:pStyle w:val="Foo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F53" w:rsidRDefault="00303F53" w:rsidP="00737A4B">
      <w:pPr>
        <w:pStyle w:val="ParaMargin"/>
      </w:pPr>
      <w:r>
        <w:separator/>
      </w:r>
    </w:p>
  </w:footnote>
  <w:footnote w:type="continuationSeparator" w:id="0">
    <w:p w:rsidR="00303F53" w:rsidRDefault="00303F53" w:rsidP="00737A4B">
      <w:pPr>
        <w:pStyle w:val="ParaMargin"/>
      </w:pPr>
      <w:r>
        <w:continuationSeparator/>
      </w:r>
    </w:p>
  </w:footnote>
  <w:footnote w:type="continuationNotice" w:id="1">
    <w:p w:rsidR="00303F53" w:rsidRDefault="00303F53">
      <w:pPr>
        <w:spacing w:after="0" w:line="240" w:lineRule="auto"/>
      </w:pPr>
    </w:p>
  </w:footnote>
  <w:footnote w:id="2">
    <w:p w:rsidR="009A0A47" w:rsidRDefault="009A0A47">
      <w:pPr>
        <w:pStyle w:val="FootnoteText"/>
      </w:pPr>
      <w:r>
        <w:rPr>
          <w:rStyle w:val="FootnoteReference"/>
        </w:rPr>
        <w:footnoteRef/>
      </w:r>
      <w:r>
        <w:t xml:space="preserve"> E</w:t>
      </w:r>
      <w:r w:rsidRPr="00F7594D">
        <w:t xml:space="preserve">stimates generated </w:t>
      </w:r>
      <w:r>
        <w:t>by applying the proportion of jurisdictional solid waste disposal that is biodegradable waste to the national emissions total as per the</w:t>
      </w:r>
      <w:r w:rsidRPr="00F7594D">
        <w:t xml:space="preserve"> </w:t>
      </w:r>
      <w:r w:rsidRPr="000B315F">
        <w:rPr>
          <w:i/>
        </w:rPr>
        <w:t>Australian National Greenhouse Gas Inventory</w:t>
      </w:r>
      <w:r>
        <w:t>.</w:t>
      </w:r>
      <w:r w:rsidRPr="00F7594D">
        <w:t xml:space="preserve"> </w:t>
      </w:r>
      <w:r>
        <w:t>See Section 5.1.2.</w:t>
      </w:r>
    </w:p>
  </w:footnote>
  <w:footnote w:id="3">
    <w:p w:rsidR="009A0A47" w:rsidRDefault="009A0A47">
      <w:pPr>
        <w:pStyle w:val="FootnoteText"/>
      </w:pPr>
      <w:r>
        <w:rPr>
          <w:rStyle w:val="FootnoteReference"/>
        </w:rPr>
        <w:footnoteRef/>
      </w:r>
      <w:r>
        <w:t xml:space="preserve"> M</w:t>
      </w:r>
      <w:r w:rsidRPr="00F7594D">
        <w:t>ethane generated at landfills less the amount of methane recovered for energy or flared at landfills</w:t>
      </w:r>
      <w:r>
        <w:t>.</w:t>
      </w:r>
    </w:p>
  </w:footnote>
  <w:footnote w:id="4">
    <w:p w:rsidR="009A0A47" w:rsidRPr="00AD2518" w:rsidRDefault="009A0A47" w:rsidP="00326AC1">
      <w:pPr>
        <w:pStyle w:val="FootnoteText"/>
        <w:spacing w:after="0"/>
        <w:rPr>
          <w:sz w:val="16"/>
          <w:szCs w:val="16"/>
        </w:rPr>
      </w:pPr>
      <w:r w:rsidRPr="00AD2518">
        <w:rPr>
          <w:rStyle w:val="FootnoteReference"/>
          <w:sz w:val="16"/>
          <w:szCs w:val="16"/>
        </w:rPr>
        <w:footnoteRef/>
      </w:r>
      <w:r w:rsidRPr="00AD2518">
        <w:rPr>
          <w:sz w:val="16"/>
          <w:szCs w:val="16"/>
        </w:rPr>
        <w:t xml:space="preserve"> As shown in: Department of the Environment, Water, Heritage and the Arts, </w:t>
      </w:r>
      <w:r w:rsidRPr="00AD2518">
        <w:rPr>
          <w:i/>
          <w:sz w:val="16"/>
          <w:szCs w:val="16"/>
        </w:rPr>
        <w:t>National Waste Report 2010</w:t>
      </w:r>
      <w:r w:rsidRPr="00AD2518">
        <w:rPr>
          <w:sz w:val="16"/>
          <w:szCs w:val="16"/>
        </w:rPr>
        <w:t>.</w:t>
      </w:r>
    </w:p>
  </w:footnote>
  <w:footnote w:id="5">
    <w:p w:rsidR="009A0A47" w:rsidRPr="00FA3E79" w:rsidRDefault="009A0A47" w:rsidP="00551734">
      <w:pPr>
        <w:pStyle w:val="ParaIndent"/>
        <w:spacing w:after="60" w:line="200" w:lineRule="atLeast"/>
        <w:rPr>
          <w:sz w:val="16"/>
          <w:szCs w:val="16"/>
        </w:rPr>
      </w:pPr>
      <w:r w:rsidRPr="00583AAD">
        <w:rPr>
          <w:sz w:val="16"/>
          <w:szCs w:val="16"/>
        </w:rPr>
        <w:footnoteRef/>
      </w:r>
      <w:r w:rsidRPr="00583AAD">
        <w:rPr>
          <w:sz w:val="16"/>
          <w:szCs w:val="16"/>
        </w:rPr>
        <w:t xml:space="preserve"> </w:t>
      </w:r>
      <w:r>
        <w:rPr>
          <w:sz w:val="16"/>
          <w:szCs w:val="16"/>
        </w:rPr>
        <w:t xml:space="preserve">Green Energy Markets for Energy Developments Ltd and LMS Generation Pty Ltd, </w:t>
      </w:r>
      <w:r w:rsidRPr="000B315F">
        <w:rPr>
          <w:i/>
          <w:sz w:val="16"/>
        </w:rPr>
        <w:t>Base-load renewable energy form organics – Innovation in Australia’s green electricity industry</w:t>
      </w:r>
      <w:r>
        <w:rPr>
          <w:sz w:val="16"/>
          <w:szCs w:val="16"/>
        </w:rPr>
        <w:t>, 2008.</w:t>
      </w:r>
    </w:p>
  </w:footnote>
  <w:footnote w:id="6">
    <w:p w:rsidR="009A0A47" w:rsidRPr="00583AAD" w:rsidRDefault="009A0A47" w:rsidP="00551734">
      <w:pPr>
        <w:pStyle w:val="ParaIndent"/>
        <w:spacing w:after="60" w:line="200" w:lineRule="atLeast"/>
        <w:rPr>
          <w:sz w:val="16"/>
          <w:szCs w:val="16"/>
        </w:rPr>
      </w:pPr>
      <w:r w:rsidRPr="00583AAD">
        <w:rPr>
          <w:sz w:val="16"/>
          <w:szCs w:val="16"/>
        </w:rPr>
        <w:footnoteRef/>
      </w:r>
      <w:r w:rsidRPr="00583AAD">
        <w:rPr>
          <w:sz w:val="16"/>
          <w:szCs w:val="16"/>
        </w:rPr>
        <w:t xml:space="preserve"> </w:t>
      </w:r>
      <w:r>
        <w:rPr>
          <w:sz w:val="16"/>
          <w:szCs w:val="16"/>
        </w:rPr>
        <w:t xml:space="preserve">Clean Energy Council, </w:t>
      </w:r>
      <w:r w:rsidRPr="000B315F">
        <w:rPr>
          <w:i/>
          <w:sz w:val="16"/>
        </w:rPr>
        <w:t>Power Plant Report</w:t>
      </w:r>
      <w:r>
        <w:rPr>
          <w:sz w:val="16"/>
          <w:szCs w:val="16"/>
        </w:rPr>
        <w:t xml:space="preserve"> &lt;</w:t>
      </w:r>
      <w:r w:rsidRPr="00583AAD">
        <w:rPr>
          <w:sz w:val="16"/>
          <w:szCs w:val="16"/>
        </w:rPr>
        <w:t>www.cl</w:t>
      </w:r>
      <w:r>
        <w:rPr>
          <w:sz w:val="16"/>
          <w:szCs w:val="16"/>
        </w:rPr>
        <w:t>eanenergyaustraliareport.com.au&gt;</w:t>
      </w:r>
      <w:r w:rsidRPr="00583AAD">
        <w:rPr>
          <w:sz w:val="16"/>
          <w:szCs w:val="16"/>
        </w:rPr>
        <w:t xml:space="preserve"> 31</w:t>
      </w:r>
      <w:r>
        <w:rPr>
          <w:sz w:val="16"/>
          <w:szCs w:val="16"/>
        </w:rPr>
        <w:t xml:space="preserve"> August </w:t>
      </w:r>
      <w:r w:rsidRPr="00583AAD">
        <w:rPr>
          <w:sz w:val="16"/>
          <w:szCs w:val="16"/>
        </w:rPr>
        <w:t>2010</w:t>
      </w:r>
      <w:r>
        <w:rPr>
          <w:sz w:val="16"/>
          <w:szCs w:val="16"/>
        </w:rPr>
        <w:t>.</w:t>
      </w:r>
    </w:p>
  </w:footnote>
  <w:footnote w:id="7">
    <w:p w:rsidR="009A0A47" w:rsidRPr="00FA3E79" w:rsidRDefault="009A0A47" w:rsidP="00551734">
      <w:pPr>
        <w:pStyle w:val="ParaIndent"/>
        <w:spacing w:after="60" w:line="200" w:lineRule="atLeast"/>
        <w:rPr>
          <w:sz w:val="16"/>
          <w:szCs w:val="16"/>
        </w:rPr>
      </w:pPr>
      <w:r w:rsidRPr="00583AAD">
        <w:rPr>
          <w:sz w:val="16"/>
          <w:szCs w:val="16"/>
        </w:rPr>
        <w:footnoteRef/>
      </w:r>
      <w:r w:rsidRPr="00583AAD">
        <w:rPr>
          <w:sz w:val="16"/>
          <w:szCs w:val="16"/>
        </w:rPr>
        <w:t xml:space="preserve"> </w:t>
      </w:r>
      <w:r w:rsidRPr="00F12C1E">
        <w:rPr>
          <w:sz w:val="16"/>
          <w:szCs w:val="16"/>
        </w:rPr>
        <w:t>Golder Associates</w:t>
      </w:r>
      <w:r>
        <w:rPr>
          <w:sz w:val="16"/>
          <w:szCs w:val="16"/>
        </w:rPr>
        <w:t xml:space="preserve"> for Veolia Environmental Services</w:t>
      </w:r>
      <w:r w:rsidRPr="00F12C1E">
        <w:rPr>
          <w:sz w:val="16"/>
          <w:szCs w:val="16"/>
        </w:rPr>
        <w:t xml:space="preserve">, </w:t>
      </w:r>
      <w:r w:rsidRPr="000B315F">
        <w:rPr>
          <w:i/>
          <w:sz w:val="16"/>
        </w:rPr>
        <w:t>Recycling organics for energy at Woodlawn bioreactor – Desk study</w:t>
      </w:r>
      <w:r w:rsidRPr="00F12C1E">
        <w:rPr>
          <w:sz w:val="16"/>
          <w:szCs w:val="16"/>
        </w:rPr>
        <w:t>, 1 May 2009.</w:t>
      </w:r>
      <w:r>
        <w:rPr>
          <w:sz w:val="16"/>
          <w:szCs w:val="16"/>
        </w:rPr>
        <w:t xml:space="preserve"> The ratio of CH</w:t>
      </w:r>
      <w:r w:rsidRPr="00B62828">
        <w:rPr>
          <w:sz w:val="16"/>
          <w:szCs w:val="16"/>
          <w:vertAlign w:val="subscript"/>
        </w:rPr>
        <w:t>4</w:t>
      </w:r>
      <w:r>
        <w:rPr>
          <w:sz w:val="16"/>
          <w:szCs w:val="16"/>
        </w:rPr>
        <w:t xml:space="preserve"> to CO</w:t>
      </w:r>
      <w:r w:rsidRPr="00B62828">
        <w:rPr>
          <w:sz w:val="16"/>
          <w:szCs w:val="16"/>
          <w:vertAlign w:val="subscript"/>
        </w:rPr>
        <w:t>2</w:t>
      </w:r>
      <w:r>
        <w:rPr>
          <w:sz w:val="16"/>
          <w:szCs w:val="16"/>
        </w:rPr>
        <w:t xml:space="preserve"> was assumed to be 1:1 for all landfill.</w:t>
      </w:r>
    </w:p>
  </w:footnote>
  <w:footnote w:id="8">
    <w:p w:rsidR="009A0A47" w:rsidRPr="00FA3E79" w:rsidRDefault="009A0A47" w:rsidP="00551734">
      <w:pPr>
        <w:pStyle w:val="ParaIndent"/>
        <w:spacing w:after="60" w:line="200" w:lineRule="atLeast"/>
        <w:rPr>
          <w:sz w:val="16"/>
          <w:szCs w:val="16"/>
        </w:rPr>
      </w:pPr>
      <w:r w:rsidRPr="00C52460">
        <w:rPr>
          <w:sz w:val="16"/>
          <w:szCs w:val="16"/>
        </w:rPr>
        <w:footnoteRef/>
      </w:r>
      <w:r w:rsidRPr="00C52460">
        <w:rPr>
          <w:sz w:val="16"/>
          <w:szCs w:val="16"/>
        </w:rPr>
        <w:t xml:space="preserve"> For the purposes of this report, it has also been assumed that methane and carbon dioxide are the only gases present in landfill</w:t>
      </w:r>
      <w:r>
        <w:rPr>
          <w:sz w:val="16"/>
          <w:szCs w:val="16"/>
        </w:rPr>
        <w:t xml:space="preserve"> gas. Typically</w:t>
      </w:r>
      <w:r w:rsidRPr="00C52460">
        <w:rPr>
          <w:sz w:val="16"/>
          <w:szCs w:val="16"/>
        </w:rPr>
        <w:t>, meth</w:t>
      </w:r>
      <w:r>
        <w:rPr>
          <w:sz w:val="16"/>
          <w:szCs w:val="16"/>
        </w:rPr>
        <w:t xml:space="preserve">ane and carbon dioxide </w:t>
      </w:r>
      <w:r w:rsidRPr="00C52460">
        <w:rPr>
          <w:sz w:val="16"/>
          <w:szCs w:val="16"/>
        </w:rPr>
        <w:t xml:space="preserve">account for </w:t>
      </w:r>
      <w:r>
        <w:rPr>
          <w:sz w:val="16"/>
          <w:szCs w:val="16"/>
        </w:rPr>
        <w:t>over 90% of the mass</w:t>
      </w:r>
      <w:r w:rsidRPr="00C52460">
        <w:rPr>
          <w:sz w:val="16"/>
          <w:szCs w:val="16"/>
        </w:rPr>
        <w:t xml:space="preserve"> of landfill gas.</w:t>
      </w:r>
    </w:p>
  </w:footnote>
  <w:footnote w:id="9">
    <w:p w:rsidR="009A0A47" w:rsidRPr="00FA3E79" w:rsidRDefault="009A0A47" w:rsidP="00B3640D">
      <w:pPr>
        <w:pStyle w:val="ParaIndent"/>
        <w:spacing w:after="60" w:line="200" w:lineRule="atLeast"/>
        <w:rPr>
          <w:sz w:val="16"/>
          <w:szCs w:val="16"/>
        </w:rPr>
      </w:pPr>
      <w:r w:rsidRPr="00242991">
        <w:rPr>
          <w:sz w:val="16"/>
          <w:szCs w:val="16"/>
        </w:rPr>
        <w:footnoteRef/>
      </w:r>
      <w:r w:rsidRPr="00242991">
        <w:rPr>
          <w:sz w:val="16"/>
          <w:szCs w:val="16"/>
        </w:rPr>
        <w:t xml:space="preserve"> </w:t>
      </w:r>
      <w:r w:rsidRPr="00B3640D">
        <w:rPr>
          <w:sz w:val="16"/>
          <w:szCs w:val="16"/>
        </w:rPr>
        <w:t xml:space="preserve">Recycled Organics Unit, </w:t>
      </w:r>
      <w:r w:rsidRPr="00B3640D">
        <w:rPr>
          <w:i/>
          <w:sz w:val="16"/>
          <w:szCs w:val="16"/>
        </w:rPr>
        <w:t>Organics Recycling in Australia: Industry Statistics 2009</w:t>
      </w:r>
      <w:r w:rsidRPr="00B3640D">
        <w:rPr>
          <w:sz w:val="16"/>
          <w:szCs w:val="16"/>
        </w:rPr>
        <w:t>, revised edition December 2009.</w:t>
      </w:r>
    </w:p>
  </w:footnote>
  <w:footnote w:id="10">
    <w:p w:rsidR="009A0A47" w:rsidRPr="009452FD" w:rsidRDefault="009A0A47" w:rsidP="00FE36D3">
      <w:pPr>
        <w:pStyle w:val="ParaIndent"/>
        <w:tabs>
          <w:tab w:val="left" w:pos="4045"/>
        </w:tabs>
        <w:spacing w:after="60" w:line="200" w:lineRule="atLeast"/>
        <w:rPr>
          <w:sz w:val="16"/>
          <w:szCs w:val="16"/>
        </w:rPr>
      </w:pPr>
      <w:r w:rsidRPr="009452FD">
        <w:rPr>
          <w:sz w:val="16"/>
          <w:szCs w:val="16"/>
        </w:rPr>
        <w:footnoteRef/>
      </w:r>
      <w:r w:rsidRPr="009452FD">
        <w:rPr>
          <w:sz w:val="16"/>
          <w:szCs w:val="16"/>
        </w:rPr>
        <w:t xml:space="preserve"> </w:t>
      </w:r>
      <w:r w:rsidRPr="00B3640D">
        <w:rPr>
          <w:sz w:val="16"/>
          <w:szCs w:val="16"/>
        </w:rPr>
        <w:t xml:space="preserve">Recycled Organics Unit, </w:t>
      </w:r>
      <w:r w:rsidRPr="00B3640D">
        <w:rPr>
          <w:i/>
          <w:sz w:val="16"/>
          <w:szCs w:val="16"/>
        </w:rPr>
        <w:t>Organics Recycling in Australia: Industry Statistics 2009</w:t>
      </w:r>
      <w:r w:rsidRPr="00B3640D">
        <w:rPr>
          <w:sz w:val="16"/>
          <w:szCs w:val="16"/>
        </w:rPr>
        <w:t>, revised edition December 2009.</w:t>
      </w:r>
    </w:p>
  </w:footnote>
  <w:footnote w:id="11">
    <w:p w:rsidR="009A0A47" w:rsidRDefault="009A0A47" w:rsidP="00ED3D18">
      <w:pPr>
        <w:pStyle w:val="ParaIndent"/>
        <w:spacing w:after="60" w:line="200" w:lineRule="atLeast"/>
      </w:pPr>
      <w:r w:rsidRPr="009452FD">
        <w:rPr>
          <w:sz w:val="16"/>
          <w:szCs w:val="16"/>
        </w:rPr>
        <w:footnoteRef/>
      </w:r>
      <w:r w:rsidRPr="009452FD">
        <w:rPr>
          <w:sz w:val="16"/>
          <w:szCs w:val="16"/>
        </w:rPr>
        <w:t xml:space="preserve"> </w:t>
      </w:r>
      <w:r w:rsidRPr="00B3640D">
        <w:rPr>
          <w:sz w:val="16"/>
          <w:szCs w:val="16"/>
        </w:rPr>
        <w:t xml:space="preserve">Recycled Organics Unit, </w:t>
      </w:r>
      <w:r w:rsidRPr="00B3640D">
        <w:rPr>
          <w:i/>
          <w:sz w:val="16"/>
          <w:szCs w:val="16"/>
        </w:rPr>
        <w:t>Organics Recycling in Australia: Industry Statistics 2009</w:t>
      </w:r>
      <w:r w:rsidRPr="00B3640D">
        <w:rPr>
          <w:sz w:val="16"/>
          <w:szCs w:val="16"/>
        </w:rPr>
        <w:t>, revised edition December 2009.</w:t>
      </w:r>
    </w:p>
  </w:footnote>
  <w:footnote w:id="12">
    <w:p w:rsidR="009A0A47" w:rsidRPr="00FA3E79" w:rsidRDefault="009A0A47" w:rsidP="00ED3D18">
      <w:pPr>
        <w:pStyle w:val="ParaIndent"/>
        <w:spacing w:after="60" w:line="200" w:lineRule="atLeast"/>
        <w:rPr>
          <w:sz w:val="16"/>
          <w:szCs w:val="16"/>
        </w:rPr>
      </w:pPr>
      <w:r w:rsidRPr="00242991">
        <w:rPr>
          <w:sz w:val="16"/>
          <w:szCs w:val="16"/>
        </w:rPr>
        <w:footnoteRef/>
      </w:r>
      <w:r w:rsidRPr="00242991">
        <w:rPr>
          <w:sz w:val="16"/>
          <w:szCs w:val="16"/>
        </w:rPr>
        <w:t xml:space="preserve"> Personal communication, Australian and New Zealand Biosolids Partnership, 20 January 2011</w:t>
      </w:r>
      <w:r>
        <w:rPr>
          <w:sz w:val="16"/>
          <w:szCs w:val="16"/>
        </w:rPr>
        <w:t>.</w:t>
      </w:r>
    </w:p>
  </w:footnote>
  <w:footnote w:id="13">
    <w:p w:rsidR="009A0A47" w:rsidRPr="009D027B" w:rsidRDefault="009A0A47" w:rsidP="00ED3D18">
      <w:pPr>
        <w:pStyle w:val="ParaIndent"/>
        <w:spacing w:after="60" w:line="200" w:lineRule="atLeast"/>
        <w:rPr>
          <w:sz w:val="16"/>
          <w:szCs w:val="16"/>
        </w:rPr>
      </w:pPr>
      <w:r w:rsidRPr="009452FD">
        <w:rPr>
          <w:sz w:val="16"/>
          <w:szCs w:val="16"/>
        </w:rPr>
        <w:footnoteRef/>
      </w:r>
      <w:r w:rsidRPr="009452FD">
        <w:rPr>
          <w:sz w:val="16"/>
          <w:szCs w:val="16"/>
        </w:rPr>
        <w:t xml:space="preserve"> </w:t>
      </w:r>
      <w:r w:rsidRPr="009D027B">
        <w:rPr>
          <w:sz w:val="16"/>
          <w:szCs w:val="16"/>
        </w:rPr>
        <w:t xml:space="preserve">Recycled Organics Unit, </w:t>
      </w:r>
      <w:r w:rsidRPr="00DE77C4">
        <w:rPr>
          <w:i/>
          <w:sz w:val="16"/>
          <w:szCs w:val="16"/>
        </w:rPr>
        <w:t>Organics Recycling in Australia: Industry Statistics 2009</w:t>
      </w:r>
      <w:r w:rsidRPr="009D027B">
        <w:rPr>
          <w:sz w:val="16"/>
          <w:szCs w:val="16"/>
        </w:rPr>
        <w:t>, revised edition December 2009.</w:t>
      </w:r>
    </w:p>
  </w:footnote>
  <w:footnote w:id="14">
    <w:p w:rsidR="009A0A47" w:rsidRDefault="009A0A47">
      <w:pPr>
        <w:pStyle w:val="FootnoteText"/>
      </w:pPr>
      <w:r>
        <w:rPr>
          <w:rStyle w:val="FootnoteReference"/>
        </w:rPr>
        <w:footnoteRef/>
      </w:r>
      <w:r>
        <w:t xml:space="preserve"> </w:t>
      </w:r>
      <w:r w:rsidRPr="009D027B">
        <w:rPr>
          <w:sz w:val="16"/>
          <w:szCs w:val="16"/>
        </w:rPr>
        <w:t>Recycled Organics Unit, Organics Recycling in Australia: Industry Statistics 2009, revised edition December 2009.</w:t>
      </w:r>
    </w:p>
  </w:footnote>
  <w:footnote w:id="15">
    <w:p w:rsidR="009A0A47" w:rsidRDefault="009A0A47">
      <w:pPr>
        <w:pStyle w:val="FootnoteText"/>
      </w:pPr>
      <w:r>
        <w:rPr>
          <w:rStyle w:val="FootnoteReference"/>
        </w:rPr>
        <w:footnoteRef/>
      </w:r>
      <w:r>
        <w:t xml:space="preserve"> </w:t>
      </w:r>
      <w:r w:rsidRPr="00941310">
        <w:rPr>
          <w:i/>
        </w:rPr>
        <w:t>Australian National Accounts: State Accounts 2008-09</w:t>
      </w:r>
      <w:r w:rsidRPr="00941310">
        <w:t xml:space="preserve"> (</w:t>
      </w:r>
      <w:r>
        <w:t xml:space="preserve">ABS </w:t>
      </w:r>
      <w:r w:rsidRPr="00941310">
        <w:t>Cat. no. 5220.0)</w:t>
      </w:r>
      <w:r>
        <w:t>.</w:t>
      </w:r>
    </w:p>
  </w:footnote>
  <w:footnote w:id="16">
    <w:p w:rsidR="009A0A47" w:rsidRPr="003C7834" w:rsidRDefault="009A0A47" w:rsidP="00E03E4B">
      <w:pPr>
        <w:pStyle w:val="FootnoteText"/>
        <w:spacing w:line="240" w:lineRule="auto"/>
        <w:ind w:left="0"/>
        <w:rPr>
          <w:sz w:val="16"/>
          <w:szCs w:val="16"/>
          <w:lang w:val="en-US"/>
        </w:rPr>
      </w:pPr>
      <w:r w:rsidRPr="003C7834">
        <w:rPr>
          <w:rStyle w:val="FootnoteReference"/>
          <w:sz w:val="16"/>
          <w:szCs w:val="16"/>
        </w:rPr>
        <w:footnoteRef/>
      </w:r>
      <w:r w:rsidRPr="003C7834">
        <w:rPr>
          <w:sz w:val="16"/>
          <w:szCs w:val="16"/>
        </w:rPr>
        <w:t xml:space="preserve"> Tasmania was the only jurisdiction to report quarantine wastes (from ships), most of which are generated by the Australian Antarctic Division. Quarantine wastes from ships and from airports in other jurisdictions are assumed to be counted amongst other hazardous or non-hazardous wastes</w:t>
      </w:r>
    </w:p>
  </w:footnote>
  <w:footnote w:id="17">
    <w:p w:rsidR="009A0A47" w:rsidRPr="00FA3E79" w:rsidRDefault="009A0A47" w:rsidP="00D14763">
      <w:pPr>
        <w:pStyle w:val="ParaIndent"/>
        <w:spacing w:after="60" w:line="200" w:lineRule="atLeast"/>
        <w:rPr>
          <w:sz w:val="16"/>
          <w:szCs w:val="16"/>
        </w:rPr>
      </w:pPr>
      <w:r w:rsidRPr="00654F03">
        <w:rPr>
          <w:sz w:val="16"/>
          <w:szCs w:val="16"/>
        </w:rPr>
        <w:footnoteRef/>
      </w:r>
      <w:r w:rsidRPr="00654F03">
        <w:rPr>
          <w:sz w:val="16"/>
          <w:szCs w:val="16"/>
        </w:rPr>
        <w:t xml:space="preserve"> Department of Environment and Conservation Western Australia, </w:t>
      </w:r>
      <w:r w:rsidRPr="000B7CA4">
        <w:rPr>
          <w:i/>
          <w:sz w:val="16"/>
          <w:szCs w:val="16"/>
        </w:rPr>
        <w:t>Zero Waste Plan Development Scheme</w:t>
      </w:r>
      <w:r>
        <w:rPr>
          <w:sz w:val="16"/>
          <w:szCs w:val="16"/>
        </w:rPr>
        <w:t>, phase 1 report 2007–08</w:t>
      </w:r>
      <w:r w:rsidRPr="00654F03">
        <w:rPr>
          <w:sz w:val="16"/>
          <w:szCs w:val="16"/>
        </w:rPr>
        <w:t>.</w:t>
      </w:r>
    </w:p>
  </w:footnote>
  <w:footnote w:id="18">
    <w:p w:rsidR="009A0A47" w:rsidRPr="00654F03" w:rsidRDefault="009A0A47" w:rsidP="00D14763">
      <w:pPr>
        <w:pStyle w:val="ParaIndent"/>
        <w:spacing w:after="60" w:line="200" w:lineRule="atLeast"/>
        <w:rPr>
          <w:sz w:val="16"/>
          <w:szCs w:val="16"/>
        </w:rPr>
      </w:pPr>
      <w:r w:rsidRPr="00654F03">
        <w:rPr>
          <w:sz w:val="16"/>
          <w:szCs w:val="16"/>
        </w:rPr>
        <w:footnoteRef/>
      </w:r>
      <w:r w:rsidRPr="00654F03">
        <w:rPr>
          <w:sz w:val="16"/>
          <w:szCs w:val="16"/>
        </w:rPr>
        <w:t xml:space="preserve"> Ibid.</w:t>
      </w:r>
    </w:p>
  </w:footnote>
  <w:footnote w:id="19">
    <w:p w:rsidR="009A0A47" w:rsidRPr="00654F03" w:rsidRDefault="009A0A47" w:rsidP="00D14763">
      <w:pPr>
        <w:pStyle w:val="ParaIndent"/>
        <w:spacing w:after="60" w:line="200" w:lineRule="atLeast"/>
        <w:rPr>
          <w:i/>
        </w:rPr>
      </w:pPr>
      <w:r w:rsidRPr="00654F03">
        <w:rPr>
          <w:sz w:val="16"/>
          <w:szCs w:val="16"/>
        </w:rPr>
        <w:footnoteRef/>
      </w:r>
      <w:r w:rsidRPr="00654F03">
        <w:rPr>
          <w:sz w:val="16"/>
          <w:szCs w:val="16"/>
        </w:rPr>
        <w:t xml:space="preserve"> Zero Waste South Australia, </w:t>
      </w:r>
      <w:r w:rsidRPr="000B7CA4">
        <w:rPr>
          <w:i/>
          <w:sz w:val="16"/>
          <w:szCs w:val="16"/>
        </w:rPr>
        <w:t>Background paper to South Australia’s waste strategy 2005–10</w:t>
      </w:r>
      <w:r w:rsidRPr="00654F03">
        <w:rPr>
          <w:sz w:val="16"/>
          <w:szCs w:val="16"/>
        </w:rPr>
        <w:t>.</w:t>
      </w:r>
    </w:p>
  </w:footnote>
  <w:footnote w:id="20">
    <w:p w:rsidR="009A0A47" w:rsidRDefault="009A0A47" w:rsidP="00D14763">
      <w:pPr>
        <w:pStyle w:val="ParaIndent"/>
        <w:spacing w:after="60" w:line="200" w:lineRule="atLeast"/>
        <w:rPr>
          <w:sz w:val="16"/>
          <w:szCs w:val="16"/>
        </w:rPr>
      </w:pPr>
      <w:r w:rsidRPr="00925CAB">
        <w:rPr>
          <w:sz w:val="16"/>
          <w:szCs w:val="16"/>
        </w:rPr>
        <w:footnoteRef/>
      </w:r>
      <w:r w:rsidRPr="00EC2619">
        <w:rPr>
          <w:sz w:val="16"/>
          <w:szCs w:val="16"/>
        </w:rPr>
        <w:t xml:space="preserve"> </w:t>
      </w:r>
      <w:r w:rsidRPr="0062057B">
        <w:rPr>
          <w:sz w:val="16"/>
          <w:szCs w:val="16"/>
        </w:rPr>
        <w:t xml:space="preserve">Kjeldsen, Peter, Morton Barlaz, Alix Rooker, Anders Baun, Anna Ledin, and Thomas Christensen (2002) </w:t>
      </w:r>
      <w:r w:rsidRPr="000B7CA4">
        <w:rPr>
          <w:i/>
          <w:sz w:val="16"/>
          <w:szCs w:val="16"/>
        </w:rPr>
        <w:t>Present and long-term composition of MSW landfill leachate: a review</w:t>
      </w:r>
      <w:r w:rsidRPr="0062057B">
        <w:rPr>
          <w:sz w:val="16"/>
          <w:szCs w:val="16"/>
        </w:rPr>
        <w:t>, Critical reviews in Science and Technology 32: 397-336.</w:t>
      </w:r>
    </w:p>
  </w:footnote>
  <w:footnote w:id="21">
    <w:p w:rsidR="009A0A47" w:rsidRDefault="009A0A47">
      <w:pPr>
        <w:pStyle w:val="FootnoteText"/>
      </w:pPr>
      <w:r>
        <w:rPr>
          <w:rStyle w:val="FootnoteReference"/>
        </w:rPr>
        <w:footnoteRef/>
      </w:r>
      <w:r>
        <w:t xml:space="preserve"> Department of Climate Change and Energy Efficiency </w:t>
      </w:r>
      <w:r w:rsidRPr="00361664">
        <w:rPr>
          <w:i/>
        </w:rPr>
        <w:t>National Greenhouse Accounts Factors</w:t>
      </w:r>
      <w:r>
        <w:t>, July 2011</w:t>
      </w:r>
    </w:p>
  </w:footnote>
  <w:footnote w:id="22">
    <w:p w:rsidR="009A0A47" w:rsidRDefault="009A0A47" w:rsidP="00A302F2">
      <w:pPr>
        <w:pStyle w:val="ParaIndent"/>
        <w:spacing w:after="60" w:line="200" w:lineRule="atLeast"/>
        <w:rPr>
          <w:sz w:val="16"/>
          <w:szCs w:val="16"/>
        </w:rPr>
      </w:pPr>
      <w:r w:rsidRPr="00EC2619">
        <w:rPr>
          <w:sz w:val="16"/>
          <w:szCs w:val="16"/>
        </w:rPr>
        <w:footnoteRef/>
      </w:r>
      <w:r w:rsidRPr="00EC2619">
        <w:rPr>
          <w:sz w:val="16"/>
          <w:szCs w:val="16"/>
        </w:rPr>
        <w:t xml:space="preserve"> </w:t>
      </w:r>
      <w:r w:rsidRPr="00FA3E79">
        <w:rPr>
          <w:sz w:val="16"/>
          <w:szCs w:val="16"/>
        </w:rPr>
        <w:t xml:space="preserve">Forster P, Ramaswamy V, Artaxo P, Berntsen T, Betts R, Fahey DW, Haywood J, Lean J, Lowe DC, Myhre G, Nganga J, Prinn R, Raga G, Schulz M and Van Dorland R (2007) </w:t>
      </w:r>
      <w:r w:rsidRPr="00BF1B1C">
        <w:rPr>
          <w:i/>
          <w:sz w:val="16"/>
          <w:szCs w:val="16"/>
        </w:rPr>
        <w:t>Changes in Atmospheric Constituents and in Radiative Forcing</w:t>
      </w:r>
      <w:r w:rsidRPr="00FA3E79">
        <w:rPr>
          <w:sz w:val="16"/>
          <w:szCs w:val="16"/>
        </w:rPr>
        <w:t xml:space="preserve">. In: </w:t>
      </w:r>
      <w:r w:rsidRPr="00EC2619">
        <w:rPr>
          <w:sz w:val="16"/>
          <w:szCs w:val="16"/>
        </w:rPr>
        <w:t>Climate Change 2007: The Physical Science Basis. Contribution of Working Group I to the Fourth Assessment Report of the Intergovernmental Panel on Climate Change</w:t>
      </w:r>
      <w:r w:rsidRPr="00FA3E79">
        <w:rPr>
          <w:sz w:val="16"/>
          <w:szCs w:val="16"/>
        </w:rPr>
        <w:t xml:space="preserve"> [Solomon, S., D. Qin, M. Manning, Z. Chen, M. Marquis, K.B. Averyt, M.Tignor and H.L. Miller (eds.)]. Cambridge University Press, Cambridge, United Kingdom and New York, NY, USA, </w:t>
      </w:r>
      <w:hyperlink r:id="rId1" w:history="1">
        <w:r>
          <w:rPr>
            <w:sz w:val="16"/>
            <w:szCs w:val="16"/>
          </w:rPr>
          <w:t>&lt;</w:t>
        </w:r>
        <w:r w:rsidRPr="00925CAB">
          <w:rPr>
            <w:sz w:val="16"/>
            <w:szCs w:val="16"/>
          </w:rPr>
          <w:t>ipcc-wg1.ucar.edu/wg1/Report/AR4WG1_Print_Ch02.pdf</w:t>
        </w:r>
      </w:hyperlink>
      <w:r>
        <w:rPr>
          <w:sz w:val="16"/>
          <w:szCs w:val="16"/>
        </w:rPr>
        <w:t>&gt;</w:t>
      </w:r>
    </w:p>
  </w:footnote>
  <w:footnote w:id="23">
    <w:p w:rsidR="009A0A47" w:rsidRDefault="009A0A47" w:rsidP="00D14763">
      <w:pPr>
        <w:pStyle w:val="ParaIndent"/>
        <w:spacing w:after="60" w:line="200" w:lineRule="atLeast"/>
        <w:rPr>
          <w:sz w:val="16"/>
          <w:szCs w:val="16"/>
        </w:rPr>
      </w:pPr>
      <w:r w:rsidRPr="00EC2619">
        <w:rPr>
          <w:sz w:val="16"/>
          <w:szCs w:val="16"/>
        </w:rPr>
        <w:footnoteRef/>
      </w:r>
      <w:r w:rsidRPr="00EC2619">
        <w:rPr>
          <w:sz w:val="16"/>
          <w:szCs w:val="16"/>
        </w:rPr>
        <w:t xml:space="preserve"> </w:t>
      </w:r>
      <w:r w:rsidRPr="00FA3E79">
        <w:rPr>
          <w:sz w:val="16"/>
          <w:szCs w:val="16"/>
        </w:rPr>
        <w:t>Hansen J and Sato M (2007</w:t>
      </w:r>
      <w:r w:rsidRPr="00BF1B1C">
        <w:rPr>
          <w:i/>
          <w:sz w:val="16"/>
          <w:szCs w:val="16"/>
        </w:rPr>
        <w:t>) Global Warming: East-West Connections</w:t>
      </w:r>
      <w:r w:rsidRPr="00FA3E79">
        <w:rPr>
          <w:sz w:val="16"/>
          <w:szCs w:val="16"/>
        </w:rPr>
        <w:t>. NASA Goddard Institute for Space Studies and Colu</w:t>
      </w:r>
      <w:r>
        <w:rPr>
          <w:sz w:val="16"/>
          <w:szCs w:val="16"/>
        </w:rPr>
        <w:t>mbia University Earth Institute</w:t>
      </w:r>
      <w:r w:rsidRPr="00FA3E79">
        <w:rPr>
          <w:sz w:val="16"/>
          <w:szCs w:val="16"/>
        </w:rPr>
        <w:t xml:space="preserve"> </w:t>
      </w:r>
      <w:r>
        <w:rPr>
          <w:sz w:val="16"/>
          <w:szCs w:val="16"/>
        </w:rPr>
        <w:t>&lt;</w:t>
      </w:r>
      <w:r w:rsidRPr="00925CAB">
        <w:rPr>
          <w:sz w:val="16"/>
          <w:szCs w:val="16"/>
        </w:rPr>
        <w:t>www.columbia.edu/~jeh1/East-West_070925.pdf</w:t>
      </w:r>
      <w:r>
        <w:rPr>
          <w:sz w:val="16"/>
          <w:szCs w:val="16"/>
        </w:rPr>
        <w:t>&gt;</w:t>
      </w:r>
    </w:p>
  </w:footnote>
  <w:footnote w:id="24">
    <w:p w:rsidR="009A0A47" w:rsidRDefault="009A0A47" w:rsidP="00925CAB">
      <w:pPr>
        <w:pStyle w:val="ParaIndent"/>
        <w:spacing w:after="60" w:line="200" w:lineRule="atLeast"/>
      </w:pPr>
      <w:r w:rsidRPr="00925CAB">
        <w:rPr>
          <w:sz w:val="16"/>
          <w:szCs w:val="16"/>
        </w:rPr>
        <w:footnoteRef/>
      </w:r>
      <w:r w:rsidRPr="00925CAB">
        <w:rPr>
          <w:sz w:val="16"/>
          <w:szCs w:val="16"/>
        </w:rPr>
        <w:t xml:space="preserve"> Prof. Geoff Hammond and Craig Jones, University of Bath, Inventory of Carbon and Energy, Version 1.6a,</w:t>
      </w:r>
      <w:r>
        <w:rPr>
          <w:sz w:val="16"/>
          <w:szCs w:val="16"/>
        </w:rPr>
        <w:t xml:space="preserve"> </w:t>
      </w:r>
      <w:r w:rsidRPr="00925CAB">
        <w:rPr>
          <w:sz w:val="16"/>
          <w:szCs w:val="16"/>
        </w:rPr>
        <w:t>2008</w:t>
      </w:r>
    </w:p>
  </w:footnote>
  <w:footnote w:id="25">
    <w:p w:rsidR="009A0A47" w:rsidRPr="00405416" w:rsidRDefault="009A0A47" w:rsidP="00D14763">
      <w:pPr>
        <w:pStyle w:val="ParaIndent"/>
        <w:spacing w:after="60" w:line="200" w:lineRule="atLeast"/>
        <w:rPr>
          <w:sz w:val="16"/>
          <w:szCs w:val="16"/>
        </w:rPr>
      </w:pPr>
      <w:r w:rsidRPr="00405416">
        <w:rPr>
          <w:sz w:val="16"/>
          <w:szCs w:val="16"/>
        </w:rPr>
        <w:footnoteRef/>
      </w:r>
      <w:r>
        <w:rPr>
          <w:sz w:val="16"/>
          <w:szCs w:val="16"/>
        </w:rPr>
        <w:t xml:space="preserve"> 0.16</w:t>
      </w:r>
      <w:r w:rsidRPr="00405416">
        <w:rPr>
          <w:sz w:val="16"/>
          <w:szCs w:val="16"/>
        </w:rPr>
        <w:t xml:space="preserve"> is the average of all masonry material types</w:t>
      </w:r>
      <w:r>
        <w:rPr>
          <w:sz w:val="16"/>
          <w:szCs w:val="16"/>
        </w:rPr>
        <w:t>.</w:t>
      </w:r>
    </w:p>
  </w:footnote>
  <w:footnote w:id="26">
    <w:p w:rsidR="009A0A47" w:rsidRPr="00B50C8B" w:rsidRDefault="009A0A47" w:rsidP="00D14763">
      <w:pPr>
        <w:pStyle w:val="ParaIndent"/>
        <w:spacing w:after="60" w:line="200" w:lineRule="atLeast"/>
      </w:pPr>
      <w:r w:rsidRPr="00405416">
        <w:rPr>
          <w:sz w:val="16"/>
          <w:szCs w:val="16"/>
        </w:rPr>
        <w:footnoteRef/>
      </w:r>
      <w:r>
        <w:rPr>
          <w:sz w:val="16"/>
          <w:szCs w:val="16"/>
        </w:rPr>
        <w:t xml:space="preserve"> 2.09</w:t>
      </w:r>
      <w:r w:rsidRPr="00405416">
        <w:rPr>
          <w:sz w:val="16"/>
          <w:szCs w:val="16"/>
        </w:rPr>
        <w:t xml:space="preserve"> is the weighted average of ferrous and non ferrous EE ratios and assumes a </w:t>
      </w:r>
      <w:r>
        <w:rPr>
          <w:sz w:val="16"/>
          <w:szCs w:val="16"/>
        </w:rPr>
        <w:t xml:space="preserve">that metals disposed of to landfill are </w:t>
      </w:r>
      <w:r w:rsidRPr="00405416">
        <w:rPr>
          <w:sz w:val="16"/>
          <w:szCs w:val="16"/>
        </w:rPr>
        <w:t xml:space="preserve">95% </w:t>
      </w:r>
      <w:r>
        <w:rPr>
          <w:sz w:val="16"/>
          <w:szCs w:val="16"/>
        </w:rPr>
        <w:t>f</w:t>
      </w:r>
      <w:r w:rsidRPr="00405416">
        <w:rPr>
          <w:sz w:val="16"/>
          <w:szCs w:val="16"/>
        </w:rPr>
        <w:t>errous and 5%</w:t>
      </w:r>
      <w:r>
        <w:rPr>
          <w:sz w:val="16"/>
          <w:szCs w:val="16"/>
        </w:rPr>
        <w:t xml:space="preserve"> n</w:t>
      </w:r>
      <w:r w:rsidRPr="00405416">
        <w:rPr>
          <w:sz w:val="16"/>
          <w:szCs w:val="16"/>
        </w:rPr>
        <w:t xml:space="preserve">on-ferrous </w:t>
      </w:r>
      <w:r>
        <w:rPr>
          <w:sz w:val="16"/>
          <w:szCs w:val="16"/>
        </w:rPr>
        <w:t>by weight.</w:t>
      </w:r>
    </w:p>
  </w:footnote>
  <w:footnote w:id="27">
    <w:p w:rsidR="009A0A47" w:rsidRDefault="009A0A47" w:rsidP="004D16C7">
      <w:pPr>
        <w:pStyle w:val="ParaIndent"/>
        <w:spacing w:after="60" w:line="200" w:lineRule="atLeast"/>
      </w:pPr>
      <w:r w:rsidRPr="003F29D2">
        <w:rPr>
          <w:sz w:val="16"/>
          <w:szCs w:val="16"/>
        </w:rPr>
        <w:footnoteRef/>
      </w:r>
      <w:r w:rsidRPr="003F29D2">
        <w:rPr>
          <w:sz w:val="16"/>
          <w:szCs w:val="16"/>
        </w:rPr>
        <w:t xml:space="preserve"> </w:t>
      </w:r>
      <w:r w:rsidRPr="00925CAB">
        <w:rPr>
          <w:sz w:val="16"/>
          <w:szCs w:val="16"/>
        </w:rPr>
        <w:t xml:space="preserve">Hyder Consulting for the Department of Sustainability, Environment, Water, Population and Communities, </w:t>
      </w:r>
      <w:r w:rsidRPr="00D87D59">
        <w:rPr>
          <w:i/>
          <w:sz w:val="16"/>
          <w:szCs w:val="16"/>
        </w:rPr>
        <w:t>Landfill Ban Investigation</w:t>
      </w:r>
      <w:r>
        <w:rPr>
          <w:sz w:val="16"/>
          <w:szCs w:val="16"/>
        </w:rPr>
        <w:t>, 16 November 2010.</w:t>
      </w:r>
    </w:p>
  </w:footnote>
  <w:footnote w:id="28">
    <w:p w:rsidR="009A0A47" w:rsidRPr="00925CAB" w:rsidRDefault="009A0A47" w:rsidP="00C11CFC">
      <w:pPr>
        <w:pStyle w:val="ParaIndent"/>
        <w:spacing w:after="60" w:line="200" w:lineRule="atLeast"/>
      </w:pPr>
      <w:r w:rsidRPr="00925CAB">
        <w:rPr>
          <w:sz w:val="16"/>
          <w:szCs w:val="16"/>
        </w:rPr>
        <w:footnoteRef/>
      </w:r>
      <w:r w:rsidRPr="00925CAB">
        <w:rPr>
          <w:sz w:val="16"/>
          <w:szCs w:val="16"/>
        </w:rPr>
        <w:t xml:space="preserve"> Organisation for Economic Co-operation and Development (OECD), </w:t>
      </w:r>
      <w:r w:rsidRPr="00C3560C">
        <w:rPr>
          <w:i/>
          <w:sz w:val="16"/>
          <w:szCs w:val="16"/>
        </w:rPr>
        <w:t>Improving the Environment through Reducing Subsidies</w:t>
      </w:r>
      <w:r w:rsidRPr="00925CAB">
        <w:rPr>
          <w:sz w:val="16"/>
          <w:szCs w:val="16"/>
        </w:rPr>
        <w:t>, 22 April 1998.</w:t>
      </w:r>
    </w:p>
  </w:footnote>
  <w:footnote w:id="29">
    <w:p w:rsidR="009A0A47" w:rsidRPr="00925CAB" w:rsidRDefault="009A0A47" w:rsidP="00A37A21">
      <w:pPr>
        <w:pStyle w:val="ParaIndent"/>
        <w:spacing w:after="60" w:line="200" w:lineRule="atLeast"/>
      </w:pPr>
      <w:r w:rsidRPr="00925CAB">
        <w:rPr>
          <w:sz w:val="16"/>
          <w:szCs w:val="16"/>
        </w:rPr>
        <w:footnoteRef/>
      </w:r>
      <w:r w:rsidRPr="00925CAB">
        <w:rPr>
          <w:sz w:val="16"/>
          <w:szCs w:val="16"/>
        </w:rPr>
        <w:t xml:space="preserve"> The Australia Institute, </w:t>
      </w:r>
      <w:r w:rsidRPr="003473CB">
        <w:rPr>
          <w:i/>
          <w:sz w:val="16"/>
          <w:szCs w:val="16"/>
        </w:rPr>
        <w:t>Wasteful Consumption in Australia</w:t>
      </w:r>
      <w:r w:rsidRPr="00925CAB">
        <w:rPr>
          <w:sz w:val="16"/>
          <w:szCs w:val="16"/>
        </w:rPr>
        <w:t>, March 2005.</w:t>
      </w:r>
    </w:p>
  </w:footnote>
  <w:footnote w:id="30">
    <w:p w:rsidR="009A0A47" w:rsidRPr="00AD2518" w:rsidRDefault="009A0A47" w:rsidP="00D033D3">
      <w:pPr>
        <w:pStyle w:val="FootnoteText"/>
        <w:spacing w:after="0"/>
        <w:rPr>
          <w:sz w:val="16"/>
          <w:szCs w:val="16"/>
        </w:rPr>
      </w:pPr>
      <w:r w:rsidRPr="00AD2518">
        <w:rPr>
          <w:rStyle w:val="FootnoteReference"/>
          <w:sz w:val="16"/>
          <w:szCs w:val="16"/>
        </w:rPr>
        <w:footnoteRef/>
      </w:r>
      <w:r w:rsidRPr="00AD2518">
        <w:rPr>
          <w:sz w:val="16"/>
          <w:szCs w:val="16"/>
        </w:rPr>
        <w:t xml:space="preserve"> As shown in: Department of the Environment, Water, Heritage and the Arts, </w:t>
      </w:r>
      <w:r w:rsidRPr="00AD2518">
        <w:rPr>
          <w:i/>
          <w:sz w:val="16"/>
          <w:szCs w:val="16"/>
        </w:rPr>
        <w:t>National Waste Report 2010</w:t>
      </w:r>
      <w:r w:rsidRPr="00AD2518">
        <w:rPr>
          <w:sz w:val="16"/>
          <w:szCs w:val="16"/>
        </w:rPr>
        <w:t>.</w:t>
      </w:r>
    </w:p>
  </w:footnote>
  <w:footnote w:id="31">
    <w:p w:rsidR="009A0A47" w:rsidRPr="00F80DEB" w:rsidRDefault="009A0A47" w:rsidP="00D033D3">
      <w:pPr>
        <w:pStyle w:val="FootnoteText"/>
        <w:spacing w:after="0"/>
        <w:rPr>
          <w:sz w:val="16"/>
          <w:szCs w:val="16"/>
          <w:vertAlign w:val="superscript"/>
        </w:rPr>
      </w:pPr>
      <w:r w:rsidRPr="009F6E86">
        <w:rPr>
          <w:rStyle w:val="FootnoteReference"/>
          <w:sz w:val="16"/>
          <w:szCs w:val="16"/>
        </w:rPr>
        <w:footnoteRef/>
      </w:r>
      <w:r w:rsidRPr="009F6E86">
        <w:rPr>
          <w:rStyle w:val="FootnoteReference"/>
          <w:sz w:val="16"/>
          <w:szCs w:val="16"/>
        </w:rPr>
        <w:t xml:space="preserve"> </w:t>
      </w:r>
      <w:r>
        <w:rPr>
          <w:sz w:val="16"/>
          <w:szCs w:val="16"/>
        </w:rPr>
        <w:t xml:space="preserve">As is noted </w:t>
      </w:r>
      <w:r w:rsidRPr="00F80DEB">
        <w:rPr>
          <w:sz w:val="16"/>
          <w:szCs w:val="16"/>
        </w:rPr>
        <w:t>in</w:t>
      </w:r>
      <w:r>
        <w:rPr>
          <w:sz w:val="16"/>
          <w:szCs w:val="16"/>
        </w:rPr>
        <w:t xml:space="preserve"> section </w:t>
      </w:r>
      <w:r w:rsidRPr="00D10B69">
        <w:rPr>
          <w:sz w:val="16"/>
          <w:szCs w:val="16"/>
        </w:rPr>
        <w:t>an increase in the inefficiencies of consumption can also lead to an increase in recycling</w:t>
      </w:r>
      <w:r w:rsidRPr="005605D9">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A47" w:rsidRDefault="009A0A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A47" w:rsidRDefault="009A0A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A47" w:rsidRDefault="00B9555F">
    <w:pPr>
      <w:pStyle w:val="Heade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49" type="#_x0000_t172" style="position:absolute;left:0;text-align:left;margin-left:170.1pt;margin-top:226.8pt;width:273.75pt;height:418.4pt;z-index:251659264;mso-position-horizontal-relative:page;mso-position-vertical-relative:page" o:allowincell="f" fillcolor="silver" stroked="f">
          <v:fill opacity=".5"/>
          <v:shadow color="#868686"/>
          <v:textpath style="font-family:&quot;Arial Narrow&quot;;font-size:80pt;font-weight:bold;v-text-align:stretch-justify;v-text-kern:t" trim="t" fitpath="t" string="DRAFT"/>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A47" w:rsidRDefault="009A0A4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A47" w:rsidRDefault="009A0A4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A47" w:rsidRDefault="009A0A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A2E2B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99A69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9803B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E6A6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E5E469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83AAB5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812D5D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3C17E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7A8F556"/>
    <w:lvl w:ilvl="0">
      <w:start w:val="1"/>
      <w:numFmt w:val="decimal"/>
      <w:pStyle w:val="ListNumber"/>
      <w:lvlText w:val="%1."/>
      <w:lvlJc w:val="left"/>
      <w:pPr>
        <w:tabs>
          <w:tab w:val="num" w:pos="360"/>
        </w:tabs>
        <w:ind w:left="360" w:hanging="360"/>
      </w:pPr>
    </w:lvl>
  </w:abstractNum>
  <w:abstractNum w:abstractNumId="9">
    <w:nsid w:val="FFFFFF89"/>
    <w:multiLevelType w:val="singleLevel"/>
    <w:tmpl w:val="089ED58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69715B"/>
    <w:multiLevelType w:val="hybridMultilevel"/>
    <w:tmpl w:val="0892162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06BF057E"/>
    <w:multiLevelType w:val="hybridMultilevel"/>
    <w:tmpl w:val="DA9E581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09EC5E40"/>
    <w:multiLevelType w:val="hybridMultilevel"/>
    <w:tmpl w:val="28967EE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0C792BE2"/>
    <w:multiLevelType w:val="hybridMultilevel"/>
    <w:tmpl w:val="4E4C23C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0D5B7C2D"/>
    <w:multiLevelType w:val="hybridMultilevel"/>
    <w:tmpl w:val="12360CF8"/>
    <w:lvl w:ilvl="0" w:tplc="426C8216">
      <w:start w:val="1"/>
      <w:numFmt w:val="bullet"/>
      <w:pStyle w:val="TablePointsBullets"/>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F23047"/>
    <w:multiLevelType w:val="hybridMultilevel"/>
    <w:tmpl w:val="A142FB04"/>
    <w:lvl w:ilvl="0" w:tplc="0C090005">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21731BF"/>
    <w:multiLevelType w:val="singleLevel"/>
    <w:tmpl w:val="9C5C17E8"/>
    <w:lvl w:ilvl="0">
      <w:start w:val="1"/>
      <w:numFmt w:val="bullet"/>
      <w:pStyle w:val="BulletPoints"/>
      <w:lvlText w:val=""/>
      <w:lvlJc w:val="left"/>
      <w:pPr>
        <w:tabs>
          <w:tab w:val="num" w:pos="567"/>
        </w:tabs>
        <w:ind w:left="567" w:hanging="567"/>
      </w:pPr>
      <w:rPr>
        <w:rFonts w:ascii="Wingdings" w:hAnsi="Wingdings" w:hint="default"/>
      </w:rPr>
    </w:lvl>
  </w:abstractNum>
  <w:abstractNum w:abstractNumId="17">
    <w:nsid w:val="16003ADD"/>
    <w:multiLevelType w:val="hybridMultilevel"/>
    <w:tmpl w:val="0156C2E4"/>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8">
    <w:nsid w:val="16E86856"/>
    <w:multiLevelType w:val="hybridMultilevel"/>
    <w:tmpl w:val="CB9A647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nsid w:val="1D155310"/>
    <w:multiLevelType w:val="hybridMultilevel"/>
    <w:tmpl w:val="738EA6A0"/>
    <w:lvl w:ilvl="0" w:tplc="29F0430A">
      <w:start w:val="1"/>
      <w:numFmt w:val="lowerLetter"/>
      <w:pStyle w:val="TablePointsAlpha"/>
      <w:lvlText w:val="%1"/>
      <w:lvlJc w:val="left"/>
      <w:pPr>
        <w:tabs>
          <w:tab w:val="num" w:pos="284"/>
        </w:tabs>
        <w:ind w:left="284" w:hanging="284"/>
      </w:pPr>
      <w:rPr>
        <w:rFonts w:ascii="Arial" w:hAnsi="Arial"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DA570E4"/>
    <w:multiLevelType w:val="hybridMultilevel"/>
    <w:tmpl w:val="E1A6284E"/>
    <w:lvl w:ilvl="0" w:tplc="4AC4AA00">
      <w:start w:val="1"/>
      <w:numFmt w:val="decimal"/>
      <w:pStyle w:val="TablePointsNumbers"/>
      <w:lvlText w:val="%1"/>
      <w:lvlJc w:val="left"/>
      <w:pPr>
        <w:tabs>
          <w:tab w:val="num" w:pos="284"/>
        </w:tabs>
        <w:ind w:left="284" w:hanging="284"/>
      </w:pPr>
      <w:rPr>
        <w:rFonts w:ascii="Arial" w:hAnsi="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DCB3348"/>
    <w:multiLevelType w:val="hybridMultilevel"/>
    <w:tmpl w:val="3A369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516455"/>
    <w:multiLevelType w:val="hybridMultilevel"/>
    <w:tmpl w:val="DCCAE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9ED3099"/>
    <w:multiLevelType w:val="singleLevel"/>
    <w:tmpl w:val="C456D138"/>
    <w:lvl w:ilvl="0">
      <w:start w:val="1"/>
      <w:numFmt w:val="decimal"/>
      <w:pStyle w:val="NumberPoints"/>
      <w:lvlText w:val="%1"/>
      <w:lvlJc w:val="left"/>
      <w:pPr>
        <w:tabs>
          <w:tab w:val="num" w:pos="567"/>
        </w:tabs>
        <w:ind w:left="567" w:hanging="567"/>
      </w:pPr>
      <w:rPr>
        <w:rFonts w:ascii="Arial" w:hAnsi="Arial" w:hint="default"/>
        <w:b/>
        <w:i w:val="0"/>
        <w:sz w:val="22"/>
      </w:rPr>
    </w:lvl>
  </w:abstractNum>
  <w:abstractNum w:abstractNumId="24">
    <w:nsid w:val="2CA02E1E"/>
    <w:multiLevelType w:val="hybridMultilevel"/>
    <w:tmpl w:val="F4AE47F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nsid w:val="303C20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34A60AB8"/>
    <w:multiLevelType w:val="hybridMultilevel"/>
    <w:tmpl w:val="CB8EAF84"/>
    <w:lvl w:ilvl="0" w:tplc="5D7E36B2">
      <w:numFmt w:val="bullet"/>
      <w:lvlText w:val="-"/>
      <w:lvlJc w:val="left"/>
      <w:pPr>
        <w:ind w:left="1494" w:hanging="360"/>
      </w:pPr>
      <w:rPr>
        <w:rFonts w:ascii="Arial" w:eastAsia="Times New Roman"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7">
    <w:nsid w:val="34CE7543"/>
    <w:multiLevelType w:val="hybridMultilevel"/>
    <w:tmpl w:val="BD482DA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8">
    <w:nsid w:val="35E855DF"/>
    <w:multiLevelType w:val="hybridMultilevel"/>
    <w:tmpl w:val="27D20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F21CDB"/>
    <w:multiLevelType w:val="hybridMultilevel"/>
    <w:tmpl w:val="6D1A06A2"/>
    <w:lvl w:ilvl="0" w:tplc="03D42318">
      <w:start w:val="1"/>
      <w:numFmt w:val="decimal"/>
      <w:pStyle w:val="PointsNumbers"/>
      <w:lvlText w:val="%1"/>
      <w:lvlJc w:val="left"/>
      <w:pPr>
        <w:tabs>
          <w:tab w:val="num" w:pos="1701"/>
        </w:tabs>
        <w:ind w:left="1701" w:hanging="567"/>
      </w:pPr>
      <w:rPr>
        <w:rFonts w:ascii="Arial" w:hAnsi="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79D4799"/>
    <w:multiLevelType w:val="hybridMultilevel"/>
    <w:tmpl w:val="D71C0BCA"/>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1">
    <w:nsid w:val="3D4258C4"/>
    <w:multiLevelType w:val="hybridMultilevel"/>
    <w:tmpl w:val="2C80AD4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2">
    <w:nsid w:val="3F7D50B4"/>
    <w:multiLevelType w:val="hybridMultilevel"/>
    <w:tmpl w:val="677C6A80"/>
    <w:lvl w:ilvl="0" w:tplc="C5D400C2">
      <w:start w:val="1"/>
      <w:numFmt w:val="bullet"/>
      <w:pStyle w:val="PointsBullets"/>
      <w:lvlText w:val=""/>
      <w:lvlJc w:val="left"/>
      <w:pPr>
        <w:tabs>
          <w:tab w:val="num" w:pos="1701"/>
        </w:tabs>
        <w:ind w:left="1701" w:hanging="56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043025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417B5C68"/>
    <w:multiLevelType w:val="hybridMultilevel"/>
    <w:tmpl w:val="85941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E7D49DB"/>
    <w:multiLevelType w:val="hybridMultilevel"/>
    <w:tmpl w:val="3A984B5A"/>
    <w:lvl w:ilvl="0" w:tplc="04090005">
      <w:start w:val="1"/>
      <w:numFmt w:val="bullet"/>
      <w:lvlText w:val=""/>
      <w:lvlJc w:val="left"/>
      <w:pPr>
        <w:ind w:left="2211" w:hanging="360"/>
      </w:pPr>
      <w:rPr>
        <w:rFonts w:ascii="Wingdings" w:hAnsi="Wingdings"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36">
    <w:nsid w:val="507B57CD"/>
    <w:multiLevelType w:val="hybridMultilevel"/>
    <w:tmpl w:val="DCCAE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3D133A7"/>
    <w:multiLevelType w:val="hybridMultilevel"/>
    <w:tmpl w:val="DCCAE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93479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59945647"/>
    <w:multiLevelType w:val="multilevel"/>
    <w:tmpl w:val="DEA4E10E"/>
    <w:lvl w:ilvl="0">
      <w:start w:val="1"/>
      <w:numFmt w:val="decimal"/>
      <w:pStyle w:val="PSALevel1"/>
      <w:lvlText w:val="%1."/>
      <w:lvlJc w:val="left"/>
      <w:pPr>
        <w:tabs>
          <w:tab w:val="num" w:pos="397"/>
        </w:tabs>
        <w:ind w:left="397" w:hanging="39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1701"/>
        </w:tabs>
        <w:ind w:left="1701" w:hanging="1134"/>
      </w:pPr>
      <w:rPr>
        <w:rFonts w:hint="default"/>
      </w:rPr>
    </w:lvl>
    <w:lvl w:ilvl="4">
      <w:start w:val="1"/>
      <w:numFmt w:val="decimal"/>
      <w:lvlText w:val="%1.%2.%3.%4.%5"/>
      <w:lvlJc w:val="left"/>
      <w:pPr>
        <w:tabs>
          <w:tab w:val="num" w:pos="1701"/>
        </w:tabs>
        <w:ind w:left="1701" w:hanging="1134"/>
      </w:pPr>
      <w:rPr>
        <w:rFonts w:hint="default"/>
      </w:rPr>
    </w:lvl>
    <w:lvl w:ilvl="5">
      <w:start w:val="1"/>
      <w:numFmt w:val="decimal"/>
      <w:lvlText w:val="%1.%2.%3.%4.%5.%6"/>
      <w:lvlJc w:val="left"/>
      <w:pPr>
        <w:tabs>
          <w:tab w:val="num" w:pos="1701"/>
        </w:tabs>
        <w:ind w:left="1701" w:hanging="1134"/>
      </w:pPr>
      <w:rPr>
        <w:rFonts w:hint="default"/>
      </w:rPr>
    </w:lvl>
    <w:lvl w:ilvl="6">
      <w:start w:val="1"/>
      <w:numFmt w:val="decimal"/>
      <w:lvlText w:val="%1.%2.%3.%4.%5.%6.%7"/>
      <w:lvlJc w:val="left"/>
      <w:pPr>
        <w:tabs>
          <w:tab w:val="num" w:pos="1701"/>
        </w:tabs>
        <w:ind w:left="1701" w:hanging="1134"/>
      </w:pPr>
      <w:rPr>
        <w:rFonts w:hint="default"/>
      </w:rPr>
    </w:lvl>
    <w:lvl w:ilvl="7">
      <w:start w:val="1"/>
      <w:numFmt w:val="decimal"/>
      <w:lvlText w:val="%1.%2.%3.%4.%5.%6.%7.%8"/>
      <w:lvlJc w:val="left"/>
      <w:pPr>
        <w:tabs>
          <w:tab w:val="num" w:pos="1701"/>
        </w:tabs>
        <w:ind w:left="1701" w:hanging="1134"/>
      </w:pPr>
      <w:rPr>
        <w:rFonts w:hint="default"/>
      </w:rPr>
    </w:lvl>
    <w:lvl w:ilvl="8">
      <w:start w:val="1"/>
      <w:numFmt w:val="decimal"/>
      <w:lvlText w:val="%1.%2.%3.%4.%5.%6.%7.%8.%9"/>
      <w:lvlJc w:val="left"/>
      <w:pPr>
        <w:tabs>
          <w:tab w:val="num" w:pos="1701"/>
        </w:tabs>
        <w:ind w:left="1701" w:hanging="1134"/>
      </w:pPr>
      <w:rPr>
        <w:rFonts w:hint="default"/>
      </w:rPr>
    </w:lvl>
  </w:abstractNum>
  <w:abstractNum w:abstractNumId="40">
    <w:nsid w:val="5E8D091A"/>
    <w:multiLevelType w:val="multilevel"/>
    <w:tmpl w:val="D5886206"/>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41">
    <w:nsid w:val="5FB90868"/>
    <w:multiLevelType w:val="hybridMultilevel"/>
    <w:tmpl w:val="4EE068DC"/>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2">
    <w:nsid w:val="624D63EF"/>
    <w:multiLevelType w:val="hybridMultilevel"/>
    <w:tmpl w:val="DCCAE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7A569C5"/>
    <w:multiLevelType w:val="singleLevel"/>
    <w:tmpl w:val="7F0C5AFA"/>
    <w:lvl w:ilvl="0">
      <w:start w:val="1"/>
      <w:numFmt w:val="lowerLetter"/>
      <w:pStyle w:val="AlphaPoints"/>
      <w:lvlText w:val="%1"/>
      <w:lvlJc w:val="left"/>
      <w:pPr>
        <w:tabs>
          <w:tab w:val="num" w:pos="567"/>
        </w:tabs>
        <w:ind w:left="567" w:hanging="567"/>
      </w:pPr>
      <w:rPr>
        <w:rFonts w:ascii="Arial" w:hAnsi="Arial" w:hint="default"/>
        <w:b/>
        <w:i w:val="0"/>
        <w:sz w:val="22"/>
      </w:rPr>
    </w:lvl>
  </w:abstractNum>
  <w:abstractNum w:abstractNumId="44">
    <w:nsid w:val="692C1CDC"/>
    <w:multiLevelType w:val="hybridMultilevel"/>
    <w:tmpl w:val="FCA4D708"/>
    <w:lvl w:ilvl="0" w:tplc="06C4DF78">
      <w:start w:val="1"/>
      <w:numFmt w:val="decimal"/>
      <w:pStyle w:val="Heading3"/>
      <w:lvlText w:val="%1.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CFE0863"/>
    <w:multiLevelType w:val="hybridMultilevel"/>
    <w:tmpl w:val="EA264BD2"/>
    <w:lvl w:ilvl="0" w:tplc="884649F0">
      <w:start w:val="1"/>
      <w:numFmt w:val="bullet"/>
      <w:lvlText w:val=""/>
      <w:lvlJc w:val="left"/>
      <w:pPr>
        <w:tabs>
          <w:tab w:val="num" w:pos="1494"/>
        </w:tabs>
        <w:ind w:left="1494" w:hanging="360"/>
      </w:pPr>
      <w:rPr>
        <w:rFonts w:ascii="Symbol" w:hAnsi="Symbol" w:hint="default"/>
        <w:sz w:val="20"/>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46">
    <w:nsid w:val="6E783F17"/>
    <w:multiLevelType w:val="multilevel"/>
    <w:tmpl w:val="D5886206"/>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pStyle w:val="Heading6"/>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47">
    <w:nsid w:val="70DA2373"/>
    <w:multiLevelType w:val="hybridMultilevel"/>
    <w:tmpl w:val="42C859E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8">
    <w:nsid w:val="73EB482F"/>
    <w:multiLevelType w:val="hybridMultilevel"/>
    <w:tmpl w:val="F538E968"/>
    <w:lvl w:ilvl="0" w:tplc="BB2610AC">
      <w:start w:val="1"/>
      <w:numFmt w:val="lowerLetter"/>
      <w:pStyle w:val="PointsAlpha"/>
      <w:lvlText w:val="%1"/>
      <w:lvlJc w:val="left"/>
      <w:pPr>
        <w:tabs>
          <w:tab w:val="num" w:pos="1701"/>
        </w:tabs>
        <w:ind w:left="1701" w:hanging="567"/>
      </w:pPr>
      <w:rPr>
        <w:rFonts w:ascii="Arial" w:hAnsi="Arial" w:hint="default"/>
        <w:b/>
        <w:i w:val="0"/>
        <w:sz w:val="20"/>
      </w:rPr>
    </w:lvl>
    <w:lvl w:ilvl="1" w:tplc="1778B66C" w:tentative="1">
      <w:start w:val="1"/>
      <w:numFmt w:val="lowerLetter"/>
      <w:lvlText w:val="%2."/>
      <w:lvlJc w:val="left"/>
      <w:pPr>
        <w:tabs>
          <w:tab w:val="num" w:pos="1440"/>
        </w:tabs>
        <w:ind w:left="1440" w:hanging="360"/>
      </w:pPr>
    </w:lvl>
    <w:lvl w:ilvl="2" w:tplc="BD90CAA2" w:tentative="1">
      <w:start w:val="1"/>
      <w:numFmt w:val="lowerRoman"/>
      <w:lvlText w:val="%3."/>
      <w:lvlJc w:val="right"/>
      <w:pPr>
        <w:tabs>
          <w:tab w:val="num" w:pos="2160"/>
        </w:tabs>
        <w:ind w:left="2160" w:hanging="180"/>
      </w:pPr>
    </w:lvl>
    <w:lvl w:ilvl="3" w:tplc="43462E8A" w:tentative="1">
      <w:start w:val="1"/>
      <w:numFmt w:val="decimal"/>
      <w:lvlText w:val="%4."/>
      <w:lvlJc w:val="left"/>
      <w:pPr>
        <w:tabs>
          <w:tab w:val="num" w:pos="2880"/>
        </w:tabs>
        <w:ind w:left="2880" w:hanging="360"/>
      </w:pPr>
    </w:lvl>
    <w:lvl w:ilvl="4" w:tplc="C430095E" w:tentative="1">
      <w:start w:val="1"/>
      <w:numFmt w:val="lowerLetter"/>
      <w:lvlText w:val="%5."/>
      <w:lvlJc w:val="left"/>
      <w:pPr>
        <w:tabs>
          <w:tab w:val="num" w:pos="3600"/>
        </w:tabs>
        <w:ind w:left="3600" w:hanging="360"/>
      </w:pPr>
    </w:lvl>
    <w:lvl w:ilvl="5" w:tplc="BB3C82E2" w:tentative="1">
      <w:start w:val="1"/>
      <w:numFmt w:val="lowerRoman"/>
      <w:lvlText w:val="%6."/>
      <w:lvlJc w:val="right"/>
      <w:pPr>
        <w:tabs>
          <w:tab w:val="num" w:pos="4320"/>
        </w:tabs>
        <w:ind w:left="4320" w:hanging="180"/>
      </w:pPr>
    </w:lvl>
    <w:lvl w:ilvl="6" w:tplc="8444B656" w:tentative="1">
      <w:start w:val="1"/>
      <w:numFmt w:val="decimal"/>
      <w:lvlText w:val="%7."/>
      <w:lvlJc w:val="left"/>
      <w:pPr>
        <w:tabs>
          <w:tab w:val="num" w:pos="5040"/>
        </w:tabs>
        <w:ind w:left="5040" w:hanging="360"/>
      </w:pPr>
    </w:lvl>
    <w:lvl w:ilvl="7" w:tplc="90CEAEE8" w:tentative="1">
      <w:start w:val="1"/>
      <w:numFmt w:val="lowerLetter"/>
      <w:lvlText w:val="%8."/>
      <w:lvlJc w:val="left"/>
      <w:pPr>
        <w:tabs>
          <w:tab w:val="num" w:pos="5760"/>
        </w:tabs>
        <w:ind w:left="5760" w:hanging="360"/>
      </w:pPr>
    </w:lvl>
    <w:lvl w:ilvl="8" w:tplc="6FC8E864" w:tentative="1">
      <w:start w:val="1"/>
      <w:numFmt w:val="lowerRoman"/>
      <w:lvlText w:val="%9."/>
      <w:lvlJc w:val="right"/>
      <w:pPr>
        <w:tabs>
          <w:tab w:val="num" w:pos="6480"/>
        </w:tabs>
        <w:ind w:left="6480" w:hanging="180"/>
      </w:pPr>
    </w:lvl>
  </w:abstractNum>
  <w:num w:numId="1">
    <w:abstractNumId w:val="48"/>
  </w:num>
  <w:num w:numId="2">
    <w:abstractNumId w:val="32"/>
  </w:num>
  <w:num w:numId="3">
    <w:abstractNumId w:val="29"/>
  </w:num>
  <w:num w:numId="4">
    <w:abstractNumId w:val="19"/>
  </w:num>
  <w:num w:numId="5">
    <w:abstractNumId w:val="14"/>
  </w:num>
  <w:num w:numId="6">
    <w:abstractNumId w:val="20"/>
  </w:num>
  <w:num w:numId="7">
    <w:abstractNumId w:val="33"/>
  </w:num>
  <w:num w:numId="8">
    <w:abstractNumId w:val="38"/>
  </w:num>
  <w:num w:numId="9">
    <w:abstractNumId w:val="43"/>
  </w:num>
  <w:num w:numId="10">
    <w:abstractNumId w:val="25"/>
  </w:num>
  <w:num w:numId="11">
    <w:abstractNumId w:val="16"/>
  </w:num>
  <w:num w:numId="12">
    <w:abstractNumId w:val="46"/>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3"/>
  </w:num>
  <w:num w:numId="24">
    <w:abstractNumId w:val="39"/>
  </w:num>
  <w:num w:numId="25">
    <w:abstractNumId w:val="41"/>
  </w:num>
  <w:num w:numId="26">
    <w:abstractNumId w:val="24"/>
  </w:num>
  <w:num w:numId="27">
    <w:abstractNumId w:val="17"/>
  </w:num>
  <w:num w:numId="28">
    <w:abstractNumId w:val="44"/>
  </w:num>
  <w:num w:numId="29">
    <w:abstractNumId w:val="34"/>
  </w:num>
  <w:num w:numId="30">
    <w:abstractNumId w:val="13"/>
  </w:num>
  <w:num w:numId="31">
    <w:abstractNumId w:val="30"/>
  </w:num>
  <w:num w:numId="32">
    <w:abstractNumId w:val="28"/>
  </w:num>
  <w:num w:numId="33">
    <w:abstractNumId w:val="35"/>
  </w:num>
  <w:num w:numId="34">
    <w:abstractNumId w:val="21"/>
  </w:num>
  <w:num w:numId="35">
    <w:abstractNumId w:val="42"/>
  </w:num>
  <w:num w:numId="36">
    <w:abstractNumId w:val="37"/>
  </w:num>
  <w:num w:numId="37">
    <w:abstractNumId w:val="36"/>
  </w:num>
  <w:num w:numId="38">
    <w:abstractNumId w:val="22"/>
  </w:num>
  <w:num w:numId="39">
    <w:abstractNumId w:val="27"/>
  </w:num>
  <w:num w:numId="40">
    <w:abstractNumId w:val="45"/>
  </w:num>
  <w:num w:numId="41">
    <w:abstractNumId w:val="31"/>
  </w:num>
  <w:num w:numId="42">
    <w:abstractNumId w:val="12"/>
  </w:num>
  <w:num w:numId="43">
    <w:abstractNumId w:val="10"/>
  </w:num>
  <w:num w:numId="44">
    <w:abstractNumId w:val="26"/>
  </w:num>
  <w:num w:numId="45">
    <w:abstractNumId w:val="47"/>
  </w:num>
  <w:num w:numId="46">
    <w:abstractNumId w:val="11"/>
  </w:num>
  <w:num w:numId="47">
    <w:abstractNumId w:val="18"/>
  </w:num>
  <w:num w:numId="48">
    <w:abstractNumId w:val="15"/>
  </w:num>
  <w:num w:numId="49">
    <w:abstractNumId w:val="40"/>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grammar="clean"/>
  <w:attachedTemplate r:id="rId1"/>
  <w:stylePaneFormatFilter w:val="0002"/>
  <w:trackRevisions/>
  <w:defaultTabStop w:val="567"/>
  <w:drawingGridHorizontalSpacing w:val="100"/>
  <w:displayHorizontalDrawingGridEvery w:val="2"/>
  <w:characterSpacingControl w:val="doNotCompress"/>
  <w:hdrShapeDefaults>
    <o:shapedefaults v:ext="edit" spidmax="2050">
      <o:colormru v:ext="edit" colors="#00519e,#b8b8ac,#009ee0"/>
    </o:shapedefaults>
    <o:shapelayout v:ext="edit">
      <o:idmap v:ext="edit" data="2"/>
    </o:shapelayout>
  </w:hdrShapeDefaults>
  <w:footnotePr>
    <w:footnote w:id="-1"/>
    <w:footnote w:id="0"/>
    <w:footnote w:id="1"/>
  </w:footnotePr>
  <w:endnotePr>
    <w:endnote w:id="-1"/>
    <w:endnote w:id="0"/>
    <w:endnote w:id="1"/>
  </w:endnotePr>
  <w:compat/>
  <w:rsids>
    <w:rsidRoot w:val="00873AC6"/>
    <w:rsid w:val="00000D63"/>
    <w:rsid w:val="0000132D"/>
    <w:rsid w:val="0000132E"/>
    <w:rsid w:val="000022EC"/>
    <w:rsid w:val="00002835"/>
    <w:rsid w:val="00002836"/>
    <w:rsid w:val="0000403D"/>
    <w:rsid w:val="00004AC0"/>
    <w:rsid w:val="00004C7A"/>
    <w:rsid w:val="00007BFE"/>
    <w:rsid w:val="000111D9"/>
    <w:rsid w:val="00015ED9"/>
    <w:rsid w:val="000160D2"/>
    <w:rsid w:val="000165F9"/>
    <w:rsid w:val="00016BEF"/>
    <w:rsid w:val="00022229"/>
    <w:rsid w:val="000225C3"/>
    <w:rsid w:val="00023821"/>
    <w:rsid w:val="00023DCF"/>
    <w:rsid w:val="00023E17"/>
    <w:rsid w:val="00025102"/>
    <w:rsid w:val="00025296"/>
    <w:rsid w:val="000261AB"/>
    <w:rsid w:val="00026E66"/>
    <w:rsid w:val="0003063C"/>
    <w:rsid w:val="00032C24"/>
    <w:rsid w:val="00036109"/>
    <w:rsid w:val="000370D8"/>
    <w:rsid w:val="000413DC"/>
    <w:rsid w:val="00041BF4"/>
    <w:rsid w:val="00042E6F"/>
    <w:rsid w:val="00043E17"/>
    <w:rsid w:val="0004577A"/>
    <w:rsid w:val="00046B82"/>
    <w:rsid w:val="00047490"/>
    <w:rsid w:val="00047847"/>
    <w:rsid w:val="000500A4"/>
    <w:rsid w:val="0005038E"/>
    <w:rsid w:val="000504AF"/>
    <w:rsid w:val="00051F5F"/>
    <w:rsid w:val="00052333"/>
    <w:rsid w:val="00052A5B"/>
    <w:rsid w:val="00053112"/>
    <w:rsid w:val="0005522F"/>
    <w:rsid w:val="00055E0D"/>
    <w:rsid w:val="0006529A"/>
    <w:rsid w:val="00065C48"/>
    <w:rsid w:val="00066307"/>
    <w:rsid w:val="0006687F"/>
    <w:rsid w:val="00066D25"/>
    <w:rsid w:val="0007149F"/>
    <w:rsid w:val="0007528B"/>
    <w:rsid w:val="000805BE"/>
    <w:rsid w:val="00080923"/>
    <w:rsid w:val="00080CFD"/>
    <w:rsid w:val="00080D10"/>
    <w:rsid w:val="00081724"/>
    <w:rsid w:val="0008255D"/>
    <w:rsid w:val="0008264A"/>
    <w:rsid w:val="00083617"/>
    <w:rsid w:val="00083D26"/>
    <w:rsid w:val="00083F99"/>
    <w:rsid w:val="000843ED"/>
    <w:rsid w:val="00085083"/>
    <w:rsid w:val="00086260"/>
    <w:rsid w:val="00086EB0"/>
    <w:rsid w:val="0009088A"/>
    <w:rsid w:val="000919E2"/>
    <w:rsid w:val="000924FE"/>
    <w:rsid w:val="00093556"/>
    <w:rsid w:val="00093B2A"/>
    <w:rsid w:val="0009621A"/>
    <w:rsid w:val="000966A5"/>
    <w:rsid w:val="00097393"/>
    <w:rsid w:val="000A15A7"/>
    <w:rsid w:val="000A1612"/>
    <w:rsid w:val="000A2B0B"/>
    <w:rsid w:val="000A4EE3"/>
    <w:rsid w:val="000A5969"/>
    <w:rsid w:val="000A5CA4"/>
    <w:rsid w:val="000A6667"/>
    <w:rsid w:val="000B006D"/>
    <w:rsid w:val="000B011E"/>
    <w:rsid w:val="000B013A"/>
    <w:rsid w:val="000B0140"/>
    <w:rsid w:val="000B315F"/>
    <w:rsid w:val="000B3D2A"/>
    <w:rsid w:val="000B4411"/>
    <w:rsid w:val="000B5CE5"/>
    <w:rsid w:val="000B7CA4"/>
    <w:rsid w:val="000C02B4"/>
    <w:rsid w:val="000C08E8"/>
    <w:rsid w:val="000C4429"/>
    <w:rsid w:val="000C47DE"/>
    <w:rsid w:val="000C5630"/>
    <w:rsid w:val="000C6679"/>
    <w:rsid w:val="000C6690"/>
    <w:rsid w:val="000C6AC1"/>
    <w:rsid w:val="000C6B88"/>
    <w:rsid w:val="000C707F"/>
    <w:rsid w:val="000C74ED"/>
    <w:rsid w:val="000D0BD2"/>
    <w:rsid w:val="000D1ABE"/>
    <w:rsid w:val="000D2DB9"/>
    <w:rsid w:val="000D2FB8"/>
    <w:rsid w:val="000D3084"/>
    <w:rsid w:val="000D3632"/>
    <w:rsid w:val="000D3BD0"/>
    <w:rsid w:val="000D5AF7"/>
    <w:rsid w:val="000D6933"/>
    <w:rsid w:val="000D6A00"/>
    <w:rsid w:val="000D6A1A"/>
    <w:rsid w:val="000D6CAA"/>
    <w:rsid w:val="000E2C1E"/>
    <w:rsid w:val="000E3C94"/>
    <w:rsid w:val="000E3E5C"/>
    <w:rsid w:val="000F0035"/>
    <w:rsid w:val="000F0B7A"/>
    <w:rsid w:val="000F2262"/>
    <w:rsid w:val="000F35DD"/>
    <w:rsid w:val="000F37E2"/>
    <w:rsid w:val="000F71D7"/>
    <w:rsid w:val="000F7DA6"/>
    <w:rsid w:val="00100545"/>
    <w:rsid w:val="0010296B"/>
    <w:rsid w:val="00102A5D"/>
    <w:rsid w:val="001043E2"/>
    <w:rsid w:val="001049D9"/>
    <w:rsid w:val="00105263"/>
    <w:rsid w:val="0010699F"/>
    <w:rsid w:val="00107EAD"/>
    <w:rsid w:val="0011055A"/>
    <w:rsid w:val="00110DF7"/>
    <w:rsid w:val="00111C9D"/>
    <w:rsid w:val="00112387"/>
    <w:rsid w:val="001124BD"/>
    <w:rsid w:val="00112AEA"/>
    <w:rsid w:val="00112BFE"/>
    <w:rsid w:val="00112CB4"/>
    <w:rsid w:val="0011391A"/>
    <w:rsid w:val="00115B77"/>
    <w:rsid w:val="00116EDC"/>
    <w:rsid w:val="001203AD"/>
    <w:rsid w:val="00120B7E"/>
    <w:rsid w:val="00120CF1"/>
    <w:rsid w:val="00120DC2"/>
    <w:rsid w:val="00121C5C"/>
    <w:rsid w:val="001232C7"/>
    <w:rsid w:val="00125923"/>
    <w:rsid w:val="00131E90"/>
    <w:rsid w:val="00134DDB"/>
    <w:rsid w:val="001350BC"/>
    <w:rsid w:val="001375B0"/>
    <w:rsid w:val="00142405"/>
    <w:rsid w:val="00143C41"/>
    <w:rsid w:val="001448B4"/>
    <w:rsid w:val="001451E0"/>
    <w:rsid w:val="001463DD"/>
    <w:rsid w:val="001473F4"/>
    <w:rsid w:val="00147713"/>
    <w:rsid w:val="00150060"/>
    <w:rsid w:val="00155327"/>
    <w:rsid w:val="001553AF"/>
    <w:rsid w:val="00157887"/>
    <w:rsid w:val="001579C1"/>
    <w:rsid w:val="00157E78"/>
    <w:rsid w:val="0016106E"/>
    <w:rsid w:val="0016159B"/>
    <w:rsid w:val="0016356F"/>
    <w:rsid w:val="001635EB"/>
    <w:rsid w:val="00164814"/>
    <w:rsid w:val="00164C3C"/>
    <w:rsid w:val="00164D8E"/>
    <w:rsid w:val="00166018"/>
    <w:rsid w:val="00166307"/>
    <w:rsid w:val="00167DBC"/>
    <w:rsid w:val="001723F1"/>
    <w:rsid w:val="001730D9"/>
    <w:rsid w:val="001738C1"/>
    <w:rsid w:val="00173C8D"/>
    <w:rsid w:val="0017479B"/>
    <w:rsid w:val="001759EB"/>
    <w:rsid w:val="00176DBA"/>
    <w:rsid w:val="00180CED"/>
    <w:rsid w:val="00181FFD"/>
    <w:rsid w:val="00182ED7"/>
    <w:rsid w:val="00184030"/>
    <w:rsid w:val="0018429B"/>
    <w:rsid w:val="001855E6"/>
    <w:rsid w:val="001874D3"/>
    <w:rsid w:val="00192EF8"/>
    <w:rsid w:val="0019351C"/>
    <w:rsid w:val="00193B05"/>
    <w:rsid w:val="00194FBB"/>
    <w:rsid w:val="001968DC"/>
    <w:rsid w:val="001970DC"/>
    <w:rsid w:val="001A0B68"/>
    <w:rsid w:val="001A0D55"/>
    <w:rsid w:val="001A15D0"/>
    <w:rsid w:val="001A181D"/>
    <w:rsid w:val="001A25B5"/>
    <w:rsid w:val="001A2E92"/>
    <w:rsid w:val="001A4776"/>
    <w:rsid w:val="001A65FF"/>
    <w:rsid w:val="001A7880"/>
    <w:rsid w:val="001A7C3E"/>
    <w:rsid w:val="001B113D"/>
    <w:rsid w:val="001B1478"/>
    <w:rsid w:val="001B14F4"/>
    <w:rsid w:val="001B1676"/>
    <w:rsid w:val="001B47AA"/>
    <w:rsid w:val="001B66D0"/>
    <w:rsid w:val="001C1C28"/>
    <w:rsid w:val="001C3A31"/>
    <w:rsid w:val="001C50EF"/>
    <w:rsid w:val="001C5565"/>
    <w:rsid w:val="001C5635"/>
    <w:rsid w:val="001C60B8"/>
    <w:rsid w:val="001C65E7"/>
    <w:rsid w:val="001C6A35"/>
    <w:rsid w:val="001C6FA1"/>
    <w:rsid w:val="001D0D0E"/>
    <w:rsid w:val="001D1881"/>
    <w:rsid w:val="001D19F3"/>
    <w:rsid w:val="001D474A"/>
    <w:rsid w:val="001D4A1D"/>
    <w:rsid w:val="001D4C1D"/>
    <w:rsid w:val="001D54A4"/>
    <w:rsid w:val="001D6052"/>
    <w:rsid w:val="001D62E5"/>
    <w:rsid w:val="001D657F"/>
    <w:rsid w:val="001D6A05"/>
    <w:rsid w:val="001D797D"/>
    <w:rsid w:val="001D7A0A"/>
    <w:rsid w:val="001E0164"/>
    <w:rsid w:val="001E01ED"/>
    <w:rsid w:val="001E07DA"/>
    <w:rsid w:val="001E0913"/>
    <w:rsid w:val="001E1696"/>
    <w:rsid w:val="001E20D7"/>
    <w:rsid w:val="001E2AAE"/>
    <w:rsid w:val="001E428C"/>
    <w:rsid w:val="001E5347"/>
    <w:rsid w:val="001E59EB"/>
    <w:rsid w:val="001E5E88"/>
    <w:rsid w:val="001E600C"/>
    <w:rsid w:val="001E6ABD"/>
    <w:rsid w:val="001E763E"/>
    <w:rsid w:val="001F0A23"/>
    <w:rsid w:val="001F0F7E"/>
    <w:rsid w:val="001F1C43"/>
    <w:rsid w:val="001F1F51"/>
    <w:rsid w:val="001F5066"/>
    <w:rsid w:val="001F60F8"/>
    <w:rsid w:val="001F6EBF"/>
    <w:rsid w:val="001F7260"/>
    <w:rsid w:val="001F778C"/>
    <w:rsid w:val="0020037E"/>
    <w:rsid w:val="002014E9"/>
    <w:rsid w:val="00202177"/>
    <w:rsid w:val="002022C3"/>
    <w:rsid w:val="0020316B"/>
    <w:rsid w:val="00203660"/>
    <w:rsid w:val="00203A07"/>
    <w:rsid w:val="002054DB"/>
    <w:rsid w:val="00205A7E"/>
    <w:rsid w:val="002061FC"/>
    <w:rsid w:val="00206B15"/>
    <w:rsid w:val="00207438"/>
    <w:rsid w:val="00210185"/>
    <w:rsid w:val="002104C4"/>
    <w:rsid w:val="002107D4"/>
    <w:rsid w:val="00210B1E"/>
    <w:rsid w:val="002119DB"/>
    <w:rsid w:val="00212B65"/>
    <w:rsid w:val="00213569"/>
    <w:rsid w:val="002138AA"/>
    <w:rsid w:val="00214F14"/>
    <w:rsid w:val="00215381"/>
    <w:rsid w:val="00216070"/>
    <w:rsid w:val="00217F82"/>
    <w:rsid w:val="00220AC8"/>
    <w:rsid w:val="00221776"/>
    <w:rsid w:val="00223280"/>
    <w:rsid w:val="00223CF1"/>
    <w:rsid w:val="002246A3"/>
    <w:rsid w:val="00224E3C"/>
    <w:rsid w:val="00226939"/>
    <w:rsid w:val="00226D5F"/>
    <w:rsid w:val="00227018"/>
    <w:rsid w:val="0023034F"/>
    <w:rsid w:val="00236153"/>
    <w:rsid w:val="00240215"/>
    <w:rsid w:val="00240241"/>
    <w:rsid w:val="00240DB2"/>
    <w:rsid w:val="00240F4F"/>
    <w:rsid w:val="002426F8"/>
    <w:rsid w:val="00242991"/>
    <w:rsid w:val="00242C20"/>
    <w:rsid w:val="002431CB"/>
    <w:rsid w:val="002437D2"/>
    <w:rsid w:val="002448E2"/>
    <w:rsid w:val="00245416"/>
    <w:rsid w:val="002465B5"/>
    <w:rsid w:val="00246DD4"/>
    <w:rsid w:val="00251077"/>
    <w:rsid w:val="0025352E"/>
    <w:rsid w:val="002538B4"/>
    <w:rsid w:val="00253BAF"/>
    <w:rsid w:val="00253C09"/>
    <w:rsid w:val="0025442D"/>
    <w:rsid w:val="00255C26"/>
    <w:rsid w:val="00255E2A"/>
    <w:rsid w:val="002561EB"/>
    <w:rsid w:val="00257F69"/>
    <w:rsid w:val="00260093"/>
    <w:rsid w:val="00260C15"/>
    <w:rsid w:val="00261DD8"/>
    <w:rsid w:val="002620EF"/>
    <w:rsid w:val="00262C8E"/>
    <w:rsid w:val="002643D9"/>
    <w:rsid w:val="00264430"/>
    <w:rsid w:val="00264C6E"/>
    <w:rsid w:val="00264DE3"/>
    <w:rsid w:val="00266D12"/>
    <w:rsid w:val="0027021F"/>
    <w:rsid w:val="00270FA8"/>
    <w:rsid w:val="00275263"/>
    <w:rsid w:val="00276047"/>
    <w:rsid w:val="00277859"/>
    <w:rsid w:val="00277DDA"/>
    <w:rsid w:val="00280DA6"/>
    <w:rsid w:val="00283166"/>
    <w:rsid w:val="00283837"/>
    <w:rsid w:val="00285AEA"/>
    <w:rsid w:val="002865DC"/>
    <w:rsid w:val="00290B31"/>
    <w:rsid w:val="00291032"/>
    <w:rsid w:val="002912B3"/>
    <w:rsid w:val="0029144C"/>
    <w:rsid w:val="002917B3"/>
    <w:rsid w:val="0029255C"/>
    <w:rsid w:val="002925FD"/>
    <w:rsid w:val="00293185"/>
    <w:rsid w:val="00293B94"/>
    <w:rsid w:val="00294A4D"/>
    <w:rsid w:val="0029639B"/>
    <w:rsid w:val="0029754B"/>
    <w:rsid w:val="00297EA4"/>
    <w:rsid w:val="002A02C9"/>
    <w:rsid w:val="002A02D1"/>
    <w:rsid w:val="002A12D1"/>
    <w:rsid w:val="002A1D14"/>
    <w:rsid w:val="002A2643"/>
    <w:rsid w:val="002A37A4"/>
    <w:rsid w:val="002A735B"/>
    <w:rsid w:val="002A74E3"/>
    <w:rsid w:val="002B06E0"/>
    <w:rsid w:val="002B1738"/>
    <w:rsid w:val="002B1C9C"/>
    <w:rsid w:val="002B25D6"/>
    <w:rsid w:val="002B361D"/>
    <w:rsid w:val="002B4165"/>
    <w:rsid w:val="002B42C3"/>
    <w:rsid w:val="002B47F3"/>
    <w:rsid w:val="002B4ABE"/>
    <w:rsid w:val="002B557F"/>
    <w:rsid w:val="002B559B"/>
    <w:rsid w:val="002B55DC"/>
    <w:rsid w:val="002B6858"/>
    <w:rsid w:val="002B6B01"/>
    <w:rsid w:val="002C048E"/>
    <w:rsid w:val="002C0D73"/>
    <w:rsid w:val="002C2A3F"/>
    <w:rsid w:val="002C347F"/>
    <w:rsid w:val="002C37D4"/>
    <w:rsid w:val="002C4D9B"/>
    <w:rsid w:val="002C6FE5"/>
    <w:rsid w:val="002C7C55"/>
    <w:rsid w:val="002D02C2"/>
    <w:rsid w:val="002D0B6C"/>
    <w:rsid w:val="002D239C"/>
    <w:rsid w:val="002D28D1"/>
    <w:rsid w:val="002D36B7"/>
    <w:rsid w:val="002D3A18"/>
    <w:rsid w:val="002D3F97"/>
    <w:rsid w:val="002D43A6"/>
    <w:rsid w:val="002D4ECA"/>
    <w:rsid w:val="002D4ECF"/>
    <w:rsid w:val="002D5148"/>
    <w:rsid w:val="002D58FB"/>
    <w:rsid w:val="002D5AC8"/>
    <w:rsid w:val="002D7BE6"/>
    <w:rsid w:val="002E01D8"/>
    <w:rsid w:val="002E08A1"/>
    <w:rsid w:val="002E0BE5"/>
    <w:rsid w:val="002E143B"/>
    <w:rsid w:val="002E1639"/>
    <w:rsid w:val="002E1A46"/>
    <w:rsid w:val="002E2902"/>
    <w:rsid w:val="002E3461"/>
    <w:rsid w:val="002E4BF3"/>
    <w:rsid w:val="002E69BD"/>
    <w:rsid w:val="002E6F78"/>
    <w:rsid w:val="002E7820"/>
    <w:rsid w:val="002E7D05"/>
    <w:rsid w:val="002F2447"/>
    <w:rsid w:val="002F3254"/>
    <w:rsid w:val="002F32BC"/>
    <w:rsid w:val="002F36CB"/>
    <w:rsid w:val="002F3CB9"/>
    <w:rsid w:val="002F450B"/>
    <w:rsid w:val="002F485C"/>
    <w:rsid w:val="002F67BA"/>
    <w:rsid w:val="002F773A"/>
    <w:rsid w:val="002F7B77"/>
    <w:rsid w:val="0030118C"/>
    <w:rsid w:val="003018B4"/>
    <w:rsid w:val="00302415"/>
    <w:rsid w:val="003032BA"/>
    <w:rsid w:val="00303B02"/>
    <w:rsid w:val="00303F53"/>
    <w:rsid w:val="00304A95"/>
    <w:rsid w:val="00305129"/>
    <w:rsid w:val="0030551D"/>
    <w:rsid w:val="00305535"/>
    <w:rsid w:val="0030719F"/>
    <w:rsid w:val="003071D5"/>
    <w:rsid w:val="00307F2B"/>
    <w:rsid w:val="003103B0"/>
    <w:rsid w:val="00312495"/>
    <w:rsid w:val="003124B8"/>
    <w:rsid w:val="00312CC0"/>
    <w:rsid w:val="00313340"/>
    <w:rsid w:val="00313465"/>
    <w:rsid w:val="003140AE"/>
    <w:rsid w:val="0031577F"/>
    <w:rsid w:val="00315925"/>
    <w:rsid w:val="00315F44"/>
    <w:rsid w:val="003166D2"/>
    <w:rsid w:val="00320067"/>
    <w:rsid w:val="00321CA0"/>
    <w:rsid w:val="00322DDC"/>
    <w:rsid w:val="003253D6"/>
    <w:rsid w:val="00326AC1"/>
    <w:rsid w:val="00326CD2"/>
    <w:rsid w:val="00327995"/>
    <w:rsid w:val="003312C2"/>
    <w:rsid w:val="00332FCC"/>
    <w:rsid w:val="00333881"/>
    <w:rsid w:val="00333BAB"/>
    <w:rsid w:val="00334026"/>
    <w:rsid w:val="00334A15"/>
    <w:rsid w:val="003362E2"/>
    <w:rsid w:val="00336A42"/>
    <w:rsid w:val="00336FB5"/>
    <w:rsid w:val="00342080"/>
    <w:rsid w:val="00344252"/>
    <w:rsid w:val="003454DA"/>
    <w:rsid w:val="0034700A"/>
    <w:rsid w:val="003473CB"/>
    <w:rsid w:val="003500C7"/>
    <w:rsid w:val="00350310"/>
    <w:rsid w:val="00350697"/>
    <w:rsid w:val="003509AD"/>
    <w:rsid w:val="003510CD"/>
    <w:rsid w:val="00352B19"/>
    <w:rsid w:val="00352C41"/>
    <w:rsid w:val="00353BA6"/>
    <w:rsid w:val="00354385"/>
    <w:rsid w:val="0035457C"/>
    <w:rsid w:val="0035562B"/>
    <w:rsid w:val="00356C27"/>
    <w:rsid w:val="00360A7A"/>
    <w:rsid w:val="00361664"/>
    <w:rsid w:val="00363567"/>
    <w:rsid w:val="00363A68"/>
    <w:rsid w:val="00363F97"/>
    <w:rsid w:val="0036689C"/>
    <w:rsid w:val="003673B6"/>
    <w:rsid w:val="00367A65"/>
    <w:rsid w:val="003702A0"/>
    <w:rsid w:val="00370A82"/>
    <w:rsid w:val="003722BE"/>
    <w:rsid w:val="0037234F"/>
    <w:rsid w:val="00374319"/>
    <w:rsid w:val="003751DB"/>
    <w:rsid w:val="00376990"/>
    <w:rsid w:val="00376D8F"/>
    <w:rsid w:val="0038354F"/>
    <w:rsid w:val="00383A21"/>
    <w:rsid w:val="0038415A"/>
    <w:rsid w:val="003868A2"/>
    <w:rsid w:val="0038741D"/>
    <w:rsid w:val="003903E1"/>
    <w:rsid w:val="00390A0D"/>
    <w:rsid w:val="003944DD"/>
    <w:rsid w:val="00394C82"/>
    <w:rsid w:val="003972D8"/>
    <w:rsid w:val="00397717"/>
    <w:rsid w:val="003A0F34"/>
    <w:rsid w:val="003A1289"/>
    <w:rsid w:val="003A1DD2"/>
    <w:rsid w:val="003A3034"/>
    <w:rsid w:val="003A324F"/>
    <w:rsid w:val="003A3F89"/>
    <w:rsid w:val="003A42B0"/>
    <w:rsid w:val="003B0F3C"/>
    <w:rsid w:val="003B10D5"/>
    <w:rsid w:val="003B12E9"/>
    <w:rsid w:val="003B2C49"/>
    <w:rsid w:val="003B428C"/>
    <w:rsid w:val="003B42C8"/>
    <w:rsid w:val="003B60A1"/>
    <w:rsid w:val="003B6F76"/>
    <w:rsid w:val="003B7295"/>
    <w:rsid w:val="003B74CC"/>
    <w:rsid w:val="003B766B"/>
    <w:rsid w:val="003C3524"/>
    <w:rsid w:val="003C4164"/>
    <w:rsid w:val="003C7834"/>
    <w:rsid w:val="003D08BC"/>
    <w:rsid w:val="003D0DFE"/>
    <w:rsid w:val="003D123C"/>
    <w:rsid w:val="003D1832"/>
    <w:rsid w:val="003D2A0F"/>
    <w:rsid w:val="003D3B7D"/>
    <w:rsid w:val="003D6713"/>
    <w:rsid w:val="003D6D98"/>
    <w:rsid w:val="003D6EB2"/>
    <w:rsid w:val="003D7CFE"/>
    <w:rsid w:val="003D7D7D"/>
    <w:rsid w:val="003E199A"/>
    <w:rsid w:val="003E201B"/>
    <w:rsid w:val="003E2431"/>
    <w:rsid w:val="003E51EA"/>
    <w:rsid w:val="003E575F"/>
    <w:rsid w:val="003E688A"/>
    <w:rsid w:val="003E78E4"/>
    <w:rsid w:val="003E7D82"/>
    <w:rsid w:val="003F0D12"/>
    <w:rsid w:val="003F29D2"/>
    <w:rsid w:val="003F3B3E"/>
    <w:rsid w:val="003F41EB"/>
    <w:rsid w:val="003F4BCB"/>
    <w:rsid w:val="003F73AB"/>
    <w:rsid w:val="003F7B3A"/>
    <w:rsid w:val="00402EDD"/>
    <w:rsid w:val="004038E0"/>
    <w:rsid w:val="0040431B"/>
    <w:rsid w:val="00404750"/>
    <w:rsid w:val="00405416"/>
    <w:rsid w:val="00405EA5"/>
    <w:rsid w:val="00406606"/>
    <w:rsid w:val="00406A80"/>
    <w:rsid w:val="004073A7"/>
    <w:rsid w:val="004101C7"/>
    <w:rsid w:val="004111BB"/>
    <w:rsid w:val="00411315"/>
    <w:rsid w:val="004120DF"/>
    <w:rsid w:val="00412620"/>
    <w:rsid w:val="00413813"/>
    <w:rsid w:val="00416542"/>
    <w:rsid w:val="00416F0B"/>
    <w:rsid w:val="00422B9A"/>
    <w:rsid w:val="00422CA7"/>
    <w:rsid w:val="00423309"/>
    <w:rsid w:val="00423DFC"/>
    <w:rsid w:val="0042669E"/>
    <w:rsid w:val="00426C0A"/>
    <w:rsid w:val="004272FD"/>
    <w:rsid w:val="004276D8"/>
    <w:rsid w:val="00427BE4"/>
    <w:rsid w:val="004307B9"/>
    <w:rsid w:val="004313D9"/>
    <w:rsid w:val="0043206A"/>
    <w:rsid w:val="0043260E"/>
    <w:rsid w:val="0043275C"/>
    <w:rsid w:val="004343ED"/>
    <w:rsid w:val="00434A7E"/>
    <w:rsid w:val="004365EB"/>
    <w:rsid w:val="00437CAD"/>
    <w:rsid w:val="004400E9"/>
    <w:rsid w:val="0044035A"/>
    <w:rsid w:val="004405FF"/>
    <w:rsid w:val="004426F5"/>
    <w:rsid w:val="00444D6F"/>
    <w:rsid w:val="00446603"/>
    <w:rsid w:val="004476F2"/>
    <w:rsid w:val="004478B1"/>
    <w:rsid w:val="00447BAC"/>
    <w:rsid w:val="00453E64"/>
    <w:rsid w:val="00455AF9"/>
    <w:rsid w:val="00456BD6"/>
    <w:rsid w:val="00457828"/>
    <w:rsid w:val="00457ADD"/>
    <w:rsid w:val="00461B33"/>
    <w:rsid w:val="0046323C"/>
    <w:rsid w:val="0046354E"/>
    <w:rsid w:val="004636FB"/>
    <w:rsid w:val="004637CA"/>
    <w:rsid w:val="00464B8A"/>
    <w:rsid w:val="004666DF"/>
    <w:rsid w:val="004667C4"/>
    <w:rsid w:val="0046767E"/>
    <w:rsid w:val="004676FD"/>
    <w:rsid w:val="004718F8"/>
    <w:rsid w:val="00472499"/>
    <w:rsid w:val="00472FB4"/>
    <w:rsid w:val="004748FB"/>
    <w:rsid w:val="004757FD"/>
    <w:rsid w:val="00476BAA"/>
    <w:rsid w:val="0047731A"/>
    <w:rsid w:val="0047743B"/>
    <w:rsid w:val="00480E04"/>
    <w:rsid w:val="004811C3"/>
    <w:rsid w:val="00482928"/>
    <w:rsid w:val="004839E2"/>
    <w:rsid w:val="00483CEC"/>
    <w:rsid w:val="00484368"/>
    <w:rsid w:val="0048462A"/>
    <w:rsid w:val="00487D45"/>
    <w:rsid w:val="00490DDF"/>
    <w:rsid w:val="00493D78"/>
    <w:rsid w:val="00494B05"/>
    <w:rsid w:val="00495D64"/>
    <w:rsid w:val="0049739A"/>
    <w:rsid w:val="004A0115"/>
    <w:rsid w:val="004A11A9"/>
    <w:rsid w:val="004A1425"/>
    <w:rsid w:val="004A2666"/>
    <w:rsid w:val="004A28A3"/>
    <w:rsid w:val="004A3086"/>
    <w:rsid w:val="004A33E4"/>
    <w:rsid w:val="004A35C9"/>
    <w:rsid w:val="004A4639"/>
    <w:rsid w:val="004A4782"/>
    <w:rsid w:val="004A5551"/>
    <w:rsid w:val="004A773E"/>
    <w:rsid w:val="004B097B"/>
    <w:rsid w:val="004B0E98"/>
    <w:rsid w:val="004B221A"/>
    <w:rsid w:val="004B2BD2"/>
    <w:rsid w:val="004B2FE0"/>
    <w:rsid w:val="004B3069"/>
    <w:rsid w:val="004B50A2"/>
    <w:rsid w:val="004B54CB"/>
    <w:rsid w:val="004B60DD"/>
    <w:rsid w:val="004B674B"/>
    <w:rsid w:val="004C15B9"/>
    <w:rsid w:val="004C1C83"/>
    <w:rsid w:val="004C2ED2"/>
    <w:rsid w:val="004C41B1"/>
    <w:rsid w:val="004C47AD"/>
    <w:rsid w:val="004C4C96"/>
    <w:rsid w:val="004C71C9"/>
    <w:rsid w:val="004C75D4"/>
    <w:rsid w:val="004D16C7"/>
    <w:rsid w:val="004D217E"/>
    <w:rsid w:val="004D24B6"/>
    <w:rsid w:val="004D3B89"/>
    <w:rsid w:val="004D42DD"/>
    <w:rsid w:val="004D4318"/>
    <w:rsid w:val="004D5ACD"/>
    <w:rsid w:val="004D6A16"/>
    <w:rsid w:val="004D7129"/>
    <w:rsid w:val="004E038A"/>
    <w:rsid w:val="004E0F0E"/>
    <w:rsid w:val="004E55C3"/>
    <w:rsid w:val="004E5602"/>
    <w:rsid w:val="004E5FC8"/>
    <w:rsid w:val="004E6BE6"/>
    <w:rsid w:val="004E7E59"/>
    <w:rsid w:val="004F0B90"/>
    <w:rsid w:val="004F2565"/>
    <w:rsid w:val="004F2B46"/>
    <w:rsid w:val="004F326F"/>
    <w:rsid w:val="004F3CDB"/>
    <w:rsid w:val="004F40D8"/>
    <w:rsid w:val="004F4411"/>
    <w:rsid w:val="004F48EB"/>
    <w:rsid w:val="004F4AFB"/>
    <w:rsid w:val="004F55DE"/>
    <w:rsid w:val="00502F4E"/>
    <w:rsid w:val="0050346A"/>
    <w:rsid w:val="00503AAA"/>
    <w:rsid w:val="00503BB4"/>
    <w:rsid w:val="00503D7A"/>
    <w:rsid w:val="005049C2"/>
    <w:rsid w:val="00504F06"/>
    <w:rsid w:val="005076B9"/>
    <w:rsid w:val="00507B39"/>
    <w:rsid w:val="0051140B"/>
    <w:rsid w:val="00511818"/>
    <w:rsid w:val="00511A57"/>
    <w:rsid w:val="00511F72"/>
    <w:rsid w:val="005121A6"/>
    <w:rsid w:val="00512ED2"/>
    <w:rsid w:val="00513576"/>
    <w:rsid w:val="00514509"/>
    <w:rsid w:val="005148C8"/>
    <w:rsid w:val="00514AE5"/>
    <w:rsid w:val="00515527"/>
    <w:rsid w:val="00516DA9"/>
    <w:rsid w:val="00517E3C"/>
    <w:rsid w:val="00521276"/>
    <w:rsid w:val="00521D60"/>
    <w:rsid w:val="00522741"/>
    <w:rsid w:val="00523A4A"/>
    <w:rsid w:val="00523BE3"/>
    <w:rsid w:val="00525A0F"/>
    <w:rsid w:val="00526AFB"/>
    <w:rsid w:val="005275D5"/>
    <w:rsid w:val="005277F4"/>
    <w:rsid w:val="0052797E"/>
    <w:rsid w:val="00527B21"/>
    <w:rsid w:val="00530931"/>
    <w:rsid w:val="00531C38"/>
    <w:rsid w:val="00532406"/>
    <w:rsid w:val="005325AA"/>
    <w:rsid w:val="005338E9"/>
    <w:rsid w:val="0053455A"/>
    <w:rsid w:val="005349B0"/>
    <w:rsid w:val="00534A37"/>
    <w:rsid w:val="00535C19"/>
    <w:rsid w:val="00535FB5"/>
    <w:rsid w:val="005369ED"/>
    <w:rsid w:val="00540EA5"/>
    <w:rsid w:val="0054101D"/>
    <w:rsid w:val="0054489C"/>
    <w:rsid w:val="00545323"/>
    <w:rsid w:val="005454E8"/>
    <w:rsid w:val="005463DF"/>
    <w:rsid w:val="00546438"/>
    <w:rsid w:val="0054651F"/>
    <w:rsid w:val="00551734"/>
    <w:rsid w:val="00552247"/>
    <w:rsid w:val="00552F2B"/>
    <w:rsid w:val="005539B3"/>
    <w:rsid w:val="0055404B"/>
    <w:rsid w:val="005553A7"/>
    <w:rsid w:val="00556F0A"/>
    <w:rsid w:val="00557CD3"/>
    <w:rsid w:val="00560229"/>
    <w:rsid w:val="005605D9"/>
    <w:rsid w:val="00560E08"/>
    <w:rsid w:val="005615CE"/>
    <w:rsid w:val="00561B83"/>
    <w:rsid w:val="00561FD8"/>
    <w:rsid w:val="00562131"/>
    <w:rsid w:val="0056371C"/>
    <w:rsid w:val="00563893"/>
    <w:rsid w:val="00564A85"/>
    <w:rsid w:val="00566386"/>
    <w:rsid w:val="00566FAB"/>
    <w:rsid w:val="005670AC"/>
    <w:rsid w:val="00567B36"/>
    <w:rsid w:val="0057062E"/>
    <w:rsid w:val="00570658"/>
    <w:rsid w:val="00573712"/>
    <w:rsid w:val="00576C20"/>
    <w:rsid w:val="005772DF"/>
    <w:rsid w:val="00582ED5"/>
    <w:rsid w:val="0058313E"/>
    <w:rsid w:val="00583AAD"/>
    <w:rsid w:val="00584351"/>
    <w:rsid w:val="005850D4"/>
    <w:rsid w:val="005854DC"/>
    <w:rsid w:val="00585800"/>
    <w:rsid w:val="00587629"/>
    <w:rsid w:val="0059009B"/>
    <w:rsid w:val="0059043B"/>
    <w:rsid w:val="00590BF2"/>
    <w:rsid w:val="00590DFC"/>
    <w:rsid w:val="00590FBB"/>
    <w:rsid w:val="00591A1F"/>
    <w:rsid w:val="00593D01"/>
    <w:rsid w:val="00594186"/>
    <w:rsid w:val="00594C15"/>
    <w:rsid w:val="00596AB7"/>
    <w:rsid w:val="00596FE4"/>
    <w:rsid w:val="00597976"/>
    <w:rsid w:val="005A19AF"/>
    <w:rsid w:val="005A1A5A"/>
    <w:rsid w:val="005A1FB4"/>
    <w:rsid w:val="005A29BC"/>
    <w:rsid w:val="005A34AC"/>
    <w:rsid w:val="005A396C"/>
    <w:rsid w:val="005A4E23"/>
    <w:rsid w:val="005A58B4"/>
    <w:rsid w:val="005A590A"/>
    <w:rsid w:val="005B3DD4"/>
    <w:rsid w:val="005B65D5"/>
    <w:rsid w:val="005B737D"/>
    <w:rsid w:val="005C0B4D"/>
    <w:rsid w:val="005C1F78"/>
    <w:rsid w:val="005C2106"/>
    <w:rsid w:val="005C217C"/>
    <w:rsid w:val="005C4D80"/>
    <w:rsid w:val="005C524A"/>
    <w:rsid w:val="005C6EA4"/>
    <w:rsid w:val="005C7A79"/>
    <w:rsid w:val="005D0738"/>
    <w:rsid w:val="005D1CEC"/>
    <w:rsid w:val="005D3B6B"/>
    <w:rsid w:val="005D4549"/>
    <w:rsid w:val="005D6869"/>
    <w:rsid w:val="005D6ACF"/>
    <w:rsid w:val="005D7054"/>
    <w:rsid w:val="005D7ED4"/>
    <w:rsid w:val="005E154B"/>
    <w:rsid w:val="005E15C2"/>
    <w:rsid w:val="005E1663"/>
    <w:rsid w:val="005E1F94"/>
    <w:rsid w:val="005E26CB"/>
    <w:rsid w:val="005E3AEB"/>
    <w:rsid w:val="005E4902"/>
    <w:rsid w:val="005E76FA"/>
    <w:rsid w:val="005F016F"/>
    <w:rsid w:val="005F1F4F"/>
    <w:rsid w:val="005F4168"/>
    <w:rsid w:val="005F42EA"/>
    <w:rsid w:val="005F4381"/>
    <w:rsid w:val="005F58A8"/>
    <w:rsid w:val="005F6B37"/>
    <w:rsid w:val="005F7DB7"/>
    <w:rsid w:val="006019AF"/>
    <w:rsid w:val="00601B3C"/>
    <w:rsid w:val="00603961"/>
    <w:rsid w:val="00603BB6"/>
    <w:rsid w:val="00603C01"/>
    <w:rsid w:val="00605E6A"/>
    <w:rsid w:val="006065E3"/>
    <w:rsid w:val="00607F0C"/>
    <w:rsid w:val="00612365"/>
    <w:rsid w:val="006126F1"/>
    <w:rsid w:val="006133B2"/>
    <w:rsid w:val="00613529"/>
    <w:rsid w:val="00614299"/>
    <w:rsid w:val="006158EC"/>
    <w:rsid w:val="006170C4"/>
    <w:rsid w:val="0061787A"/>
    <w:rsid w:val="00617AC5"/>
    <w:rsid w:val="00617F6E"/>
    <w:rsid w:val="0062057B"/>
    <w:rsid w:val="00620899"/>
    <w:rsid w:val="006211B2"/>
    <w:rsid w:val="00622BEE"/>
    <w:rsid w:val="00624715"/>
    <w:rsid w:val="00625C60"/>
    <w:rsid w:val="00626A05"/>
    <w:rsid w:val="006301A4"/>
    <w:rsid w:val="00630B32"/>
    <w:rsid w:val="00630CBB"/>
    <w:rsid w:val="006314E8"/>
    <w:rsid w:val="006322EC"/>
    <w:rsid w:val="00633A3B"/>
    <w:rsid w:val="00634F3D"/>
    <w:rsid w:val="00635110"/>
    <w:rsid w:val="006358C4"/>
    <w:rsid w:val="0063614E"/>
    <w:rsid w:val="00636170"/>
    <w:rsid w:val="006413AF"/>
    <w:rsid w:val="006414CD"/>
    <w:rsid w:val="00643599"/>
    <w:rsid w:val="00644D74"/>
    <w:rsid w:val="00644F2C"/>
    <w:rsid w:val="00645289"/>
    <w:rsid w:val="006454C7"/>
    <w:rsid w:val="0064611E"/>
    <w:rsid w:val="0064686A"/>
    <w:rsid w:val="0065037C"/>
    <w:rsid w:val="0065194F"/>
    <w:rsid w:val="00652092"/>
    <w:rsid w:val="0065231A"/>
    <w:rsid w:val="00654B3C"/>
    <w:rsid w:val="00654F03"/>
    <w:rsid w:val="00655366"/>
    <w:rsid w:val="00656F5A"/>
    <w:rsid w:val="0065771E"/>
    <w:rsid w:val="00657ACF"/>
    <w:rsid w:val="0066282F"/>
    <w:rsid w:val="00663788"/>
    <w:rsid w:val="0066386C"/>
    <w:rsid w:val="00664269"/>
    <w:rsid w:val="006659DF"/>
    <w:rsid w:val="00667800"/>
    <w:rsid w:val="00667F10"/>
    <w:rsid w:val="00672E97"/>
    <w:rsid w:val="00673167"/>
    <w:rsid w:val="00673F78"/>
    <w:rsid w:val="00677F38"/>
    <w:rsid w:val="00680111"/>
    <w:rsid w:val="0068045B"/>
    <w:rsid w:val="006813E6"/>
    <w:rsid w:val="006816F1"/>
    <w:rsid w:val="00682301"/>
    <w:rsid w:val="00682ECC"/>
    <w:rsid w:val="00683B5E"/>
    <w:rsid w:val="00684BB7"/>
    <w:rsid w:val="00684D07"/>
    <w:rsid w:val="00685CDF"/>
    <w:rsid w:val="00686C04"/>
    <w:rsid w:val="006879E4"/>
    <w:rsid w:val="00690E1E"/>
    <w:rsid w:val="00690F1F"/>
    <w:rsid w:val="00691625"/>
    <w:rsid w:val="00691AE4"/>
    <w:rsid w:val="00691E24"/>
    <w:rsid w:val="0069325A"/>
    <w:rsid w:val="00693B7D"/>
    <w:rsid w:val="00693DD0"/>
    <w:rsid w:val="0069518F"/>
    <w:rsid w:val="006971EB"/>
    <w:rsid w:val="006A0755"/>
    <w:rsid w:val="006A1B32"/>
    <w:rsid w:val="006A1FCC"/>
    <w:rsid w:val="006A3A76"/>
    <w:rsid w:val="006A3C17"/>
    <w:rsid w:val="006A3D48"/>
    <w:rsid w:val="006A3D93"/>
    <w:rsid w:val="006A40B2"/>
    <w:rsid w:val="006A78D7"/>
    <w:rsid w:val="006A7985"/>
    <w:rsid w:val="006B0183"/>
    <w:rsid w:val="006B0BCA"/>
    <w:rsid w:val="006B1B39"/>
    <w:rsid w:val="006B2443"/>
    <w:rsid w:val="006B3EFD"/>
    <w:rsid w:val="006B7B46"/>
    <w:rsid w:val="006C0557"/>
    <w:rsid w:val="006C2753"/>
    <w:rsid w:val="006C41E7"/>
    <w:rsid w:val="006C6046"/>
    <w:rsid w:val="006C61ED"/>
    <w:rsid w:val="006C6AB2"/>
    <w:rsid w:val="006D0271"/>
    <w:rsid w:val="006D436D"/>
    <w:rsid w:val="006D5B85"/>
    <w:rsid w:val="006D6AC7"/>
    <w:rsid w:val="006E02E0"/>
    <w:rsid w:val="006E02F2"/>
    <w:rsid w:val="006E12BE"/>
    <w:rsid w:val="006E1876"/>
    <w:rsid w:val="006E2BB3"/>
    <w:rsid w:val="006E32FB"/>
    <w:rsid w:val="006E4475"/>
    <w:rsid w:val="006E648A"/>
    <w:rsid w:val="006E66B6"/>
    <w:rsid w:val="006E6844"/>
    <w:rsid w:val="006E7307"/>
    <w:rsid w:val="006F102D"/>
    <w:rsid w:val="006F14C5"/>
    <w:rsid w:val="006F1CB0"/>
    <w:rsid w:val="006F3B57"/>
    <w:rsid w:val="006F3DF8"/>
    <w:rsid w:val="006F40D1"/>
    <w:rsid w:val="006F4300"/>
    <w:rsid w:val="006F4BF0"/>
    <w:rsid w:val="006F4D38"/>
    <w:rsid w:val="006F5A77"/>
    <w:rsid w:val="006F5B2A"/>
    <w:rsid w:val="006F6D79"/>
    <w:rsid w:val="006F6DD6"/>
    <w:rsid w:val="006F77AA"/>
    <w:rsid w:val="006F7B2B"/>
    <w:rsid w:val="00700037"/>
    <w:rsid w:val="0070115C"/>
    <w:rsid w:val="0070123E"/>
    <w:rsid w:val="00701709"/>
    <w:rsid w:val="00701B0C"/>
    <w:rsid w:val="00701D69"/>
    <w:rsid w:val="00701E75"/>
    <w:rsid w:val="0070337A"/>
    <w:rsid w:val="007041ED"/>
    <w:rsid w:val="00704C83"/>
    <w:rsid w:val="007058E3"/>
    <w:rsid w:val="00706317"/>
    <w:rsid w:val="0070752F"/>
    <w:rsid w:val="00707FD3"/>
    <w:rsid w:val="00707FD9"/>
    <w:rsid w:val="0071048F"/>
    <w:rsid w:val="00711A20"/>
    <w:rsid w:val="0071258A"/>
    <w:rsid w:val="007142FA"/>
    <w:rsid w:val="00714DAC"/>
    <w:rsid w:val="00714E19"/>
    <w:rsid w:val="00715672"/>
    <w:rsid w:val="007168A0"/>
    <w:rsid w:val="00717C7E"/>
    <w:rsid w:val="00720125"/>
    <w:rsid w:val="007204A7"/>
    <w:rsid w:val="007211F5"/>
    <w:rsid w:val="0072581A"/>
    <w:rsid w:val="00725F81"/>
    <w:rsid w:val="00726B28"/>
    <w:rsid w:val="007270F4"/>
    <w:rsid w:val="00727148"/>
    <w:rsid w:val="0073076D"/>
    <w:rsid w:val="00730BCE"/>
    <w:rsid w:val="007330AF"/>
    <w:rsid w:val="00733B87"/>
    <w:rsid w:val="00734062"/>
    <w:rsid w:val="00736F39"/>
    <w:rsid w:val="00737A4B"/>
    <w:rsid w:val="00737EB3"/>
    <w:rsid w:val="0074290D"/>
    <w:rsid w:val="00743BFC"/>
    <w:rsid w:val="00745887"/>
    <w:rsid w:val="00746980"/>
    <w:rsid w:val="00747B9D"/>
    <w:rsid w:val="007507C4"/>
    <w:rsid w:val="00750F7E"/>
    <w:rsid w:val="00751983"/>
    <w:rsid w:val="007520AD"/>
    <w:rsid w:val="0075277B"/>
    <w:rsid w:val="0075373C"/>
    <w:rsid w:val="007547A4"/>
    <w:rsid w:val="007564EF"/>
    <w:rsid w:val="007572A8"/>
    <w:rsid w:val="007575A0"/>
    <w:rsid w:val="00761571"/>
    <w:rsid w:val="007616C2"/>
    <w:rsid w:val="0076298C"/>
    <w:rsid w:val="007632E7"/>
    <w:rsid w:val="00767C2C"/>
    <w:rsid w:val="007701BF"/>
    <w:rsid w:val="00770DE3"/>
    <w:rsid w:val="007715EB"/>
    <w:rsid w:val="0077225D"/>
    <w:rsid w:val="007738FB"/>
    <w:rsid w:val="00774036"/>
    <w:rsid w:val="00774BF1"/>
    <w:rsid w:val="007755B0"/>
    <w:rsid w:val="0077752D"/>
    <w:rsid w:val="00781C71"/>
    <w:rsid w:val="007830A4"/>
    <w:rsid w:val="00783BD5"/>
    <w:rsid w:val="00785235"/>
    <w:rsid w:val="00791013"/>
    <w:rsid w:val="00791FA4"/>
    <w:rsid w:val="00792713"/>
    <w:rsid w:val="007935A3"/>
    <w:rsid w:val="00793646"/>
    <w:rsid w:val="00795AAA"/>
    <w:rsid w:val="00797076"/>
    <w:rsid w:val="007970F7"/>
    <w:rsid w:val="007A0090"/>
    <w:rsid w:val="007A165F"/>
    <w:rsid w:val="007A5554"/>
    <w:rsid w:val="007A58AD"/>
    <w:rsid w:val="007B01E3"/>
    <w:rsid w:val="007B1D2C"/>
    <w:rsid w:val="007B3588"/>
    <w:rsid w:val="007B3E9C"/>
    <w:rsid w:val="007B687E"/>
    <w:rsid w:val="007C06CF"/>
    <w:rsid w:val="007C0782"/>
    <w:rsid w:val="007C0C1E"/>
    <w:rsid w:val="007C1DE1"/>
    <w:rsid w:val="007C35FC"/>
    <w:rsid w:val="007C395C"/>
    <w:rsid w:val="007C410A"/>
    <w:rsid w:val="007C508E"/>
    <w:rsid w:val="007C571D"/>
    <w:rsid w:val="007C72BE"/>
    <w:rsid w:val="007C7510"/>
    <w:rsid w:val="007D0C4A"/>
    <w:rsid w:val="007D0FD2"/>
    <w:rsid w:val="007D1FBC"/>
    <w:rsid w:val="007D2CDE"/>
    <w:rsid w:val="007D2D5A"/>
    <w:rsid w:val="007D2F30"/>
    <w:rsid w:val="007D33CE"/>
    <w:rsid w:val="007D3D7E"/>
    <w:rsid w:val="007D524B"/>
    <w:rsid w:val="007D554B"/>
    <w:rsid w:val="007D5D93"/>
    <w:rsid w:val="007D6762"/>
    <w:rsid w:val="007E1BC1"/>
    <w:rsid w:val="007E1EE4"/>
    <w:rsid w:val="007E43D0"/>
    <w:rsid w:val="007E4C51"/>
    <w:rsid w:val="007E5111"/>
    <w:rsid w:val="007E57FE"/>
    <w:rsid w:val="007E5C5D"/>
    <w:rsid w:val="007E5DFD"/>
    <w:rsid w:val="007F02C2"/>
    <w:rsid w:val="007F21FF"/>
    <w:rsid w:val="007F2EC5"/>
    <w:rsid w:val="007F33A8"/>
    <w:rsid w:val="007F3C0C"/>
    <w:rsid w:val="007F43F4"/>
    <w:rsid w:val="007F44D9"/>
    <w:rsid w:val="007F48E9"/>
    <w:rsid w:val="007F4F0B"/>
    <w:rsid w:val="007F5637"/>
    <w:rsid w:val="007F585E"/>
    <w:rsid w:val="007F60CD"/>
    <w:rsid w:val="007F655C"/>
    <w:rsid w:val="007F6BFB"/>
    <w:rsid w:val="007F73CD"/>
    <w:rsid w:val="007F7C53"/>
    <w:rsid w:val="008018E5"/>
    <w:rsid w:val="00802C9D"/>
    <w:rsid w:val="0080311C"/>
    <w:rsid w:val="0080712C"/>
    <w:rsid w:val="0081023B"/>
    <w:rsid w:val="00811081"/>
    <w:rsid w:val="0081261D"/>
    <w:rsid w:val="008148FC"/>
    <w:rsid w:val="0081537B"/>
    <w:rsid w:val="008157B9"/>
    <w:rsid w:val="008170A4"/>
    <w:rsid w:val="00817CD8"/>
    <w:rsid w:val="00822D20"/>
    <w:rsid w:val="00823B4C"/>
    <w:rsid w:val="00825789"/>
    <w:rsid w:val="0082587B"/>
    <w:rsid w:val="00825DCD"/>
    <w:rsid w:val="00826D48"/>
    <w:rsid w:val="00831427"/>
    <w:rsid w:val="0083149F"/>
    <w:rsid w:val="00832482"/>
    <w:rsid w:val="00832CF4"/>
    <w:rsid w:val="00834BFA"/>
    <w:rsid w:val="008350AE"/>
    <w:rsid w:val="008372F2"/>
    <w:rsid w:val="008374DA"/>
    <w:rsid w:val="00837A14"/>
    <w:rsid w:val="00841232"/>
    <w:rsid w:val="00841660"/>
    <w:rsid w:val="00846558"/>
    <w:rsid w:val="008503D1"/>
    <w:rsid w:val="0085055A"/>
    <w:rsid w:val="00850A93"/>
    <w:rsid w:val="00850B9A"/>
    <w:rsid w:val="0085219C"/>
    <w:rsid w:val="008524BC"/>
    <w:rsid w:val="008530A9"/>
    <w:rsid w:val="0085386C"/>
    <w:rsid w:val="00854612"/>
    <w:rsid w:val="0085576E"/>
    <w:rsid w:val="00856258"/>
    <w:rsid w:val="0085644E"/>
    <w:rsid w:val="00856908"/>
    <w:rsid w:val="008574D4"/>
    <w:rsid w:val="008609E9"/>
    <w:rsid w:val="00860B52"/>
    <w:rsid w:val="00861566"/>
    <w:rsid w:val="00861A24"/>
    <w:rsid w:val="00863835"/>
    <w:rsid w:val="00864E39"/>
    <w:rsid w:val="00865143"/>
    <w:rsid w:val="008655E1"/>
    <w:rsid w:val="00865FDD"/>
    <w:rsid w:val="008663EC"/>
    <w:rsid w:val="00866E7C"/>
    <w:rsid w:val="0086796D"/>
    <w:rsid w:val="00870C8B"/>
    <w:rsid w:val="0087271D"/>
    <w:rsid w:val="008729A1"/>
    <w:rsid w:val="00872E5D"/>
    <w:rsid w:val="00873AC6"/>
    <w:rsid w:val="00875BD6"/>
    <w:rsid w:val="008771E0"/>
    <w:rsid w:val="00877F7F"/>
    <w:rsid w:val="00880B74"/>
    <w:rsid w:val="008810E0"/>
    <w:rsid w:val="008827DB"/>
    <w:rsid w:val="00882839"/>
    <w:rsid w:val="00882AFC"/>
    <w:rsid w:val="00882F01"/>
    <w:rsid w:val="00883068"/>
    <w:rsid w:val="00884816"/>
    <w:rsid w:val="0088532B"/>
    <w:rsid w:val="00885344"/>
    <w:rsid w:val="0088590F"/>
    <w:rsid w:val="00886A44"/>
    <w:rsid w:val="00886FEC"/>
    <w:rsid w:val="00890F88"/>
    <w:rsid w:val="008916AC"/>
    <w:rsid w:val="00891AF0"/>
    <w:rsid w:val="00891D9A"/>
    <w:rsid w:val="0089242B"/>
    <w:rsid w:val="00892553"/>
    <w:rsid w:val="008925DE"/>
    <w:rsid w:val="00894B68"/>
    <w:rsid w:val="0089546C"/>
    <w:rsid w:val="008959AD"/>
    <w:rsid w:val="00896BE0"/>
    <w:rsid w:val="008977A2"/>
    <w:rsid w:val="008A17B7"/>
    <w:rsid w:val="008A3525"/>
    <w:rsid w:val="008A463E"/>
    <w:rsid w:val="008A4FCB"/>
    <w:rsid w:val="008A50EC"/>
    <w:rsid w:val="008A640C"/>
    <w:rsid w:val="008B13EE"/>
    <w:rsid w:val="008B1BEF"/>
    <w:rsid w:val="008B36D1"/>
    <w:rsid w:val="008B3EEE"/>
    <w:rsid w:val="008B5E77"/>
    <w:rsid w:val="008B6E92"/>
    <w:rsid w:val="008B7924"/>
    <w:rsid w:val="008C0475"/>
    <w:rsid w:val="008C11DD"/>
    <w:rsid w:val="008C199E"/>
    <w:rsid w:val="008C1DF6"/>
    <w:rsid w:val="008C2326"/>
    <w:rsid w:val="008C2B07"/>
    <w:rsid w:val="008C3047"/>
    <w:rsid w:val="008C48A7"/>
    <w:rsid w:val="008C4994"/>
    <w:rsid w:val="008C6A55"/>
    <w:rsid w:val="008C75CE"/>
    <w:rsid w:val="008C79F1"/>
    <w:rsid w:val="008C7E57"/>
    <w:rsid w:val="008D1FBC"/>
    <w:rsid w:val="008D2A08"/>
    <w:rsid w:val="008D3154"/>
    <w:rsid w:val="008D32F0"/>
    <w:rsid w:val="008D6655"/>
    <w:rsid w:val="008D6FEC"/>
    <w:rsid w:val="008D75B1"/>
    <w:rsid w:val="008D77A7"/>
    <w:rsid w:val="008E0001"/>
    <w:rsid w:val="008E345D"/>
    <w:rsid w:val="008E367F"/>
    <w:rsid w:val="008E3699"/>
    <w:rsid w:val="008E415F"/>
    <w:rsid w:val="008E441F"/>
    <w:rsid w:val="008E44E7"/>
    <w:rsid w:val="008E559D"/>
    <w:rsid w:val="008E5D75"/>
    <w:rsid w:val="008E63B1"/>
    <w:rsid w:val="008E6F89"/>
    <w:rsid w:val="008F03B4"/>
    <w:rsid w:val="008F1A28"/>
    <w:rsid w:val="008F21BD"/>
    <w:rsid w:val="008F3F28"/>
    <w:rsid w:val="008F69B0"/>
    <w:rsid w:val="008F6C5B"/>
    <w:rsid w:val="008F6EF9"/>
    <w:rsid w:val="0090069B"/>
    <w:rsid w:val="00900972"/>
    <w:rsid w:val="00900D62"/>
    <w:rsid w:val="009010D0"/>
    <w:rsid w:val="00903DD9"/>
    <w:rsid w:val="00905598"/>
    <w:rsid w:val="00905EC2"/>
    <w:rsid w:val="009063C2"/>
    <w:rsid w:val="00910AED"/>
    <w:rsid w:val="00911017"/>
    <w:rsid w:val="00912B48"/>
    <w:rsid w:val="00912F68"/>
    <w:rsid w:val="00914B73"/>
    <w:rsid w:val="00914B95"/>
    <w:rsid w:val="00917C20"/>
    <w:rsid w:val="00917E9D"/>
    <w:rsid w:val="00920309"/>
    <w:rsid w:val="00921E93"/>
    <w:rsid w:val="00925535"/>
    <w:rsid w:val="00925CAB"/>
    <w:rsid w:val="00925FA9"/>
    <w:rsid w:val="00930624"/>
    <w:rsid w:val="009329C0"/>
    <w:rsid w:val="00933480"/>
    <w:rsid w:val="0093586E"/>
    <w:rsid w:val="00935D27"/>
    <w:rsid w:val="009378F4"/>
    <w:rsid w:val="009379B7"/>
    <w:rsid w:val="00937B36"/>
    <w:rsid w:val="009405AC"/>
    <w:rsid w:val="009407BE"/>
    <w:rsid w:val="00941310"/>
    <w:rsid w:val="00942298"/>
    <w:rsid w:val="00942CCF"/>
    <w:rsid w:val="00943567"/>
    <w:rsid w:val="00943F8B"/>
    <w:rsid w:val="0094469C"/>
    <w:rsid w:val="009451CB"/>
    <w:rsid w:val="009452FD"/>
    <w:rsid w:val="00947541"/>
    <w:rsid w:val="0094793B"/>
    <w:rsid w:val="009507A5"/>
    <w:rsid w:val="0095173D"/>
    <w:rsid w:val="00952F49"/>
    <w:rsid w:val="009536E3"/>
    <w:rsid w:val="00957EAC"/>
    <w:rsid w:val="0096074B"/>
    <w:rsid w:val="00960845"/>
    <w:rsid w:val="00961ABB"/>
    <w:rsid w:val="00962093"/>
    <w:rsid w:val="00963B84"/>
    <w:rsid w:val="00963FBC"/>
    <w:rsid w:val="0096574E"/>
    <w:rsid w:val="00970F27"/>
    <w:rsid w:val="00970FCC"/>
    <w:rsid w:val="00971EA5"/>
    <w:rsid w:val="00972654"/>
    <w:rsid w:val="00975CBB"/>
    <w:rsid w:val="00975F3B"/>
    <w:rsid w:val="0097601F"/>
    <w:rsid w:val="009765AF"/>
    <w:rsid w:val="00980CFF"/>
    <w:rsid w:val="00982ACC"/>
    <w:rsid w:val="0098357C"/>
    <w:rsid w:val="00983B0C"/>
    <w:rsid w:val="00984685"/>
    <w:rsid w:val="00984EB1"/>
    <w:rsid w:val="00985DC8"/>
    <w:rsid w:val="0098640C"/>
    <w:rsid w:val="009917C7"/>
    <w:rsid w:val="00992141"/>
    <w:rsid w:val="009922F4"/>
    <w:rsid w:val="00992452"/>
    <w:rsid w:val="00992CF7"/>
    <w:rsid w:val="009947F6"/>
    <w:rsid w:val="00994D9B"/>
    <w:rsid w:val="009955DD"/>
    <w:rsid w:val="009964D2"/>
    <w:rsid w:val="009966C3"/>
    <w:rsid w:val="00997261"/>
    <w:rsid w:val="009A0A47"/>
    <w:rsid w:val="009A0E01"/>
    <w:rsid w:val="009A4C39"/>
    <w:rsid w:val="009A4F15"/>
    <w:rsid w:val="009A5212"/>
    <w:rsid w:val="009B1E3B"/>
    <w:rsid w:val="009B2CEE"/>
    <w:rsid w:val="009B3DDD"/>
    <w:rsid w:val="009B3E9A"/>
    <w:rsid w:val="009B4AF4"/>
    <w:rsid w:val="009B52CC"/>
    <w:rsid w:val="009B5F62"/>
    <w:rsid w:val="009B7922"/>
    <w:rsid w:val="009B7C4F"/>
    <w:rsid w:val="009B7FB4"/>
    <w:rsid w:val="009C0A38"/>
    <w:rsid w:val="009C0AD3"/>
    <w:rsid w:val="009C3367"/>
    <w:rsid w:val="009C4995"/>
    <w:rsid w:val="009C5AC9"/>
    <w:rsid w:val="009D027B"/>
    <w:rsid w:val="009D166B"/>
    <w:rsid w:val="009D1B3D"/>
    <w:rsid w:val="009D259C"/>
    <w:rsid w:val="009D29E2"/>
    <w:rsid w:val="009D3360"/>
    <w:rsid w:val="009D3AFA"/>
    <w:rsid w:val="009D57A4"/>
    <w:rsid w:val="009D5991"/>
    <w:rsid w:val="009D6EF8"/>
    <w:rsid w:val="009D6F04"/>
    <w:rsid w:val="009E1C4D"/>
    <w:rsid w:val="009E4157"/>
    <w:rsid w:val="009E45B7"/>
    <w:rsid w:val="009E48AE"/>
    <w:rsid w:val="009E654F"/>
    <w:rsid w:val="009E7267"/>
    <w:rsid w:val="009E73BF"/>
    <w:rsid w:val="009E7B69"/>
    <w:rsid w:val="009F0BC7"/>
    <w:rsid w:val="009F25FE"/>
    <w:rsid w:val="009F2E49"/>
    <w:rsid w:val="009F3FA5"/>
    <w:rsid w:val="009F5340"/>
    <w:rsid w:val="009F5C2A"/>
    <w:rsid w:val="009F60A5"/>
    <w:rsid w:val="009F68D4"/>
    <w:rsid w:val="009F69E8"/>
    <w:rsid w:val="009F6DBE"/>
    <w:rsid w:val="009F7AFC"/>
    <w:rsid w:val="009F7BF1"/>
    <w:rsid w:val="00A03852"/>
    <w:rsid w:val="00A03AB1"/>
    <w:rsid w:val="00A04036"/>
    <w:rsid w:val="00A058C9"/>
    <w:rsid w:val="00A0612A"/>
    <w:rsid w:val="00A10BEC"/>
    <w:rsid w:val="00A11246"/>
    <w:rsid w:val="00A12484"/>
    <w:rsid w:val="00A12D8D"/>
    <w:rsid w:val="00A13306"/>
    <w:rsid w:val="00A138AE"/>
    <w:rsid w:val="00A13E65"/>
    <w:rsid w:val="00A144DE"/>
    <w:rsid w:val="00A14887"/>
    <w:rsid w:val="00A14AB1"/>
    <w:rsid w:val="00A1509D"/>
    <w:rsid w:val="00A15EA8"/>
    <w:rsid w:val="00A16E58"/>
    <w:rsid w:val="00A20688"/>
    <w:rsid w:val="00A213B4"/>
    <w:rsid w:val="00A21A5B"/>
    <w:rsid w:val="00A238AB"/>
    <w:rsid w:val="00A25DC2"/>
    <w:rsid w:val="00A2616A"/>
    <w:rsid w:val="00A26877"/>
    <w:rsid w:val="00A2712E"/>
    <w:rsid w:val="00A274A5"/>
    <w:rsid w:val="00A3004E"/>
    <w:rsid w:val="00A302F2"/>
    <w:rsid w:val="00A30655"/>
    <w:rsid w:val="00A3308F"/>
    <w:rsid w:val="00A33CC8"/>
    <w:rsid w:val="00A344B9"/>
    <w:rsid w:val="00A34C49"/>
    <w:rsid w:val="00A35968"/>
    <w:rsid w:val="00A37A21"/>
    <w:rsid w:val="00A406B3"/>
    <w:rsid w:val="00A414AB"/>
    <w:rsid w:val="00A41798"/>
    <w:rsid w:val="00A41F3E"/>
    <w:rsid w:val="00A4207A"/>
    <w:rsid w:val="00A441B4"/>
    <w:rsid w:val="00A468F3"/>
    <w:rsid w:val="00A5033F"/>
    <w:rsid w:val="00A506DE"/>
    <w:rsid w:val="00A5071C"/>
    <w:rsid w:val="00A518FD"/>
    <w:rsid w:val="00A53257"/>
    <w:rsid w:val="00A532F4"/>
    <w:rsid w:val="00A54D83"/>
    <w:rsid w:val="00A54ECE"/>
    <w:rsid w:val="00A55591"/>
    <w:rsid w:val="00A561AC"/>
    <w:rsid w:val="00A61455"/>
    <w:rsid w:val="00A61876"/>
    <w:rsid w:val="00A618D1"/>
    <w:rsid w:val="00A62AAF"/>
    <w:rsid w:val="00A6341F"/>
    <w:rsid w:val="00A63A04"/>
    <w:rsid w:val="00A6459C"/>
    <w:rsid w:val="00A64B0D"/>
    <w:rsid w:val="00A65B49"/>
    <w:rsid w:val="00A66B09"/>
    <w:rsid w:val="00A7015C"/>
    <w:rsid w:val="00A72725"/>
    <w:rsid w:val="00A72AB6"/>
    <w:rsid w:val="00A73810"/>
    <w:rsid w:val="00A76B86"/>
    <w:rsid w:val="00A76EEB"/>
    <w:rsid w:val="00A82390"/>
    <w:rsid w:val="00A851C8"/>
    <w:rsid w:val="00A8591E"/>
    <w:rsid w:val="00A863B5"/>
    <w:rsid w:val="00A86448"/>
    <w:rsid w:val="00A874B1"/>
    <w:rsid w:val="00A90130"/>
    <w:rsid w:val="00A91505"/>
    <w:rsid w:val="00A928AE"/>
    <w:rsid w:val="00A93086"/>
    <w:rsid w:val="00A94464"/>
    <w:rsid w:val="00A95103"/>
    <w:rsid w:val="00A953BA"/>
    <w:rsid w:val="00A9671F"/>
    <w:rsid w:val="00A96A4A"/>
    <w:rsid w:val="00AA0F36"/>
    <w:rsid w:val="00AA104A"/>
    <w:rsid w:val="00AA17AC"/>
    <w:rsid w:val="00AA2EFB"/>
    <w:rsid w:val="00AA3E91"/>
    <w:rsid w:val="00AA3EFB"/>
    <w:rsid w:val="00AA476C"/>
    <w:rsid w:val="00AA6A2B"/>
    <w:rsid w:val="00AA6E30"/>
    <w:rsid w:val="00AB0188"/>
    <w:rsid w:val="00AB0F90"/>
    <w:rsid w:val="00AB1315"/>
    <w:rsid w:val="00AB19F1"/>
    <w:rsid w:val="00AB1C2C"/>
    <w:rsid w:val="00AB22B4"/>
    <w:rsid w:val="00AB2777"/>
    <w:rsid w:val="00AB330B"/>
    <w:rsid w:val="00AB36EE"/>
    <w:rsid w:val="00AB48C3"/>
    <w:rsid w:val="00AB511C"/>
    <w:rsid w:val="00AB54FD"/>
    <w:rsid w:val="00AC10FB"/>
    <w:rsid w:val="00AC4757"/>
    <w:rsid w:val="00AC5144"/>
    <w:rsid w:val="00AC5223"/>
    <w:rsid w:val="00AC567A"/>
    <w:rsid w:val="00AC5BC2"/>
    <w:rsid w:val="00AC6370"/>
    <w:rsid w:val="00AC7EC8"/>
    <w:rsid w:val="00AD0430"/>
    <w:rsid w:val="00AD24CE"/>
    <w:rsid w:val="00AD2B9E"/>
    <w:rsid w:val="00AD44CC"/>
    <w:rsid w:val="00AD570F"/>
    <w:rsid w:val="00AD63FE"/>
    <w:rsid w:val="00AE057D"/>
    <w:rsid w:val="00AE0FCF"/>
    <w:rsid w:val="00AE2957"/>
    <w:rsid w:val="00AE2EF0"/>
    <w:rsid w:val="00AE2F31"/>
    <w:rsid w:val="00AE6873"/>
    <w:rsid w:val="00AE6D4A"/>
    <w:rsid w:val="00AE7799"/>
    <w:rsid w:val="00AE7E3B"/>
    <w:rsid w:val="00AF26F7"/>
    <w:rsid w:val="00AF2AA7"/>
    <w:rsid w:val="00AF3201"/>
    <w:rsid w:val="00AF4660"/>
    <w:rsid w:val="00AF69A7"/>
    <w:rsid w:val="00B01080"/>
    <w:rsid w:val="00B010A6"/>
    <w:rsid w:val="00B01281"/>
    <w:rsid w:val="00B0217D"/>
    <w:rsid w:val="00B024ED"/>
    <w:rsid w:val="00B03A99"/>
    <w:rsid w:val="00B073F5"/>
    <w:rsid w:val="00B10193"/>
    <w:rsid w:val="00B1035D"/>
    <w:rsid w:val="00B11E10"/>
    <w:rsid w:val="00B137B8"/>
    <w:rsid w:val="00B161B4"/>
    <w:rsid w:val="00B17574"/>
    <w:rsid w:val="00B179AA"/>
    <w:rsid w:val="00B22840"/>
    <w:rsid w:val="00B2289D"/>
    <w:rsid w:val="00B24A9A"/>
    <w:rsid w:val="00B253A9"/>
    <w:rsid w:val="00B275A6"/>
    <w:rsid w:val="00B30560"/>
    <w:rsid w:val="00B31170"/>
    <w:rsid w:val="00B31A2C"/>
    <w:rsid w:val="00B3215F"/>
    <w:rsid w:val="00B33A39"/>
    <w:rsid w:val="00B35863"/>
    <w:rsid w:val="00B35E8D"/>
    <w:rsid w:val="00B35F88"/>
    <w:rsid w:val="00B3611F"/>
    <w:rsid w:val="00B3640D"/>
    <w:rsid w:val="00B42B9C"/>
    <w:rsid w:val="00B430CE"/>
    <w:rsid w:val="00B43884"/>
    <w:rsid w:val="00B443E1"/>
    <w:rsid w:val="00B44827"/>
    <w:rsid w:val="00B44E41"/>
    <w:rsid w:val="00B45988"/>
    <w:rsid w:val="00B46068"/>
    <w:rsid w:val="00B46B2F"/>
    <w:rsid w:val="00B50455"/>
    <w:rsid w:val="00B505DE"/>
    <w:rsid w:val="00B516F9"/>
    <w:rsid w:val="00B532E6"/>
    <w:rsid w:val="00B540C4"/>
    <w:rsid w:val="00B57733"/>
    <w:rsid w:val="00B62828"/>
    <w:rsid w:val="00B62A39"/>
    <w:rsid w:val="00B63482"/>
    <w:rsid w:val="00B6418A"/>
    <w:rsid w:val="00B65851"/>
    <w:rsid w:val="00B65E6B"/>
    <w:rsid w:val="00B66BA8"/>
    <w:rsid w:val="00B67DA0"/>
    <w:rsid w:val="00B719AC"/>
    <w:rsid w:val="00B72680"/>
    <w:rsid w:val="00B735A6"/>
    <w:rsid w:val="00B739C3"/>
    <w:rsid w:val="00B750D5"/>
    <w:rsid w:val="00B7647C"/>
    <w:rsid w:val="00B80EE5"/>
    <w:rsid w:val="00B80FD5"/>
    <w:rsid w:val="00B81272"/>
    <w:rsid w:val="00B82977"/>
    <w:rsid w:val="00B8345A"/>
    <w:rsid w:val="00B83C38"/>
    <w:rsid w:val="00B841E3"/>
    <w:rsid w:val="00B8475A"/>
    <w:rsid w:val="00B84E4A"/>
    <w:rsid w:val="00B8741F"/>
    <w:rsid w:val="00B87B7A"/>
    <w:rsid w:val="00B901EE"/>
    <w:rsid w:val="00B90C81"/>
    <w:rsid w:val="00B92A1B"/>
    <w:rsid w:val="00B95007"/>
    <w:rsid w:val="00B9514A"/>
    <w:rsid w:val="00B9555F"/>
    <w:rsid w:val="00B97962"/>
    <w:rsid w:val="00BA0299"/>
    <w:rsid w:val="00BA0EC8"/>
    <w:rsid w:val="00BA3E60"/>
    <w:rsid w:val="00BA4A15"/>
    <w:rsid w:val="00BA655F"/>
    <w:rsid w:val="00BA74FA"/>
    <w:rsid w:val="00BB094A"/>
    <w:rsid w:val="00BB105A"/>
    <w:rsid w:val="00BB1333"/>
    <w:rsid w:val="00BB17F7"/>
    <w:rsid w:val="00BB1864"/>
    <w:rsid w:val="00BB19AF"/>
    <w:rsid w:val="00BB297D"/>
    <w:rsid w:val="00BB36A6"/>
    <w:rsid w:val="00BB3FA2"/>
    <w:rsid w:val="00BB5DEB"/>
    <w:rsid w:val="00BB6AD9"/>
    <w:rsid w:val="00BB6CFE"/>
    <w:rsid w:val="00BB749F"/>
    <w:rsid w:val="00BC0C13"/>
    <w:rsid w:val="00BC0DE0"/>
    <w:rsid w:val="00BC1A3C"/>
    <w:rsid w:val="00BC250A"/>
    <w:rsid w:val="00BC28EF"/>
    <w:rsid w:val="00BC2906"/>
    <w:rsid w:val="00BC3004"/>
    <w:rsid w:val="00BC4004"/>
    <w:rsid w:val="00BC48F7"/>
    <w:rsid w:val="00BC5AE2"/>
    <w:rsid w:val="00BC5FD4"/>
    <w:rsid w:val="00BC6271"/>
    <w:rsid w:val="00BC62D7"/>
    <w:rsid w:val="00BC7843"/>
    <w:rsid w:val="00BD1B92"/>
    <w:rsid w:val="00BD3E2B"/>
    <w:rsid w:val="00BD3FDE"/>
    <w:rsid w:val="00BD40B8"/>
    <w:rsid w:val="00BD47CF"/>
    <w:rsid w:val="00BD54E7"/>
    <w:rsid w:val="00BD6FC0"/>
    <w:rsid w:val="00BD7F8D"/>
    <w:rsid w:val="00BE1092"/>
    <w:rsid w:val="00BE130D"/>
    <w:rsid w:val="00BE1567"/>
    <w:rsid w:val="00BE2FCF"/>
    <w:rsid w:val="00BE38CA"/>
    <w:rsid w:val="00BE391E"/>
    <w:rsid w:val="00BE69D2"/>
    <w:rsid w:val="00BE75BA"/>
    <w:rsid w:val="00BF10E2"/>
    <w:rsid w:val="00BF1B1C"/>
    <w:rsid w:val="00BF1DC8"/>
    <w:rsid w:val="00BF3925"/>
    <w:rsid w:val="00BF400C"/>
    <w:rsid w:val="00BF44C6"/>
    <w:rsid w:val="00BF4DC5"/>
    <w:rsid w:val="00BF5A2B"/>
    <w:rsid w:val="00BF6304"/>
    <w:rsid w:val="00BF63F2"/>
    <w:rsid w:val="00BF7553"/>
    <w:rsid w:val="00BF7AF1"/>
    <w:rsid w:val="00BF7D0E"/>
    <w:rsid w:val="00C0090A"/>
    <w:rsid w:val="00C02A6E"/>
    <w:rsid w:val="00C0443B"/>
    <w:rsid w:val="00C044FF"/>
    <w:rsid w:val="00C057B5"/>
    <w:rsid w:val="00C058D6"/>
    <w:rsid w:val="00C0593D"/>
    <w:rsid w:val="00C10277"/>
    <w:rsid w:val="00C11CFC"/>
    <w:rsid w:val="00C12896"/>
    <w:rsid w:val="00C12A47"/>
    <w:rsid w:val="00C14E0E"/>
    <w:rsid w:val="00C1582F"/>
    <w:rsid w:val="00C15FB6"/>
    <w:rsid w:val="00C16486"/>
    <w:rsid w:val="00C16F94"/>
    <w:rsid w:val="00C1766B"/>
    <w:rsid w:val="00C176CF"/>
    <w:rsid w:val="00C17D6C"/>
    <w:rsid w:val="00C209EC"/>
    <w:rsid w:val="00C21A42"/>
    <w:rsid w:val="00C21D99"/>
    <w:rsid w:val="00C24514"/>
    <w:rsid w:val="00C249C4"/>
    <w:rsid w:val="00C24E7C"/>
    <w:rsid w:val="00C24FE5"/>
    <w:rsid w:val="00C255BD"/>
    <w:rsid w:val="00C259D4"/>
    <w:rsid w:val="00C27A8D"/>
    <w:rsid w:val="00C309A2"/>
    <w:rsid w:val="00C31914"/>
    <w:rsid w:val="00C31AAF"/>
    <w:rsid w:val="00C32A1D"/>
    <w:rsid w:val="00C3547A"/>
    <w:rsid w:val="00C3560C"/>
    <w:rsid w:val="00C36C8F"/>
    <w:rsid w:val="00C4244A"/>
    <w:rsid w:val="00C4245D"/>
    <w:rsid w:val="00C434FF"/>
    <w:rsid w:val="00C453CF"/>
    <w:rsid w:val="00C45593"/>
    <w:rsid w:val="00C45682"/>
    <w:rsid w:val="00C46DA9"/>
    <w:rsid w:val="00C475D7"/>
    <w:rsid w:val="00C5042A"/>
    <w:rsid w:val="00C50451"/>
    <w:rsid w:val="00C518E6"/>
    <w:rsid w:val="00C52418"/>
    <w:rsid w:val="00C52460"/>
    <w:rsid w:val="00C5337B"/>
    <w:rsid w:val="00C55D76"/>
    <w:rsid w:val="00C56587"/>
    <w:rsid w:val="00C5692B"/>
    <w:rsid w:val="00C579F2"/>
    <w:rsid w:val="00C6004F"/>
    <w:rsid w:val="00C60231"/>
    <w:rsid w:val="00C614F4"/>
    <w:rsid w:val="00C62230"/>
    <w:rsid w:val="00C65120"/>
    <w:rsid w:val="00C65778"/>
    <w:rsid w:val="00C67854"/>
    <w:rsid w:val="00C67CEE"/>
    <w:rsid w:val="00C712F5"/>
    <w:rsid w:val="00C719F6"/>
    <w:rsid w:val="00C72382"/>
    <w:rsid w:val="00C7657B"/>
    <w:rsid w:val="00C76C40"/>
    <w:rsid w:val="00C770DF"/>
    <w:rsid w:val="00C818C9"/>
    <w:rsid w:val="00C81FB5"/>
    <w:rsid w:val="00C8342B"/>
    <w:rsid w:val="00C83B05"/>
    <w:rsid w:val="00C83B77"/>
    <w:rsid w:val="00C84CA2"/>
    <w:rsid w:val="00C86EB6"/>
    <w:rsid w:val="00C87A4A"/>
    <w:rsid w:val="00C91C3A"/>
    <w:rsid w:val="00C924BE"/>
    <w:rsid w:val="00C95896"/>
    <w:rsid w:val="00C972F6"/>
    <w:rsid w:val="00CA1C82"/>
    <w:rsid w:val="00CA2103"/>
    <w:rsid w:val="00CA3E21"/>
    <w:rsid w:val="00CA42BA"/>
    <w:rsid w:val="00CA4E65"/>
    <w:rsid w:val="00CA6D07"/>
    <w:rsid w:val="00CB09AF"/>
    <w:rsid w:val="00CB1597"/>
    <w:rsid w:val="00CB2605"/>
    <w:rsid w:val="00CB2761"/>
    <w:rsid w:val="00CB29E1"/>
    <w:rsid w:val="00CB43C5"/>
    <w:rsid w:val="00CB6550"/>
    <w:rsid w:val="00CB714B"/>
    <w:rsid w:val="00CB71CB"/>
    <w:rsid w:val="00CB72FA"/>
    <w:rsid w:val="00CB76FB"/>
    <w:rsid w:val="00CC04FF"/>
    <w:rsid w:val="00CC0816"/>
    <w:rsid w:val="00CC16DE"/>
    <w:rsid w:val="00CC1893"/>
    <w:rsid w:val="00CC298B"/>
    <w:rsid w:val="00CC4B7E"/>
    <w:rsid w:val="00CD06A6"/>
    <w:rsid w:val="00CD10DD"/>
    <w:rsid w:val="00CD2D28"/>
    <w:rsid w:val="00CD39E3"/>
    <w:rsid w:val="00CD3D4F"/>
    <w:rsid w:val="00CD4C95"/>
    <w:rsid w:val="00CD5ECB"/>
    <w:rsid w:val="00CD5F51"/>
    <w:rsid w:val="00CD6D9D"/>
    <w:rsid w:val="00CE0794"/>
    <w:rsid w:val="00CE0BEC"/>
    <w:rsid w:val="00CE3AB3"/>
    <w:rsid w:val="00CE4EDB"/>
    <w:rsid w:val="00CE6017"/>
    <w:rsid w:val="00CE6734"/>
    <w:rsid w:val="00CF122D"/>
    <w:rsid w:val="00CF3065"/>
    <w:rsid w:val="00CF35DB"/>
    <w:rsid w:val="00CF4BDC"/>
    <w:rsid w:val="00CF62B1"/>
    <w:rsid w:val="00CF6337"/>
    <w:rsid w:val="00CF663E"/>
    <w:rsid w:val="00CF6748"/>
    <w:rsid w:val="00CF7A10"/>
    <w:rsid w:val="00CF7B31"/>
    <w:rsid w:val="00D005AE"/>
    <w:rsid w:val="00D02499"/>
    <w:rsid w:val="00D02D31"/>
    <w:rsid w:val="00D033D3"/>
    <w:rsid w:val="00D03C67"/>
    <w:rsid w:val="00D0578B"/>
    <w:rsid w:val="00D06597"/>
    <w:rsid w:val="00D105A2"/>
    <w:rsid w:val="00D10B69"/>
    <w:rsid w:val="00D11B4E"/>
    <w:rsid w:val="00D11D58"/>
    <w:rsid w:val="00D126BC"/>
    <w:rsid w:val="00D128F9"/>
    <w:rsid w:val="00D13783"/>
    <w:rsid w:val="00D13AFA"/>
    <w:rsid w:val="00D14763"/>
    <w:rsid w:val="00D16964"/>
    <w:rsid w:val="00D17143"/>
    <w:rsid w:val="00D17449"/>
    <w:rsid w:val="00D17697"/>
    <w:rsid w:val="00D2182C"/>
    <w:rsid w:val="00D22F8F"/>
    <w:rsid w:val="00D2328A"/>
    <w:rsid w:val="00D23DB8"/>
    <w:rsid w:val="00D24576"/>
    <w:rsid w:val="00D24C8E"/>
    <w:rsid w:val="00D25A47"/>
    <w:rsid w:val="00D25AA6"/>
    <w:rsid w:val="00D262A3"/>
    <w:rsid w:val="00D26522"/>
    <w:rsid w:val="00D2660C"/>
    <w:rsid w:val="00D27965"/>
    <w:rsid w:val="00D27C0B"/>
    <w:rsid w:val="00D3172D"/>
    <w:rsid w:val="00D31948"/>
    <w:rsid w:val="00D31FAA"/>
    <w:rsid w:val="00D32085"/>
    <w:rsid w:val="00D32A96"/>
    <w:rsid w:val="00D33327"/>
    <w:rsid w:val="00D33DF9"/>
    <w:rsid w:val="00D342D5"/>
    <w:rsid w:val="00D34716"/>
    <w:rsid w:val="00D368C1"/>
    <w:rsid w:val="00D37312"/>
    <w:rsid w:val="00D37B79"/>
    <w:rsid w:val="00D42777"/>
    <w:rsid w:val="00D44104"/>
    <w:rsid w:val="00D47336"/>
    <w:rsid w:val="00D5038E"/>
    <w:rsid w:val="00D51E86"/>
    <w:rsid w:val="00D5403D"/>
    <w:rsid w:val="00D54EFA"/>
    <w:rsid w:val="00D56365"/>
    <w:rsid w:val="00D56498"/>
    <w:rsid w:val="00D56794"/>
    <w:rsid w:val="00D578CA"/>
    <w:rsid w:val="00D606F5"/>
    <w:rsid w:val="00D60931"/>
    <w:rsid w:val="00D61827"/>
    <w:rsid w:val="00D62740"/>
    <w:rsid w:val="00D63C60"/>
    <w:rsid w:val="00D6402E"/>
    <w:rsid w:val="00D64820"/>
    <w:rsid w:val="00D6498C"/>
    <w:rsid w:val="00D64A05"/>
    <w:rsid w:val="00D652BC"/>
    <w:rsid w:val="00D66DB7"/>
    <w:rsid w:val="00D70AB4"/>
    <w:rsid w:val="00D714A9"/>
    <w:rsid w:val="00D71AA5"/>
    <w:rsid w:val="00D71ED7"/>
    <w:rsid w:val="00D72505"/>
    <w:rsid w:val="00D72F33"/>
    <w:rsid w:val="00D73607"/>
    <w:rsid w:val="00D73762"/>
    <w:rsid w:val="00D74B56"/>
    <w:rsid w:val="00D74E0E"/>
    <w:rsid w:val="00D75067"/>
    <w:rsid w:val="00D77059"/>
    <w:rsid w:val="00D77275"/>
    <w:rsid w:val="00D776C7"/>
    <w:rsid w:val="00D8238E"/>
    <w:rsid w:val="00D82E6C"/>
    <w:rsid w:val="00D82FE8"/>
    <w:rsid w:val="00D863FB"/>
    <w:rsid w:val="00D868FA"/>
    <w:rsid w:val="00D87D59"/>
    <w:rsid w:val="00D9079E"/>
    <w:rsid w:val="00D924FB"/>
    <w:rsid w:val="00D92DF4"/>
    <w:rsid w:val="00D93C66"/>
    <w:rsid w:val="00D93F23"/>
    <w:rsid w:val="00D94EF8"/>
    <w:rsid w:val="00D95F3C"/>
    <w:rsid w:val="00D9691C"/>
    <w:rsid w:val="00D97D58"/>
    <w:rsid w:val="00DA2ADD"/>
    <w:rsid w:val="00DA4068"/>
    <w:rsid w:val="00DA40AD"/>
    <w:rsid w:val="00DA43F0"/>
    <w:rsid w:val="00DA4ACB"/>
    <w:rsid w:val="00DA4D44"/>
    <w:rsid w:val="00DA571B"/>
    <w:rsid w:val="00DA5A74"/>
    <w:rsid w:val="00DA6169"/>
    <w:rsid w:val="00DA67C2"/>
    <w:rsid w:val="00DA73BB"/>
    <w:rsid w:val="00DA7891"/>
    <w:rsid w:val="00DA7FE8"/>
    <w:rsid w:val="00DB054D"/>
    <w:rsid w:val="00DB1FC5"/>
    <w:rsid w:val="00DB342A"/>
    <w:rsid w:val="00DB3E76"/>
    <w:rsid w:val="00DB4104"/>
    <w:rsid w:val="00DB5B2D"/>
    <w:rsid w:val="00DB5F2B"/>
    <w:rsid w:val="00DB7292"/>
    <w:rsid w:val="00DC10D6"/>
    <w:rsid w:val="00DC1E5C"/>
    <w:rsid w:val="00DC3269"/>
    <w:rsid w:val="00DC4A9E"/>
    <w:rsid w:val="00DC7392"/>
    <w:rsid w:val="00DD0D00"/>
    <w:rsid w:val="00DD3E92"/>
    <w:rsid w:val="00DD4839"/>
    <w:rsid w:val="00DD6023"/>
    <w:rsid w:val="00DD678F"/>
    <w:rsid w:val="00DD7587"/>
    <w:rsid w:val="00DE05C7"/>
    <w:rsid w:val="00DE0CED"/>
    <w:rsid w:val="00DE248B"/>
    <w:rsid w:val="00DE3241"/>
    <w:rsid w:val="00DE36B0"/>
    <w:rsid w:val="00DE3EB6"/>
    <w:rsid w:val="00DE4EB9"/>
    <w:rsid w:val="00DE7723"/>
    <w:rsid w:val="00DE77C4"/>
    <w:rsid w:val="00DE7A16"/>
    <w:rsid w:val="00DF2038"/>
    <w:rsid w:val="00DF2DAD"/>
    <w:rsid w:val="00DF3FE6"/>
    <w:rsid w:val="00E01152"/>
    <w:rsid w:val="00E03463"/>
    <w:rsid w:val="00E03E4B"/>
    <w:rsid w:val="00E04298"/>
    <w:rsid w:val="00E06C75"/>
    <w:rsid w:val="00E07C14"/>
    <w:rsid w:val="00E10CCC"/>
    <w:rsid w:val="00E117C2"/>
    <w:rsid w:val="00E12056"/>
    <w:rsid w:val="00E12922"/>
    <w:rsid w:val="00E12CFC"/>
    <w:rsid w:val="00E12F66"/>
    <w:rsid w:val="00E131A2"/>
    <w:rsid w:val="00E1378F"/>
    <w:rsid w:val="00E141E2"/>
    <w:rsid w:val="00E15046"/>
    <w:rsid w:val="00E1600D"/>
    <w:rsid w:val="00E175A1"/>
    <w:rsid w:val="00E17A6C"/>
    <w:rsid w:val="00E205D8"/>
    <w:rsid w:val="00E21591"/>
    <w:rsid w:val="00E22E60"/>
    <w:rsid w:val="00E231FD"/>
    <w:rsid w:val="00E246B8"/>
    <w:rsid w:val="00E24FAA"/>
    <w:rsid w:val="00E25CA8"/>
    <w:rsid w:val="00E27D8E"/>
    <w:rsid w:val="00E31585"/>
    <w:rsid w:val="00E33508"/>
    <w:rsid w:val="00E354B1"/>
    <w:rsid w:val="00E36D10"/>
    <w:rsid w:val="00E37014"/>
    <w:rsid w:val="00E405F5"/>
    <w:rsid w:val="00E41AAF"/>
    <w:rsid w:val="00E4334A"/>
    <w:rsid w:val="00E43E97"/>
    <w:rsid w:val="00E44E48"/>
    <w:rsid w:val="00E453B3"/>
    <w:rsid w:val="00E45AF6"/>
    <w:rsid w:val="00E4626D"/>
    <w:rsid w:val="00E46507"/>
    <w:rsid w:val="00E46557"/>
    <w:rsid w:val="00E466A9"/>
    <w:rsid w:val="00E466E5"/>
    <w:rsid w:val="00E46E71"/>
    <w:rsid w:val="00E5082B"/>
    <w:rsid w:val="00E50C7B"/>
    <w:rsid w:val="00E50E70"/>
    <w:rsid w:val="00E53162"/>
    <w:rsid w:val="00E537F9"/>
    <w:rsid w:val="00E538E5"/>
    <w:rsid w:val="00E53BC4"/>
    <w:rsid w:val="00E54C15"/>
    <w:rsid w:val="00E54C6A"/>
    <w:rsid w:val="00E55023"/>
    <w:rsid w:val="00E56D0B"/>
    <w:rsid w:val="00E60EEF"/>
    <w:rsid w:val="00E60FB7"/>
    <w:rsid w:val="00E61926"/>
    <w:rsid w:val="00E61FF6"/>
    <w:rsid w:val="00E63558"/>
    <w:rsid w:val="00E63F6C"/>
    <w:rsid w:val="00E64112"/>
    <w:rsid w:val="00E64883"/>
    <w:rsid w:val="00E65C79"/>
    <w:rsid w:val="00E65DD1"/>
    <w:rsid w:val="00E665FC"/>
    <w:rsid w:val="00E70B46"/>
    <w:rsid w:val="00E71B75"/>
    <w:rsid w:val="00E71BC7"/>
    <w:rsid w:val="00E723C8"/>
    <w:rsid w:val="00E724FD"/>
    <w:rsid w:val="00E72B86"/>
    <w:rsid w:val="00E73676"/>
    <w:rsid w:val="00E75476"/>
    <w:rsid w:val="00E75B46"/>
    <w:rsid w:val="00E7731A"/>
    <w:rsid w:val="00E7731C"/>
    <w:rsid w:val="00E8018D"/>
    <w:rsid w:val="00E82F14"/>
    <w:rsid w:val="00E82FC6"/>
    <w:rsid w:val="00E8303B"/>
    <w:rsid w:val="00E84161"/>
    <w:rsid w:val="00E84AE8"/>
    <w:rsid w:val="00E84F79"/>
    <w:rsid w:val="00E85207"/>
    <w:rsid w:val="00E8564A"/>
    <w:rsid w:val="00E86C24"/>
    <w:rsid w:val="00E933A7"/>
    <w:rsid w:val="00E93ABD"/>
    <w:rsid w:val="00E93AFA"/>
    <w:rsid w:val="00E94025"/>
    <w:rsid w:val="00E9443A"/>
    <w:rsid w:val="00E95E6E"/>
    <w:rsid w:val="00E961F0"/>
    <w:rsid w:val="00E96F81"/>
    <w:rsid w:val="00E96F8C"/>
    <w:rsid w:val="00E970F6"/>
    <w:rsid w:val="00E97C54"/>
    <w:rsid w:val="00EA0ABE"/>
    <w:rsid w:val="00EA2432"/>
    <w:rsid w:val="00EA53B0"/>
    <w:rsid w:val="00EA6BC8"/>
    <w:rsid w:val="00EA7824"/>
    <w:rsid w:val="00EA7CEC"/>
    <w:rsid w:val="00EA7E0B"/>
    <w:rsid w:val="00EB0688"/>
    <w:rsid w:val="00EB0A2E"/>
    <w:rsid w:val="00EB1E89"/>
    <w:rsid w:val="00EB3021"/>
    <w:rsid w:val="00EB3397"/>
    <w:rsid w:val="00EB430F"/>
    <w:rsid w:val="00EB4818"/>
    <w:rsid w:val="00EB4C97"/>
    <w:rsid w:val="00EB52FC"/>
    <w:rsid w:val="00EB5A60"/>
    <w:rsid w:val="00EB619F"/>
    <w:rsid w:val="00EC102A"/>
    <w:rsid w:val="00EC1A2C"/>
    <w:rsid w:val="00EC28CE"/>
    <w:rsid w:val="00EC55EE"/>
    <w:rsid w:val="00EC5FF3"/>
    <w:rsid w:val="00EC690B"/>
    <w:rsid w:val="00EC7662"/>
    <w:rsid w:val="00ED13C9"/>
    <w:rsid w:val="00ED1B61"/>
    <w:rsid w:val="00ED2BA5"/>
    <w:rsid w:val="00ED3D18"/>
    <w:rsid w:val="00ED57C5"/>
    <w:rsid w:val="00ED5DAC"/>
    <w:rsid w:val="00ED66B0"/>
    <w:rsid w:val="00ED67C9"/>
    <w:rsid w:val="00ED69FE"/>
    <w:rsid w:val="00EE02E4"/>
    <w:rsid w:val="00EE0F51"/>
    <w:rsid w:val="00EE1638"/>
    <w:rsid w:val="00EE3CBC"/>
    <w:rsid w:val="00EE5519"/>
    <w:rsid w:val="00EE5960"/>
    <w:rsid w:val="00EE665A"/>
    <w:rsid w:val="00EE6C51"/>
    <w:rsid w:val="00EE7010"/>
    <w:rsid w:val="00EE795D"/>
    <w:rsid w:val="00EF0DDE"/>
    <w:rsid w:val="00EF20D0"/>
    <w:rsid w:val="00EF22B6"/>
    <w:rsid w:val="00EF3141"/>
    <w:rsid w:val="00EF3975"/>
    <w:rsid w:val="00EF398F"/>
    <w:rsid w:val="00EF59B8"/>
    <w:rsid w:val="00EF6E64"/>
    <w:rsid w:val="00EF7518"/>
    <w:rsid w:val="00EF77D2"/>
    <w:rsid w:val="00F05C6B"/>
    <w:rsid w:val="00F05CEC"/>
    <w:rsid w:val="00F061E1"/>
    <w:rsid w:val="00F11544"/>
    <w:rsid w:val="00F11D80"/>
    <w:rsid w:val="00F12C1E"/>
    <w:rsid w:val="00F12ECA"/>
    <w:rsid w:val="00F13D81"/>
    <w:rsid w:val="00F14908"/>
    <w:rsid w:val="00F170A2"/>
    <w:rsid w:val="00F178AC"/>
    <w:rsid w:val="00F2059B"/>
    <w:rsid w:val="00F207CA"/>
    <w:rsid w:val="00F20976"/>
    <w:rsid w:val="00F21424"/>
    <w:rsid w:val="00F23E77"/>
    <w:rsid w:val="00F25474"/>
    <w:rsid w:val="00F2602F"/>
    <w:rsid w:val="00F26345"/>
    <w:rsid w:val="00F2642F"/>
    <w:rsid w:val="00F26C86"/>
    <w:rsid w:val="00F272F4"/>
    <w:rsid w:val="00F30252"/>
    <w:rsid w:val="00F30FF6"/>
    <w:rsid w:val="00F30FFE"/>
    <w:rsid w:val="00F3128F"/>
    <w:rsid w:val="00F31A56"/>
    <w:rsid w:val="00F33D7B"/>
    <w:rsid w:val="00F3408F"/>
    <w:rsid w:val="00F34C61"/>
    <w:rsid w:val="00F405B0"/>
    <w:rsid w:val="00F4083C"/>
    <w:rsid w:val="00F423EE"/>
    <w:rsid w:val="00F4276A"/>
    <w:rsid w:val="00F4296C"/>
    <w:rsid w:val="00F42A99"/>
    <w:rsid w:val="00F4404D"/>
    <w:rsid w:val="00F44A29"/>
    <w:rsid w:val="00F450DD"/>
    <w:rsid w:val="00F451E4"/>
    <w:rsid w:val="00F476DD"/>
    <w:rsid w:val="00F500F7"/>
    <w:rsid w:val="00F51120"/>
    <w:rsid w:val="00F52A54"/>
    <w:rsid w:val="00F5319B"/>
    <w:rsid w:val="00F5338D"/>
    <w:rsid w:val="00F538BA"/>
    <w:rsid w:val="00F57679"/>
    <w:rsid w:val="00F62C76"/>
    <w:rsid w:val="00F6414C"/>
    <w:rsid w:val="00F643D2"/>
    <w:rsid w:val="00F64BC4"/>
    <w:rsid w:val="00F651C4"/>
    <w:rsid w:val="00F65A95"/>
    <w:rsid w:val="00F662C3"/>
    <w:rsid w:val="00F66C44"/>
    <w:rsid w:val="00F6732E"/>
    <w:rsid w:val="00F67C08"/>
    <w:rsid w:val="00F710E5"/>
    <w:rsid w:val="00F71793"/>
    <w:rsid w:val="00F71BC5"/>
    <w:rsid w:val="00F72BF7"/>
    <w:rsid w:val="00F73B0A"/>
    <w:rsid w:val="00F7477E"/>
    <w:rsid w:val="00F74AC4"/>
    <w:rsid w:val="00F7594D"/>
    <w:rsid w:val="00F77088"/>
    <w:rsid w:val="00F77479"/>
    <w:rsid w:val="00F81919"/>
    <w:rsid w:val="00F81F60"/>
    <w:rsid w:val="00F8275A"/>
    <w:rsid w:val="00F82A49"/>
    <w:rsid w:val="00F83647"/>
    <w:rsid w:val="00F83835"/>
    <w:rsid w:val="00F85334"/>
    <w:rsid w:val="00F86247"/>
    <w:rsid w:val="00F863A4"/>
    <w:rsid w:val="00F8669C"/>
    <w:rsid w:val="00F86D9C"/>
    <w:rsid w:val="00F876BF"/>
    <w:rsid w:val="00F879ED"/>
    <w:rsid w:val="00F90C47"/>
    <w:rsid w:val="00F90EE3"/>
    <w:rsid w:val="00F90F97"/>
    <w:rsid w:val="00F92AE5"/>
    <w:rsid w:val="00F92ED3"/>
    <w:rsid w:val="00F9465D"/>
    <w:rsid w:val="00F94B05"/>
    <w:rsid w:val="00F9555C"/>
    <w:rsid w:val="00F95954"/>
    <w:rsid w:val="00F960BC"/>
    <w:rsid w:val="00F9726C"/>
    <w:rsid w:val="00FA1275"/>
    <w:rsid w:val="00FA2913"/>
    <w:rsid w:val="00FA3E79"/>
    <w:rsid w:val="00FA416E"/>
    <w:rsid w:val="00FA43C5"/>
    <w:rsid w:val="00FA45CD"/>
    <w:rsid w:val="00FA490C"/>
    <w:rsid w:val="00FA4E79"/>
    <w:rsid w:val="00FA4FA3"/>
    <w:rsid w:val="00FA6061"/>
    <w:rsid w:val="00FA76D0"/>
    <w:rsid w:val="00FB0544"/>
    <w:rsid w:val="00FB1F2A"/>
    <w:rsid w:val="00FB4970"/>
    <w:rsid w:val="00FB5641"/>
    <w:rsid w:val="00FB575B"/>
    <w:rsid w:val="00FB747B"/>
    <w:rsid w:val="00FB78E7"/>
    <w:rsid w:val="00FB7FE5"/>
    <w:rsid w:val="00FC2FD0"/>
    <w:rsid w:val="00FC3026"/>
    <w:rsid w:val="00FC3890"/>
    <w:rsid w:val="00FC3D06"/>
    <w:rsid w:val="00FC6640"/>
    <w:rsid w:val="00FC6E50"/>
    <w:rsid w:val="00FD0DEE"/>
    <w:rsid w:val="00FD1BF5"/>
    <w:rsid w:val="00FD2172"/>
    <w:rsid w:val="00FD4E31"/>
    <w:rsid w:val="00FD4ECC"/>
    <w:rsid w:val="00FD6314"/>
    <w:rsid w:val="00FD6F1D"/>
    <w:rsid w:val="00FE0B01"/>
    <w:rsid w:val="00FE2363"/>
    <w:rsid w:val="00FE36D3"/>
    <w:rsid w:val="00FE3FE2"/>
    <w:rsid w:val="00FE49FC"/>
    <w:rsid w:val="00FE4BF0"/>
    <w:rsid w:val="00FE6890"/>
    <w:rsid w:val="00FE6AA6"/>
    <w:rsid w:val="00FE703F"/>
    <w:rsid w:val="00FE7229"/>
    <w:rsid w:val="00FE7FF3"/>
    <w:rsid w:val="00FF00F2"/>
    <w:rsid w:val="00FF041D"/>
    <w:rsid w:val="00FF22D5"/>
    <w:rsid w:val="00FF2678"/>
    <w:rsid w:val="00FF3859"/>
    <w:rsid w:val="00FF5364"/>
    <w:rsid w:val="00FF5B59"/>
    <w:rsid w:val="00FF71C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519e,#b8b8ac,#009ee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0544"/>
    <w:pPr>
      <w:spacing w:after="180" w:line="260" w:lineRule="atLeast"/>
      <w:ind w:left="567"/>
    </w:pPr>
    <w:rPr>
      <w:rFonts w:ascii="Arial" w:hAnsi="Arial"/>
      <w:lang w:eastAsia="en-US"/>
    </w:rPr>
  </w:style>
  <w:style w:type="paragraph" w:styleId="Heading10">
    <w:name w:val="heading 1"/>
    <w:aliases w:val="h1,B1"/>
    <w:basedOn w:val="Normal"/>
    <w:next w:val="BodyText"/>
    <w:qFormat/>
    <w:rsid w:val="00FB0544"/>
    <w:pPr>
      <w:keepNext/>
      <w:pBdr>
        <w:bottom w:val="single" w:sz="4" w:space="1" w:color="auto"/>
      </w:pBdr>
      <w:tabs>
        <w:tab w:val="left" w:pos="1134"/>
      </w:tabs>
      <w:outlineLvl w:val="0"/>
    </w:pPr>
    <w:rPr>
      <w:rFonts w:ascii="Arial Narrow" w:hAnsi="Arial Narrow"/>
      <w:kern w:val="28"/>
      <w:sz w:val="40"/>
    </w:rPr>
  </w:style>
  <w:style w:type="paragraph" w:styleId="Heading20">
    <w:name w:val="heading 2"/>
    <w:aliases w:val="Not Kinhill Heading 2"/>
    <w:basedOn w:val="Normal"/>
    <w:next w:val="BodyText"/>
    <w:link w:val="Heading2Char"/>
    <w:qFormat/>
    <w:rsid w:val="00FB0544"/>
    <w:pPr>
      <w:keepNext/>
      <w:spacing w:before="240" w:after="120"/>
      <w:outlineLvl w:val="1"/>
    </w:pPr>
    <w:rPr>
      <w:rFonts w:ascii="Arial Narrow" w:hAnsi="Arial Narrow"/>
      <w:sz w:val="36"/>
    </w:rPr>
  </w:style>
  <w:style w:type="paragraph" w:styleId="Heading30">
    <w:name w:val="heading 3"/>
    <w:aliases w:val="H3"/>
    <w:basedOn w:val="Normal"/>
    <w:next w:val="BodyText"/>
    <w:qFormat/>
    <w:rsid w:val="00FB0544"/>
    <w:pPr>
      <w:keepNext/>
      <w:spacing w:before="240" w:after="120"/>
      <w:outlineLvl w:val="2"/>
    </w:pPr>
    <w:rPr>
      <w:rFonts w:ascii="Arial Narrow" w:hAnsi="Arial Narrow"/>
      <w:sz w:val="32"/>
    </w:rPr>
  </w:style>
  <w:style w:type="paragraph" w:styleId="Heading4">
    <w:name w:val="heading 4"/>
    <w:basedOn w:val="Normal"/>
    <w:next w:val="BodyText"/>
    <w:qFormat/>
    <w:rsid w:val="00FB0544"/>
    <w:pPr>
      <w:keepNext/>
      <w:tabs>
        <w:tab w:val="left" w:pos="1134"/>
      </w:tabs>
      <w:spacing w:before="120" w:after="120"/>
      <w:ind w:left="1134"/>
      <w:outlineLvl w:val="3"/>
    </w:pPr>
    <w:rPr>
      <w:rFonts w:ascii="Arial Narrow" w:hAnsi="Arial Narrow"/>
      <w:sz w:val="32"/>
    </w:rPr>
  </w:style>
  <w:style w:type="paragraph" w:styleId="Heading5">
    <w:name w:val="heading 5"/>
    <w:basedOn w:val="Normal"/>
    <w:next w:val="Normal"/>
    <w:qFormat/>
    <w:rsid w:val="00FB0544"/>
    <w:pPr>
      <w:numPr>
        <w:ilvl w:val="4"/>
        <w:numId w:val="12"/>
      </w:numPr>
      <w:spacing w:before="240" w:after="60"/>
      <w:outlineLvl w:val="4"/>
    </w:pPr>
    <w:rPr>
      <w:b/>
      <w:bCs/>
      <w:i/>
      <w:iCs/>
      <w:sz w:val="26"/>
      <w:szCs w:val="26"/>
    </w:rPr>
  </w:style>
  <w:style w:type="paragraph" w:styleId="Heading6">
    <w:name w:val="heading 6"/>
    <w:basedOn w:val="Normal"/>
    <w:next w:val="Normal"/>
    <w:qFormat/>
    <w:rsid w:val="00FB0544"/>
    <w:pPr>
      <w:numPr>
        <w:ilvl w:val="5"/>
        <w:numId w:val="12"/>
      </w:numPr>
      <w:spacing w:before="240" w:after="60"/>
      <w:outlineLvl w:val="5"/>
    </w:pPr>
    <w:rPr>
      <w:b/>
      <w:bCs/>
      <w:sz w:val="22"/>
      <w:szCs w:val="22"/>
    </w:rPr>
  </w:style>
  <w:style w:type="paragraph" w:styleId="Heading7">
    <w:name w:val="heading 7"/>
    <w:aliases w:val=" D'N'U,D'N'U"/>
    <w:basedOn w:val="Normal"/>
    <w:next w:val="Normal"/>
    <w:qFormat/>
    <w:rsid w:val="00FB0544"/>
    <w:pPr>
      <w:numPr>
        <w:ilvl w:val="6"/>
        <w:numId w:val="12"/>
      </w:numPr>
      <w:spacing w:before="240" w:after="60"/>
      <w:outlineLvl w:val="6"/>
    </w:pPr>
  </w:style>
  <w:style w:type="paragraph" w:styleId="Heading8">
    <w:name w:val="heading 8"/>
    <w:aliases w:val=" D.N.U,D.N.U"/>
    <w:basedOn w:val="Normal"/>
    <w:next w:val="Normal"/>
    <w:qFormat/>
    <w:rsid w:val="00FB0544"/>
    <w:pPr>
      <w:numPr>
        <w:ilvl w:val="7"/>
        <w:numId w:val="12"/>
      </w:numPr>
      <w:spacing w:before="240" w:after="60"/>
      <w:outlineLvl w:val="7"/>
    </w:pPr>
    <w:rPr>
      <w:i/>
      <w:iCs/>
    </w:rPr>
  </w:style>
  <w:style w:type="paragraph" w:styleId="Heading9">
    <w:name w:val="heading 9"/>
    <w:aliases w:val=" DNU,DNU"/>
    <w:basedOn w:val="Normal"/>
    <w:next w:val="Normal"/>
    <w:qFormat/>
    <w:rsid w:val="00FB0544"/>
    <w:pPr>
      <w:numPr>
        <w:ilvl w:val="8"/>
        <w:numId w:val="1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B0544"/>
    <w:pPr>
      <w:numPr>
        <w:numId w:val="7"/>
      </w:numPr>
    </w:pPr>
  </w:style>
  <w:style w:type="numbering" w:styleId="1ai">
    <w:name w:val="Outline List 1"/>
    <w:basedOn w:val="NoList"/>
    <w:rsid w:val="00FB0544"/>
    <w:pPr>
      <w:numPr>
        <w:numId w:val="8"/>
      </w:numPr>
    </w:pPr>
  </w:style>
  <w:style w:type="numbering" w:styleId="ArticleSection">
    <w:name w:val="Outline List 3"/>
    <w:basedOn w:val="NoList"/>
    <w:rsid w:val="00FB0544"/>
    <w:pPr>
      <w:numPr>
        <w:numId w:val="10"/>
      </w:numPr>
    </w:pPr>
  </w:style>
  <w:style w:type="paragraph" w:styleId="BlockText">
    <w:name w:val="Block Text"/>
    <w:basedOn w:val="Normal"/>
    <w:rsid w:val="00FB0544"/>
    <w:pPr>
      <w:spacing w:after="120"/>
      <w:ind w:left="1440" w:right="1440"/>
    </w:pPr>
  </w:style>
  <w:style w:type="paragraph" w:styleId="BodyText">
    <w:name w:val="Body Text"/>
    <w:aliases w:val="(Alt+1),block,bt,BodyText,b,Body Text before bullet,IRMS (T),TEXT BOX,body,Body,text,Body Text(Alt+1),b Char Char,b Char Char Char,b Char Char Char Char Char Char,Body Char1 Char1,b Char Ch...,Concepto,Body Text - Level 2,B,Brödtext Char,b Cha"/>
    <w:basedOn w:val="Normal"/>
    <w:link w:val="BodyTextChar"/>
    <w:rsid w:val="00FB0544"/>
    <w:pPr>
      <w:spacing w:after="120"/>
    </w:pPr>
  </w:style>
  <w:style w:type="paragraph" w:styleId="BodyText2">
    <w:name w:val="Body Text 2"/>
    <w:basedOn w:val="Normal"/>
    <w:rsid w:val="00FB0544"/>
    <w:pPr>
      <w:spacing w:after="120" w:line="480" w:lineRule="auto"/>
    </w:pPr>
  </w:style>
  <w:style w:type="paragraph" w:styleId="BodyText3">
    <w:name w:val="Body Text 3"/>
    <w:basedOn w:val="Normal"/>
    <w:rsid w:val="00FB0544"/>
    <w:pPr>
      <w:spacing w:after="120"/>
    </w:pPr>
    <w:rPr>
      <w:sz w:val="16"/>
      <w:szCs w:val="16"/>
    </w:rPr>
  </w:style>
  <w:style w:type="paragraph" w:styleId="BodyTextFirstIndent">
    <w:name w:val="Body Text First Indent"/>
    <w:basedOn w:val="BodyText"/>
    <w:rsid w:val="00FB0544"/>
    <w:pPr>
      <w:ind w:firstLine="210"/>
    </w:pPr>
  </w:style>
  <w:style w:type="paragraph" w:styleId="BodyTextIndent">
    <w:name w:val="Body Text Indent"/>
    <w:basedOn w:val="Normal"/>
    <w:rsid w:val="00FB0544"/>
    <w:pPr>
      <w:spacing w:after="120"/>
      <w:ind w:left="283"/>
    </w:pPr>
  </w:style>
  <w:style w:type="paragraph" w:styleId="BodyTextFirstIndent2">
    <w:name w:val="Body Text First Indent 2"/>
    <w:basedOn w:val="BodyTextIndent"/>
    <w:rsid w:val="00FB0544"/>
    <w:pPr>
      <w:ind w:firstLine="210"/>
    </w:pPr>
  </w:style>
  <w:style w:type="paragraph" w:styleId="BodyTextIndent2">
    <w:name w:val="Body Text Indent 2"/>
    <w:basedOn w:val="Normal"/>
    <w:rsid w:val="00FB0544"/>
    <w:pPr>
      <w:spacing w:after="120" w:line="480" w:lineRule="auto"/>
      <w:ind w:left="283"/>
    </w:pPr>
  </w:style>
  <w:style w:type="paragraph" w:styleId="BodyTextIndent3">
    <w:name w:val="Body Text Indent 3"/>
    <w:basedOn w:val="Normal"/>
    <w:rsid w:val="00FB0544"/>
    <w:pPr>
      <w:spacing w:after="120"/>
      <w:ind w:left="283"/>
    </w:pPr>
    <w:rPr>
      <w:sz w:val="16"/>
      <w:szCs w:val="16"/>
    </w:rPr>
  </w:style>
  <w:style w:type="paragraph" w:styleId="Closing">
    <w:name w:val="Closing"/>
    <w:basedOn w:val="Normal"/>
    <w:rsid w:val="00FB0544"/>
    <w:pPr>
      <w:ind w:left="4252"/>
    </w:pPr>
  </w:style>
  <w:style w:type="paragraph" w:styleId="Date">
    <w:name w:val="Date"/>
    <w:basedOn w:val="Normal"/>
    <w:next w:val="Normal"/>
    <w:rsid w:val="00FB0544"/>
  </w:style>
  <w:style w:type="paragraph" w:styleId="E-mailSignature">
    <w:name w:val="E-mail Signature"/>
    <w:basedOn w:val="Normal"/>
    <w:rsid w:val="00FB0544"/>
  </w:style>
  <w:style w:type="character" w:styleId="Emphasis">
    <w:name w:val="Emphasis"/>
    <w:basedOn w:val="DefaultParagraphFont"/>
    <w:uiPriority w:val="20"/>
    <w:qFormat/>
    <w:rsid w:val="00FB0544"/>
    <w:rPr>
      <w:i/>
      <w:iCs/>
    </w:rPr>
  </w:style>
  <w:style w:type="paragraph" w:styleId="EnvelopeAddress">
    <w:name w:val="envelope address"/>
    <w:basedOn w:val="Normal"/>
    <w:rsid w:val="00FB0544"/>
    <w:pPr>
      <w:framePr w:w="7920" w:h="1980" w:hRule="exact" w:hSpace="180" w:wrap="auto" w:hAnchor="page" w:xAlign="center" w:yAlign="bottom"/>
      <w:ind w:left="2880"/>
    </w:pPr>
    <w:rPr>
      <w:rFonts w:cs="Arial"/>
    </w:rPr>
  </w:style>
  <w:style w:type="paragraph" w:styleId="EnvelopeReturn">
    <w:name w:val="envelope return"/>
    <w:basedOn w:val="Normal"/>
    <w:rsid w:val="00FB0544"/>
    <w:rPr>
      <w:rFonts w:cs="Arial"/>
    </w:rPr>
  </w:style>
  <w:style w:type="character" w:styleId="FollowedHyperlink">
    <w:name w:val="FollowedHyperlink"/>
    <w:basedOn w:val="DefaultParagraphFont"/>
    <w:rsid w:val="00FB0544"/>
    <w:rPr>
      <w:color w:val="800080"/>
      <w:u w:val="single"/>
    </w:rPr>
  </w:style>
  <w:style w:type="paragraph" w:styleId="Footer">
    <w:name w:val="footer"/>
    <w:basedOn w:val="Normal"/>
    <w:rsid w:val="00FB0544"/>
    <w:pPr>
      <w:tabs>
        <w:tab w:val="center" w:pos="4320"/>
        <w:tab w:val="right" w:pos="8640"/>
      </w:tabs>
    </w:pPr>
  </w:style>
  <w:style w:type="paragraph" w:styleId="Header">
    <w:name w:val="header"/>
    <w:basedOn w:val="Normal"/>
    <w:rsid w:val="00FB0544"/>
    <w:pPr>
      <w:tabs>
        <w:tab w:val="center" w:pos="4320"/>
        <w:tab w:val="right" w:pos="8640"/>
      </w:tabs>
    </w:pPr>
  </w:style>
  <w:style w:type="character" w:styleId="HTMLAcronym">
    <w:name w:val="HTML Acronym"/>
    <w:basedOn w:val="DefaultParagraphFont"/>
    <w:rsid w:val="00FB0544"/>
  </w:style>
  <w:style w:type="paragraph" w:styleId="HTMLAddress">
    <w:name w:val="HTML Address"/>
    <w:basedOn w:val="Normal"/>
    <w:rsid w:val="00FB0544"/>
    <w:rPr>
      <w:i/>
      <w:iCs/>
    </w:rPr>
  </w:style>
  <w:style w:type="character" w:styleId="HTMLCite">
    <w:name w:val="HTML Cite"/>
    <w:basedOn w:val="DefaultParagraphFont"/>
    <w:rsid w:val="00FB0544"/>
    <w:rPr>
      <w:i/>
      <w:iCs/>
    </w:rPr>
  </w:style>
  <w:style w:type="character" w:styleId="HTMLCode">
    <w:name w:val="HTML Code"/>
    <w:basedOn w:val="DefaultParagraphFont"/>
    <w:rsid w:val="00FB0544"/>
    <w:rPr>
      <w:rFonts w:ascii="Courier New" w:hAnsi="Courier New" w:cs="Courier New"/>
      <w:sz w:val="20"/>
      <w:szCs w:val="20"/>
    </w:rPr>
  </w:style>
  <w:style w:type="character" w:styleId="HTMLDefinition">
    <w:name w:val="HTML Definition"/>
    <w:basedOn w:val="DefaultParagraphFont"/>
    <w:rsid w:val="00FB0544"/>
    <w:rPr>
      <w:i/>
      <w:iCs/>
    </w:rPr>
  </w:style>
  <w:style w:type="character" w:styleId="HTMLKeyboard">
    <w:name w:val="HTML Keyboard"/>
    <w:basedOn w:val="DefaultParagraphFont"/>
    <w:rsid w:val="00FB0544"/>
    <w:rPr>
      <w:rFonts w:ascii="Courier New" w:hAnsi="Courier New" w:cs="Courier New"/>
      <w:sz w:val="20"/>
      <w:szCs w:val="20"/>
    </w:rPr>
  </w:style>
  <w:style w:type="paragraph" w:styleId="HTMLPreformatted">
    <w:name w:val="HTML Preformatted"/>
    <w:basedOn w:val="Normal"/>
    <w:rsid w:val="00FB0544"/>
    <w:rPr>
      <w:rFonts w:ascii="Courier New" w:hAnsi="Courier New" w:cs="Courier New"/>
    </w:rPr>
  </w:style>
  <w:style w:type="character" w:styleId="HTMLSample">
    <w:name w:val="HTML Sample"/>
    <w:basedOn w:val="DefaultParagraphFont"/>
    <w:rsid w:val="00FB0544"/>
    <w:rPr>
      <w:rFonts w:ascii="Courier New" w:hAnsi="Courier New" w:cs="Courier New"/>
    </w:rPr>
  </w:style>
  <w:style w:type="character" w:styleId="HTMLTypewriter">
    <w:name w:val="HTML Typewriter"/>
    <w:basedOn w:val="DefaultParagraphFont"/>
    <w:rsid w:val="00FB0544"/>
    <w:rPr>
      <w:rFonts w:ascii="Courier New" w:hAnsi="Courier New" w:cs="Courier New"/>
      <w:sz w:val="20"/>
      <w:szCs w:val="20"/>
    </w:rPr>
  </w:style>
  <w:style w:type="character" w:styleId="HTMLVariable">
    <w:name w:val="HTML Variable"/>
    <w:basedOn w:val="DefaultParagraphFont"/>
    <w:rsid w:val="00FB0544"/>
    <w:rPr>
      <w:i/>
      <w:iCs/>
    </w:rPr>
  </w:style>
  <w:style w:type="character" w:styleId="Hyperlink">
    <w:name w:val="Hyperlink"/>
    <w:basedOn w:val="DefaultParagraphFont"/>
    <w:uiPriority w:val="99"/>
    <w:rsid w:val="00FB0544"/>
    <w:rPr>
      <w:color w:val="0000FF"/>
      <w:u w:val="single"/>
    </w:rPr>
  </w:style>
  <w:style w:type="character" w:styleId="LineNumber">
    <w:name w:val="line number"/>
    <w:basedOn w:val="DefaultParagraphFont"/>
    <w:rsid w:val="00FB0544"/>
  </w:style>
  <w:style w:type="paragraph" w:styleId="List">
    <w:name w:val="List"/>
    <w:basedOn w:val="Normal"/>
    <w:rsid w:val="00FB0544"/>
    <w:pPr>
      <w:ind w:left="283" w:hanging="283"/>
    </w:pPr>
  </w:style>
  <w:style w:type="paragraph" w:styleId="List2">
    <w:name w:val="List 2"/>
    <w:basedOn w:val="Normal"/>
    <w:rsid w:val="00FB0544"/>
    <w:pPr>
      <w:ind w:left="566" w:hanging="283"/>
    </w:pPr>
  </w:style>
  <w:style w:type="paragraph" w:styleId="List3">
    <w:name w:val="List 3"/>
    <w:basedOn w:val="Normal"/>
    <w:rsid w:val="00FB0544"/>
    <w:pPr>
      <w:ind w:left="849" w:hanging="283"/>
    </w:pPr>
  </w:style>
  <w:style w:type="paragraph" w:styleId="List4">
    <w:name w:val="List 4"/>
    <w:basedOn w:val="Normal"/>
    <w:rsid w:val="00FB0544"/>
    <w:pPr>
      <w:ind w:left="1132" w:hanging="283"/>
    </w:pPr>
  </w:style>
  <w:style w:type="paragraph" w:styleId="List5">
    <w:name w:val="List 5"/>
    <w:basedOn w:val="Normal"/>
    <w:rsid w:val="00FB0544"/>
    <w:pPr>
      <w:ind w:left="1415" w:hanging="283"/>
    </w:pPr>
  </w:style>
  <w:style w:type="paragraph" w:styleId="ListBullet">
    <w:name w:val="List Bullet"/>
    <w:basedOn w:val="Normal"/>
    <w:rsid w:val="00FB0544"/>
    <w:pPr>
      <w:numPr>
        <w:numId w:val="13"/>
      </w:numPr>
    </w:pPr>
  </w:style>
  <w:style w:type="paragraph" w:styleId="ListBullet2">
    <w:name w:val="List Bullet 2"/>
    <w:basedOn w:val="Normal"/>
    <w:rsid w:val="00FB0544"/>
    <w:pPr>
      <w:numPr>
        <w:numId w:val="14"/>
      </w:numPr>
    </w:pPr>
  </w:style>
  <w:style w:type="paragraph" w:styleId="ListBullet3">
    <w:name w:val="List Bullet 3"/>
    <w:basedOn w:val="Normal"/>
    <w:rsid w:val="00FB0544"/>
    <w:pPr>
      <w:numPr>
        <w:numId w:val="15"/>
      </w:numPr>
    </w:pPr>
  </w:style>
  <w:style w:type="paragraph" w:styleId="ListBullet4">
    <w:name w:val="List Bullet 4"/>
    <w:basedOn w:val="Normal"/>
    <w:rsid w:val="00FB0544"/>
    <w:pPr>
      <w:numPr>
        <w:numId w:val="16"/>
      </w:numPr>
    </w:pPr>
  </w:style>
  <w:style w:type="paragraph" w:styleId="ListBullet5">
    <w:name w:val="List Bullet 5"/>
    <w:basedOn w:val="Normal"/>
    <w:rsid w:val="00FB0544"/>
    <w:pPr>
      <w:numPr>
        <w:numId w:val="17"/>
      </w:numPr>
    </w:pPr>
  </w:style>
  <w:style w:type="paragraph" w:styleId="ListContinue">
    <w:name w:val="List Continue"/>
    <w:basedOn w:val="Normal"/>
    <w:rsid w:val="00FB0544"/>
    <w:pPr>
      <w:spacing w:after="120"/>
      <w:ind w:left="283"/>
    </w:pPr>
  </w:style>
  <w:style w:type="paragraph" w:styleId="ListContinue2">
    <w:name w:val="List Continue 2"/>
    <w:basedOn w:val="Normal"/>
    <w:rsid w:val="00FB0544"/>
    <w:pPr>
      <w:spacing w:after="120"/>
      <w:ind w:left="566"/>
    </w:pPr>
  </w:style>
  <w:style w:type="paragraph" w:styleId="ListContinue3">
    <w:name w:val="List Continue 3"/>
    <w:basedOn w:val="Normal"/>
    <w:rsid w:val="00FB0544"/>
    <w:pPr>
      <w:spacing w:after="120"/>
      <w:ind w:left="849"/>
    </w:pPr>
  </w:style>
  <w:style w:type="paragraph" w:styleId="ListContinue4">
    <w:name w:val="List Continue 4"/>
    <w:basedOn w:val="Normal"/>
    <w:rsid w:val="00FB0544"/>
    <w:pPr>
      <w:spacing w:after="120"/>
      <w:ind w:left="1132"/>
    </w:pPr>
  </w:style>
  <w:style w:type="paragraph" w:styleId="ListContinue5">
    <w:name w:val="List Continue 5"/>
    <w:basedOn w:val="Normal"/>
    <w:rsid w:val="00FB0544"/>
    <w:pPr>
      <w:spacing w:after="120"/>
      <w:ind w:left="1415"/>
    </w:pPr>
  </w:style>
  <w:style w:type="paragraph" w:styleId="ListNumber">
    <w:name w:val="List Number"/>
    <w:basedOn w:val="Normal"/>
    <w:rsid w:val="00FB0544"/>
    <w:pPr>
      <w:numPr>
        <w:numId w:val="18"/>
      </w:numPr>
    </w:pPr>
  </w:style>
  <w:style w:type="paragraph" w:styleId="ListNumber2">
    <w:name w:val="List Number 2"/>
    <w:basedOn w:val="Normal"/>
    <w:rsid w:val="00FB0544"/>
    <w:pPr>
      <w:numPr>
        <w:numId w:val="19"/>
      </w:numPr>
    </w:pPr>
  </w:style>
  <w:style w:type="paragraph" w:styleId="ListNumber3">
    <w:name w:val="List Number 3"/>
    <w:basedOn w:val="Normal"/>
    <w:rsid w:val="00FB0544"/>
    <w:pPr>
      <w:numPr>
        <w:numId w:val="20"/>
      </w:numPr>
    </w:pPr>
  </w:style>
  <w:style w:type="paragraph" w:styleId="ListNumber4">
    <w:name w:val="List Number 4"/>
    <w:basedOn w:val="Normal"/>
    <w:rsid w:val="00FB0544"/>
    <w:pPr>
      <w:numPr>
        <w:numId w:val="21"/>
      </w:numPr>
    </w:pPr>
  </w:style>
  <w:style w:type="paragraph" w:styleId="ListNumber5">
    <w:name w:val="List Number 5"/>
    <w:basedOn w:val="Normal"/>
    <w:rsid w:val="00FB0544"/>
    <w:pPr>
      <w:numPr>
        <w:numId w:val="22"/>
      </w:numPr>
    </w:pPr>
  </w:style>
  <w:style w:type="paragraph" w:styleId="MessageHeader">
    <w:name w:val="Message Header"/>
    <w:basedOn w:val="Normal"/>
    <w:rsid w:val="00FB054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aliases w:val=" webb"/>
    <w:basedOn w:val="Normal"/>
    <w:uiPriority w:val="99"/>
    <w:rsid w:val="00FB0544"/>
  </w:style>
  <w:style w:type="paragraph" w:styleId="NormalIndent">
    <w:name w:val="Normal Indent"/>
    <w:basedOn w:val="Normal"/>
    <w:rsid w:val="00FB0544"/>
    <w:pPr>
      <w:ind w:left="720"/>
    </w:pPr>
  </w:style>
  <w:style w:type="paragraph" w:styleId="NoteHeading">
    <w:name w:val="Note Heading"/>
    <w:basedOn w:val="Normal"/>
    <w:next w:val="Normal"/>
    <w:rsid w:val="00FB0544"/>
  </w:style>
  <w:style w:type="character" w:styleId="PageNumber">
    <w:name w:val="page number"/>
    <w:basedOn w:val="DefaultParagraphFont"/>
    <w:rsid w:val="00FB0544"/>
  </w:style>
  <w:style w:type="paragraph" w:styleId="PlainText">
    <w:name w:val="Plain Text"/>
    <w:basedOn w:val="Normal"/>
    <w:rsid w:val="00FB0544"/>
    <w:rPr>
      <w:rFonts w:ascii="Courier New" w:hAnsi="Courier New" w:cs="Courier New"/>
    </w:rPr>
  </w:style>
  <w:style w:type="paragraph" w:styleId="Salutation">
    <w:name w:val="Salutation"/>
    <w:basedOn w:val="Normal"/>
    <w:next w:val="Normal"/>
    <w:rsid w:val="00FB0544"/>
  </w:style>
  <w:style w:type="paragraph" w:styleId="Signature">
    <w:name w:val="Signature"/>
    <w:basedOn w:val="Normal"/>
    <w:rsid w:val="00FB0544"/>
    <w:pPr>
      <w:ind w:left="4252"/>
    </w:pPr>
  </w:style>
  <w:style w:type="character" w:styleId="Strong">
    <w:name w:val="Strong"/>
    <w:basedOn w:val="DefaultParagraphFont"/>
    <w:qFormat/>
    <w:rsid w:val="00FB0544"/>
    <w:rPr>
      <w:b/>
      <w:bCs/>
    </w:rPr>
  </w:style>
  <w:style w:type="paragraph" w:styleId="Subtitle">
    <w:name w:val="Subtitle"/>
    <w:basedOn w:val="Normal"/>
    <w:qFormat/>
    <w:rsid w:val="00FB0544"/>
    <w:pPr>
      <w:spacing w:after="60"/>
      <w:jc w:val="center"/>
      <w:outlineLvl w:val="1"/>
    </w:pPr>
    <w:rPr>
      <w:rFonts w:cs="Arial"/>
    </w:rPr>
  </w:style>
  <w:style w:type="table" w:styleId="Table3Deffects1">
    <w:name w:val="Table 3D effects 1"/>
    <w:basedOn w:val="TableNormal"/>
    <w:rsid w:val="00FB0544"/>
    <w:pPr>
      <w:spacing w:after="120" w:line="260" w:lineRule="atLeast"/>
      <w:ind w:left="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B0544"/>
    <w:pPr>
      <w:spacing w:after="120" w:line="260" w:lineRule="atLeast"/>
      <w:ind w:left="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B0544"/>
    <w:pPr>
      <w:spacing w:after="120" w:line="260" w:lineRule="atLeast"/>
      <w:ind w:left="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B0544"/>
    <w:pPr>
      <w:spacing w:after="120" w:line="260" w:lineRule="atLeast"/>
      <w:ind w:left="567"/>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B0544"/>
    <w:pPr>
      <w:spacing w:after="120" w:line="260" w:lineRule="atLeast"/>
      <w:ind w:left="567"/>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B0544"/>
    <w:pPr>
      <w:spacing w:after="120" w:line="260" w:lineRule="atLeast"/>
      <w:ind w:left="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B0544"/>
    <w:pPr>
      <w:spacing w:after="120" w:line="260" w:lineRule="atLeast"/>
      <w:ind w:left="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B0544"/>
    <w:pPr>
      <w:spacing w:after="120" w:line="260" w:lineRule="atLeast"/>
      <w:ind w:left="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B0544"/>
    <w:pPr>
      <w:spacing w:after="120" w:line="260" w:lineRule="atLeast"/>
      <w:ind w:left="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B0544"/>
    <w:pPr>
      <w:spacing w:after="120" w:line="260" w:lineRule="atLeast"/>
      <w:ind w:left="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B0544"/>
    <w:pPr>
      <w:spacing w:after="120" w:line="260" w:lineRule="atLeast"/>
      <w:ind w:left="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B0544"/>
    <w:pPr>
      <w:spacing w:after="120" w:line="260" w:lineRule="atLeast"/>
      <w:ind w:left="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B0544"/>
    <w:pPr>
      <w:spacing w:after="120" w:line="260" w:lineRule="atLeast"/>
      <w:ind w:left="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B0544"/>
    <w:pPr>
      <w:spacing w:after="120" w:line="260" w:lineRule="atLeast"/>
      <w:ind w:left="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B0544"/>
    <w:pPr>
      <w:spacing w:after="120" w:line="260" w:lineRule="atLeast"/>
      <w:ind w:left="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B0544"/>
    <w:pPr>
      <w:spacing w:after="120" w:line="260" w:lineRule="atLeast"/>
      <w:ind w:left="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B0544"/>
    <w:pPr>
      <w:spacing w:after="120" w:line="260" w:lineRule="atLeast"/>
      <w:ind w:left="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B0544"/>
    <w:pPr>
      <w:spacing w:after="120" w:line="260" w:lineRule="atLeas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B0544"/>
    <w:pPr>
      <w:spacing w:after="120" w:line="260" w:lineRule="atLeast"/>
      <w:ind w:left="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B0544"/>
    <w:pPr>
      <w:spacing w:after="120" w:line="260" w:lineRule="atLeast"/>
      <w:ind w:left="567"/>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B0544"/>
    <w:pPr>
      <w:spacing w:after="120" w:line="260" w:lineRule="atLeast"/>
      <w:ind w:left="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B0544"/>
    <w:pPr>
      <w:spacing w:after="120" w:line="260" w:lineRule="atLeast"/>
      <w:ind w:left="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B0544"/>
    <w:pPr>
      <w:spacing w:after="120" w:line="260" w:lineRule="atLeast"/>
      <w:ind w:left="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B0544"/>
    <w:pPr>
      <w:spacing w:after="120" w:line="260" w:lineRule="atLeast"/>
      <w:ind w:left="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B0544"/>
    <w:pPr>
      <w:spacing w:after="120" w:line="260" w:lineRule="atLeast"/>
      <w:ind w:left="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B0544"/>
    <w:pPr>
      <w:spacing w:after="120" w:line="260" w:lineRule="atLeast"/>
      <w:ind w:left="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B0544"/>
    <w:pPr>
      <w:spacing w:after="120" w:line="260" w:lineRule="atLeast"/>
      <w:ind w:left="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B0544"/>
    <w:pPr>
      <w:spacing w:after="120" w:line="260" w:lineRule="atLeast"/>
      <w:ind w:left="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B0544"/>
    <w:pPr>
      <w:spacing w:after="120" w:line="260" w:lineRule="atLeast"/>
      <w:ind w:left="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B0544"/>
    <w:pPr>
      <w:spacing w:after="120" w:line="260" w:lineRule="atLeast"/>
      <w:ind w:left="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B0544"/>
    <w:pPr>
      <w:spacing w:after="120" w:line="260" w:lineRule="atLeast"/>
      <w:ind w:left="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B0544"/>
    <w:pPr>
      <w:spacing w:after="120" w:line="260" w:lineRule="atLeast"/>
      <w:ind w:left="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B0544"/>
    <w:pPr>
      <w:spacing w:after="120" w:line="260" w:lineRule="atLeast"/>
      <w:ind w:left="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B0544"/>
    <w:pPr>
      <w:spacing w:after="120" w:line="260" w:lineRule="atLeast"/>
      <w:ind w:left="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B0544"/>
    <w:pPr>
      <w:spacing w:after="120" w:line="260" w:lineRule="atLeast"/>
      <w:ind w:left="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B0544"/>
    <w:pPr>
      <w:spacing w:after="120" w:line="260" w:lineRule="atLeast"/>
      <w:ind w:left="567"/>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B0544"/>
    <w:pPr>
      <w:spacing w:after="120" w:line="260" w:lineRule="atLeast"/>
      <w:ind w:left="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B0544"/>
    <w:pPr>
      <w:spacing w:after="120" w:line="260" w:lineRule="atLeast"/>
      <w:ind w:left="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B0544"/>
    <w:pPr>
      <w:spacing w:after="120" w:line="260" w:lineRule="atLeast"/>
      <w:ind w:left="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B0544"/>
    <w:pPr>
      <w:spacing w:after="120" w:line="260" w:lineRule="atLeast"/>
      <w:ind w:left="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B0544"/>
    <w:pPr>
      <w:spacing w:after="120" w:line="260" w:lineRule="atLeas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B0544"/>
    <w:pPr>
      <w:spacing w:after="120" w:line="260" w:lineRule="atLeast"/>
      <w:ind w:left="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B0544"/>
    <w:pPr>
      <w:spacing w:after="120" w:line="260" w:lineRule="atLeast"/>
      <w:ind w:left="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B0544"/>
    <w:pPr>
      <w:spacing w:after="120" w:line="260" w:lineRule="atLeast"/>
      <w:ind w:left="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B0544"/>
    <w:pPr>
      <w:spacing w:before="240" w:after="60"/>
      <w:jc w:val="center"/>
      <w:outlineLvl w:val="0"/>
    </w:pPr>
    <w:rPr>
      <w:rFonts w:cs="Arial"/>
      <w:b/>
      <w:bCs/>
      <w:kern w:val="28"/>
      <w:sz w:val="32"/>
      <w:szCs w:val="32"/>
    </w:rPr>
  </w:style>
  <w:style w:type="paragraph" w:customStyle="1" w:styleId="Header0">
    <w:name w:val="_Header"/>
    <w:basedOn w:val="ParaMargin"/>
    <w:rsid w:val="00FB0544"/>
    <w:pPr>
      <w:spacing w:after="20" w:line="240" w:lineRule="auto"/>
    </w:pPr>
    <w:rPr>
      <w:sz w:val="16"/>
    </w:rPr>
  </w:style>
  <w:style w:type="paragraph" w:customStyle="1" w:styleId="Footer0">
    <w:name w:val="_Footer"/>
    <w:basedOn w:val="ParaMargin"/>
    <w:rsid w:val="00FB0544"/>
    <w:pPr>
      <w:spacing w:before="20" w:after="0" w:line="240" w:lineRule="auto"/>
    </w:pPr>
    <w:rPr>
      <w:sz w:val="16"/>
    </w:rPr>
  </w:style>
  <w:style w:type="paragraph" w:customStyle="1" w:styleId="Info">
    <w:name w:val="_Info"/>
    <w:basedOn w:val="ParaMargin"/>
    <w:rsid w:val="00FB0544"/>
    <w:pPr>
      <w:spacing w:after="60" w:line="240" w:lineRule="auto"/>
    </w:pPr>
    <w:rPr>
      <w:sz w:val="16"/>
    </w:rPr>
  </w:style>
  <w:style w:type="paragraph" w:customStyle="1" w:styleId="ListAppxsFigsTables">
    <w:name w:val="_ListAppxsFigs&amp;Tables"/>
    <w:basedOn w:val="ParaMargin"/>
    <w:rsid w:val="00FB0544"/>
    <w:pPr>
      <w:tabs>
        <w:tab w:val="left" w:pos="567"/>
        <w:tab w:val="left" w:pos="1134"/>
        <w:tab w:val="right" w:leader="dot" w:pos="6804"/>
      </w:tabs>
      <w:spacing w:after="120"/>
      <w:ind w:left="567"/>
    </w:pPr>
    <w:rPr>
      <w:noProof/>
      <w:sz w:val="18"/>
    </w:rPr>
  </w:style>
  <w:style w:type="paragraph" w:customStyle="1" w:styleId="ParaMargin">
    <w:name w:val="_ParaMargin"/>
    <w:basedOn w:val="Normal"/>
    <w:qFormat/>
    <w:rsid w:val="00FB0544"/>
    <w:pPr>
      <w:ind w:left="0"/>
    </w:pPr>
  </w:style>
  <w:style w:type="paragraph" w:customStyle="1" w:styleId="ParaIndent">
    <w:name w:val="_ParaIndent"/>
    <w:basedOn w:val="BodyText"/>
    <w:link w:val="ParaIndentChar"/>
    <w:qFormat/>
    <w:rsid w:val="00FB0544"/>
    <w:pPr>
      <w:spacing w:after="180"/>
      <w:ind w:left="1134"/>
    </w:pPr>
  </w:style>
  <w:style w:type="paragraph" w:customStyle="1" w:styleId="AppxName">
    <w:name w:val="_AppxName"/>
    <w:basedOn w:val="ParaMargin"/>
    <w:qFormat/>
    <w:rsid w:val="00FB0544"/>
    <w:pPr>
      <w:spacing w:before="120" w:after="120"/>
    </w:pPr>
    <w:rPr>
      <w:caps/>
      <w:color w:val="00519E"/>
      <w:sz w:val="40"/>
    </w:rPr>
  </w:style>
  <w:style w:type="paragraph" w:customStyle="1" w:styleId="AppxNo">
    <w:name w:val="_AppxNo"/>
    <w:basedOn w:val="ParaMargin"/>
    <w:qFormat/>
    <w:rsid w:val="00FB0544"/>
    <w:pPr>
      <w:spacing w:before="120" w:after="120"/>
    </w:pPr>
    <w:rPr>
      <w:caps/>
      <w:color w:val="495F70"/>
      <w:sz w:val="36"/>
    </w:rPr>
  </w:style>
  <w:style w:type="paragraph" w:customStyle="1" w:styleId="Heading1">
    <w:name w:val="_Heading1"/>
    <w:basedOn w:val="Heading10"/>
    <w:next w:val="ParaIndent"/>
    <w:qFormat/>
    <w:rsid w:val="00FB0544"/>
    <w:pPr>
      <w:numPr>
        <w:numId w:val="12"/>
      </w:numPr>
      <w:pBdr>
        <w:bottom w:val="none" w:sz="0" w:space="0" w:color="auto"/>
      </w:pBdr>
    </w:pPr>
    <w:rPr>
      <w:rFonts w:ascii="Arial" w:hAnsi="Arial" w:cs="Arial"/>
      <w:caps/>
      <w:color w:val="495F70"/>
    </w:rPr>
  </w:style>
  <w:style w:type="paragraph" w:customStyle="1" w:styleId="Heading2">
    <w:name w:val="_Heading2"/>
    <w:basedOn w:val="Heading20"/>
    <w:next w:val="ParaIndent"/>
    <w:link w:val="Heading2Char0"/>
    <w:qFormat/>
    <w:rsid w:val="00ED1B61"/>
    <w:pPr>
      <w:numPr>
        <w:ilvl w:val="1"/>
        <w:numId w:val="12"/>
      </w:numPr>
      <w:spacing w:before="360" w:after="240"/>
    </w:pPr>
    <w:rPr>
      <w:rFonts w:ascii="Arial" w:hAnsi="Arial" w:cs="Arial"/>
      <w:color w:val="495F70"/>
      <w:sz w:val="32"/>
    </w:rPr>
  </w:style>
  <w:style w:type="paragraph" w:customStyle="1" w:styleId="Heading3">
    <w:name w:val="_Heading3"/>
    <w:basedOn w:val="Heading30"/>
    <w:next w:val="ParaIndent"/>
    <w:qFormat/>
    <w:rsid w:val="007D5D93"/>
    <w:pPr>
      <w:numPr>
        <w:numId w:val="28"/>
      </w:numPr>
      <w:shd w:val="clear" w:color="auto" w:fill="FFFFFF" w:themeFill="background1"/>
      <w:spacing w:before="360" w:after="180"/>
    </w:pPr>
    <w:rPr>
      <w:rFonts w:ascii="Arial" w:hAnsi="Arial" w:cs="Arial"/>
      <w:color w:val="495F70"/>
      <w:sz w:val="24"/>
    </w:rPr>
  </w:style>
  <w:style w:type="paragraph" w:customStyle="1" w:styleId="Heading40">
    <w:name w:val="_Heading4"/>
    <w:basedOn w:val="Heading4"/>
    <w:next w:val="ParaIndent"/>
    <w:qFormat/>
    <w:rsid w:val="000C4429"/>
    <w:pPr>
      <w:spacing w:before="240" w:after="180"/>
    </w:pPr>
    <w:rPr>
      <w:rFonts w:ascii="Arial" w:hAnsi="Arial" w:cs="Arial"/>
      <w:b/>
      <w:color w:val="495F70"/>
      <w:sz w:val="20"/>
    </w:rPr>
  </w:style>
  <w:style w:type="paragraph" w:customStyle="1" w:styleId="HeadingOther">
    <w:name w:val="_HeadingOther"/>
    <w:basedOn w:val="ParaMargin"/>
    <w:next w:val="ParaMargin"/>
    <w:qFormat/>
    <w:rsid w:val="00FB0544"/>
    <w:pPr>
      <w:keepNext/>
      <w:spacing w:before="120" w:after="120"/>
    </w:pPr>
    <w:rPr>
      <w:caps/>
      <w:color w:val="009EE0"/>
      <w:sz w:val="32"/>
    </w:rPr>
  </w:style>
  <w:style w:type="paragraph" w:customStyle="1" w:styleId="HeadingSub">
    <w:name w:val="_HeadingSub"/>
    <w:basedOn w:val="ParaMargin"/>
    <w:next w:val="ParaMargin"/>
    <w:qFormat/>
    <w:rsid w:val="00FB0544"/>
    <w:pPr>
      <w:keepNext/>
      <w:spacing w:before="120" w:after="120"/>
    </w:pPr>
    <w:rPr>
      <w:caps/>
      <w:color w:val="495F70"/>
      <w:sz w:val="40"/>
    </w:rPr>
  </w:style>
  <w:style w:type="paragraph" w:customStyle="1" w:styleId="HeadingTitle">
    <w:name w:val="_HeadingTitle"/>
    <w:basedOn w:val="ParaMargin"/>
    <w:next w:val="ParaMargin"/>
    <w:qFormat/>
    <w:rsid w:val="00FB0544"/>
    <w:pPr>
      <w:spacing w:before="120" w:after="120"/>
    </w:pPr>
    <w:rPr>
      <w:caps/>
      <w:color w:val="00519E"/>
      <w:sz w:val="44"/>
    </w:rPr>
  </w:style>
  <w:style w:type="paragraph" w:customStyle="1" w:styleId="PointsAlpha">
    <w:name w:val="_PointsAlpha"/>
    <w:basedOn w:val="ParaMargin"/>
    <w:qFormat/>
    <w:rsid w:val="00FB0544"/>
    <w:pPr>
      <w:numPr>
        <w:numId w:val="1"/>
      </w:numPr>
      <w:tabs>
        <w:tab w:val="left" w:pos="284"/>
      </w:tabs>
      <w:spacing w:after="120"/>
    </w:pPr>
  </w:style>
  <w:style w:type="paragraph" w:customStyle="1" w:styleId="PointsBullets">
    <w:name w:val="_PointsBullets"/>
    <w:basedOn w:val="ParaMargin"/>
    <w:qFormat/>
    <w:rsid w:val="00FB0544"/>
    <w:pPr>
      <w:numPr>
        <w:numId w:val="2"/>
      </w:numPr>
      <w:spacing w:after="120"/>
    </w:pPr>
  </w:style>
  <w:style w:type="paragraph" w:customStyle="1" w:styleId="PointsNumbers">
    <w:name w:val="_PointsNumbers"/>
    <w:basedOn w:val="ParaMargin"/>
    <w:qFormat/>
    <w:rsid w:val="00FB0544"/>
    <w:pPr>
      <w:numPr>
        <w:numId w:val="3"/>
      </w:numPr>
      <w:spacing w:after="120"/>
    </w:pPr>
  </w:style>
  <w:style w:type="paragraph" w:customStyle="1" w:styleId="Caption">
    <w:name w:val="_Caption"/>
    <w:basedOn w:val="ParaMargin"/>
    <w:next w:val="CaptionFollowOn"/>
    <w:qFormat/>
    <w:rsid w:val="006C61ED"/>
    <w:pPr>
      <w:keepNext/>
      <w:tabs>
        <w:tab w:val="left" w:pos="1134"/>
      </w:tabs>
      <w:spacing w:before="240" w:after="120"/>
      <w:ind w:left="1134" w:hanging="1134"/>
    </w:pPr>
    <w:rPr>
      <w:b/>
      <w:color w:val="495F70"/>
    </w:rPr>
  </w:style>
  <w:style w:type="paragraph" w:customStyle="1" w:styleId="CaptionFollowOn">
    <w:name w:val="_CaptionFollowOn"/>
    <w:basedOn w:val="ParaMargin"/>
    <w:next w:val="Normal"/>
    <w:qFormat/>
    <w:rsid w:val="00FB0544"/>
    <w:pPr>
      <w:tabs>
        <w:tab w:val="left" w:pos="1134"/>
      </w:tabs>
      <w:spacing w:before="120"/>
      <w:ind w:left="1134"/>
    </w:pPr>
    <w:rPr>
      <w:color w:val="495F70"/>
      <w:sz w:val="18"/>
    </w:rPr>
  </w:style>
  <w:style w:type="paragraph" w:customStyle="1" w:styleId="TableHeading">
    <w:name w:val="_TableHeading"/>
    <w:basedOn w:val="ParaMargin"/>
    <w:qFormat/>
    <w:rsid w:val="00FB0544"/>
    <w:pPr>
      <w:keepNext/>
      <w:tabs>
        <w:tab w:val="left" w:pos="284"/>
      </w:tabs>
      <w:spacing w:before="60" w:after="60"/>
    </w:pPr>
    <w:rPr>
      <w:b/>
      <w:color w:val="495F70"/>
      <w:sz w:val="18"/>
    </w:rPr>
  </w:style>
  <w:style w:type="paragraph" w:customStyle="1" w:styleId="TableText">
    <w:name w:val="_TableText"/>
    <w:basedOn w:val="ParaMargin"/>
    <w:qFormat/>
    <w:rsid w:val="00FB0544"/>
    <w:pPr>
      <w:spacing w:before="60" w:after="60"/>
    </w:pPr>
    <w:rPr>
      <w:sz w:val="18"/>
    </w:rPr>
  </w:style>
  <w:style w:type="paragraph" w:customStyle="1" w:styleId="ListHeading">
    <w:name w:val="_ListHeading"/>
    <w:basedOn w:val="ParaMargin"/>
    <w:next w:val="ParaMargin"/>
    <w:qFormat/>
    <w:rsid w:val="00FB0544"/>
    <w:pPr>
      <w:keepNext/>
      <w:spacing w:before="120" w:after="120"/>
    </w:pPr>
    <w:rPr>
      <w:caps/>
      <w:color w:val="495F70"/>
      <w:sz w:val="28"/>
    </w:rPr>
  </w:style>
  <w:style w:type="paragraph" w:customStyle="1" w:styleId="ListItem">
    <w:name w:val="_ListItem"/>
    <w:basedOn w:val="ParaMargin"/>
    <w:qFormat/>
    <w:rsid w:val="00FB0544"/>
    <w:pPr>
      <w:tabs>
        <w:tab w:val="left" w:pos="1134"/>
      </w:tabs>
      <w:spacing w:after="120"/>
      <w:ind w:left="1134"/>
    </w:pPr>
  </w:style>
  <w:style w:type="paragraph" w:styleId="TOC1">
    <w:name w:val="toc 1"/>
    <w:basedOn w:val="ToC10"/>
    <w:uiPriority w:val="39"/>
    <w:rsid w:val="00FB0544"/>
  </w:style>
  <w:style w:type="paragraph" w:styleId="TOC2">
    <w:name w:val="toc 2"/>
    <w:basedOn w:val="ToC20"/>
    <w:uiPriority w:val="39"/>
    <w:rsid w:val="00FB0544"/>
  </w:style>
  <w:style w:type="paragraph" w:customStyle="1" w:styleId="ToC10">
    <w:name w:val="_ToC1"/>
    <w:basedOn w:val="ParaMargin"/>
    <w:rsid w:val="00FB0544"/>
    <w:pPr>
      <w:tabs>
        <w:tab w:val="left" w:pos="567"/>
        <w:tab w:val="right" w:leader="dot" w:pos="6804"/>
      </w:tabs>
      <w:spacing w:before="40" w:after="40"/>
      <w:ind w:left="567" w:right="2835" w:hanging="567"/>
    </w:pPr>
    <w:rPr>
      <w:color w:val="495F70"/>
    </w:rPr>
  </w:style>
  <w:style w:type="paragraph" w:customStyle="1" w:styleId="ToC20">
    <w:name w:val="_ToC2"/>
    <w:basedOn w:val="ParaMargin"/>
    <w:rsid w:val="00FB0544"/>
    <w:pPr>
      <w:tabs>
        <w:tab w:val="left" w:pos="567"/>
        <w:tab w:val="left" w:pos="1134"/>
        <w:tab w:val="right" w:leader="dot" w:pos="6804"/>
      </w:tabs>
      <w:spacing w:before="40" w:after="40"/>
      <w:ind w:left="1134" w:right="2835" w:hanging="567"/>
    </w:pPr>
    <w:rPr>
      <w:sz w:val="18"/>
    </w:rPr>
  </w:style>
  <w:style w:type="paragraph" w:customStyle="1" w:styleId="ToC3">
    <w:name w:val="_ToC3"/>
    <w:basedOn w:val="ToC20"/>
    <w:rsid w:val="00FB0544"/>
    <w:pPr>
      <w:tabs>
        <w:tab w:val="left" w:pos="2268"/>
      </w:tabs>
      <w:spacing w:before="20" w:after="20"/>
      <w:ind w:left="1985" w:hanging="851"/>
    </w:pPr>
  </w:style>
  <w:style w:type="paragraph" w:customStyle="1" w:styleId="HeadingMinorCyan">
    <w:name w:val="_HeadingMinorCyan"/>
    <w:basedOn w:val="TableText"/>
    <w:qFormat/>
    <w:rsid w:val="00FB0544"/>
    <w:pPr>
      <w:keepNext/>
      <w:spacing w:before="0" w:after="120"/>
    </w:pPr>
    <w:rPr>
      <w:b/>
      <w:color w:val="009EE0"/>
      <w:sz w:val="20"/>
    </w:rPr>
  </w:style>
  <w:style w:type="paragraph" w:styleId="TOC30">
    <w:name w:val="toc 3"/>
    <w:basedOn w:val="ToC3"/>
    <w:uiPriority w:val="39"/>
    <w:rsid w:val="00FB0544"/>
  </w:style>
  <w:style w:type="paragraph" w:styleId="TOC4">
    <w:name w:val="toc 4"/>
    <w:basedOn w:val="ToC40"/>
    <w:rsid w:val="00FB0544"/>
  </w:style>
  <w:style w:type="paragraph" w:styleId="Caption0">
    <w:name w:val="caption"/>
    <w:basedOn w:val="Normal"/>
    <w:next w:val="Normal"/>
    <w:qFormat/>
    <w:rsid w:val="00FB0544"/>
    <w:pPr>
      <w:spacing w:before="120"/>
      <w:ind w:left="1134" w:hanging="1134"/>
    </w:pPr>
    <w:rPr>
      <w:rFonts w:ascii="Arial Narrow" w:hAnsi="Arial Narrow"/>
      <w:b/>
    </w:rPr>
  </w:style>
  <w:style w:type="paragraph" w:styleId="BalloonText">
    <w:name w:val="Balloon Text"/>
    <w:basedOn w:val="Normal"/>
    <w:rsid w:val="00FB0544"/>
    <w:rPr>
      <w:rFonts w:ascii="Tahoma" w:hAnsi="Tahoma" w:cs="Tahoma"/>
      <w:sz w:val="16"/>
      <w:szCs w:val="16"/>
    </w:rPr>
  </w:style>
  <w:style w:type="paragraph" w:customStyle="1" w:styleId="InfoBold">
    <w:name w:val="_InfoBold"/>
    <w:basedOn w:val="Info"/>
    <w:next w:val="Info"/>
    <w:rsid w:val="00FB0544"/>
    <w:rPr>
      <w:b/>
    </w:rPr>
  </w:style>
  <w:style w:type="paragraph" w:customStyle="1" w:styleId="HeadingCategory">
    <w:name w:val="_HeadingCategory"/>
    <w:basedOn w:val="ParaMargin"/>
    <w:next w:val="ParaMargin"/>
    <w:qFormat/>
    <w:rsid w:val="00FB0544"/>
    <w:pPr>
      <w:spacing w:after="120"/>
    </w:pPr>
    <w:rPr>
      <w:color w:val="495F70"/>
      <w:sz w:val="36"/>
    </w:rPr>
  </w:style>
  <w:style w:type="paragraph" w:customStyle="1" w:styleId="InfoLetter">
    <w:name w:val="_InfoLetter"/>
    <w:basedOn w:val="ParaMargin"/>
    <w:next w:val="ParaMargin"/>
    <w:rsid w:val="00FB0544"/>
    <w:pPr>
      <w:spacing w:after="0"/>
    </w:pPr>
  </w:style>
  <w:style w:type="paragraph" w:customStyle="1" w:styleId="PathFileName">
    <w:name w:val="_PathFileName"/>
    <w:basedOn w:val="Footer0"/>
    <w:rsid w:val="00FB0544"/>
    <w:rPr>
      <w:sz w:val="14"/>
    </w:rPr>
  </w:style>
  <w:style w:type="paragraph" w:customStyle="1" w:styleId="Data">
    <w:name w:val="_Data"/>
    <w:basedOn w:val="ParaMargin"/>
    <w:rsid w:val="00FB0544"/>
    <w:pPr>
      <w:spacing w:after="60"/>
    </w:pPr>
    <w:rPr>
      <w:sz w:val="18"/>
    </w:rPr>
  </w:style>
  <w:style w:type="paragraph" w:customStyle="1" w:styleId="DataBold">
    <w:name w:val="_DataBold"/>
    <w:basedOn w:val="Data"/>
    <w:next w:val="Data"/>
    <w:rsid w:val="00FB0544"/>
    <w:rPr>
      <w:b/>
    </w:rPr>
  </w:style>
  <w:style w:type="character" w:customStyle="1" w:styleId="ParaIndentChar">
    <w:name w:val="_ParaIndent Char"/>
    <w:basedOn w:val="DefaultParagraphFont"/>
    <w:link w:val="ParaIndent"/>
    <w:rsid w:val="008729A1"/>
    <w:rPr>
      <w:rFonts w:ascii="Arial" w:hAnsi="Arial"/>
      <w:lang w:eastAsia="en-US"/>
    </w:rPr>
  </w:style>
  <w:style w:type="paragraph" w:customStyle="1" w:styleId="TablePointsAlpha">
    <w:name w:val="_TablePointsAlpha"/>
    <w:basedOn w:val="PointsAlpha"/>
    <w:qFormat/>
    <w:rsid w:val="00FB0544"/>
    <w:pPr>
      <w:numPr>
        <w:numId w:val="4"/>
      </w:numPr>
      <w:spacing w:before="60" w:after="60"/>
    </w:pPr>
    <w:rPr>
      <w:sz w:val="18"/>
    </w:rPr>
  </w:style>
  <w:style w:type="paragraph" w:customStyle="1" w:styleId="TablePointsBullets">
    <w:name w:val="_TablePointsBullets"/>
    <w:basedOn w:val="PointsBullets"/>
    <w:qFormat/>
    <w:rsid w:val="00FB0544"/>
    <w:pPr>
      <w:numPr>
        <w:numId w:val="5"/>
      </w:numPr>
      <w:spacing w:before="60" w:after="60"/>
    </w:pPr>
    <w:rPr>
      <w:sz w:val="18"/>
    </w:rPr>
  </w:style>
  <w:style w:type="paragraph" w:customStyle="1" w:styleId="TablePointsNumbers">
    <w:name w:val="_TablePointsNumbers"/>
    <w:basedOn w:val="PointsNumbers"/>
    <w:qFormat/>
    <w:rsid w:val="00FB0544"/>
    <w:pPr>
      <w:numPr>
        <w:numId w:val="6"/>
      </w:numPr>
      <w:spacing w:before="60" w:after="60"/>
    </w:pPr>
    <w:rPr>
      <w:sz w:val="18"/>
    </w:rPr>
  </w:style>
  <w:style w:type="paragraph" w:customStyle="1" w:styleId="FooterBlue">
    <w:name w:val="_FooterBlue"/>
    <w:basedOn w:val="Footer0"/>
    <w:rsid w:val="00FB0544"/>
    <w:rPr>
      <w:color w:val="0000FF"/>
    </w:rPr>
  </w:style>
  <w:style w:type="paragraph" w:customStyle="1" w:styleId="HeadingTitleWhite">
    <w:name w:val="_HeadingTitleWhite"/>
    <w:basedOn w:val="HeadingTitle"/>
    <w:next w:val="ParaMargin"/>
    <w:qFormat/>
    <w:rsid w:val="00FB0544"/>
    <w:rPr>
      <w:color w:val="FFFFFF"/>
    </w:rPr>
  </w:style>
  <w:style w:type="paragraph" w:customStyle="1" w:styleId="FooterWhite">
    <w:name w:val="_FooterWhite"/>
    <w:basedOn w:val="Footer0"/>
    <w:rsid w:val="00FB0544"/>
    <w:rPr>
      <w:color w:val="FFFFFF"/>
    </w:rPr>
  </w:style>
  <w:style w:type="paragraph" w:customStyle="1" w:styleId="HeadingInfo">
    <w:name w:val="_HeadingInfo"/>
    <w:basedOn w:val="ParaMargin"/>
    <w:qFormat/>
    <w:rsid w:val="00FB0544"/>
    <w:pPr>
      <w:spacing w:before="120" w:after="120"/>
    </w:pPr>
    <w:rPr>
      <w:sz w:val="24"/>
    </w:rPr>
  </w:style>
  <w:style w:type="paragraph" w:customStyle="1" w:styleId="HeadingMinor">
    <w:name w:val="_HeadingMinor"/>
    <w:basedOn w:val="ParaMargin"/>
    <w:next w:val="ParaMargin"/>
    <w:qFormat/>
    <w:rsid w:val="00FB0544"/>
    <w:pPr>
      <w:keepNext/>
      <w:spacing w:before="240" w:after="120"/>
    </w:pPr>
    <w:rPr>
      <w:b/>
    </w:rPr>
  </w:style>
  <w:style w:type="paragraph" w:customStyle="1" w:styleId="HeadingName">
    <w:name w:val="_HeadingName"/>
    <w:basedOn w:val="HeadingTitle"/>
    <w:qFormat/>
    <w:rsid w:val="00FB0544"/>
    <w:pPr>
      <w:keepNext/>
      <w:spacing w:before="0" w:after="0"/>
    </w:pPr>
  </w:style>
  <w:style w:type="paragraph" w:customStyle="1" w:styleId="ParaIntroduction">
    <w:name w:val="_ParaIntroduction"/>
    <w:basedOn w:val="ParaMargin"/>
    <w:qFormat/>
    <w:rsid w:val="00FB0544"/>
    <w:pPr>
      <w:spacing w:before="120"/>
    </w:pPr>
    <w:rPr>
      <w:sz w:val="24"/>
    </w:rPr>
  </w:style>
  <w:style w:type="paragraph" w:customStyle="1" w:styleId="InfoBoldCyan">
    <w:name w:val="_InfoBoldCyan"/>
    <w:basedOn w:val="InfoBold"/>
    <w:next w:val="Info"/>
    <w:rsid w:val="00FB0544"/>
    <w:rPr>
      <w:color w:val="009EE0"/>
    </w:rPr>
  </w:style>
  <w:style w:type="paragraph" w:customStyle="1" w:styleId="ParaIntroCyan">
    <w:name w:val="_ParaIntroCyan"/>
    <w:basedOn w:val="ParaIndent"/>
    <w:next w:val="ParaIndent"/>
    <w:rsid w:val="00FB0544"/>
    <w:rPr>
      <w:color w:val="009EE0"/>
    </w:rPr>
  </w:style>
  <w:style w:type="paragraph" w:customStyle="1" w:styleId="PullQuote">
    <w:name w:val="_PullQuote"/>
    <w:basedOn w:val="ParaMargin"/>
    <w:rsid w:val="00FB0544"/>
    <w:pPr>
      <w:spacing w:after="0"/>
    </w:pPr>
    <w:rPr>
      <w:color w:val="FFFFFF"/>
    </w:rPr>
  </w:style>
  <w:style w:type="paragraph" w:customStyle="1" w:styleId="AlphaPoints">
    <w:name w:val="Alpha Points"/>
    <w:basedOn w:val="BodyText"/>
    <w:semiHidden/>
    <w:rsid w:val="00FB0544"/>
    <w:pPr>
      <w:numPr>
        <w:numId w:val="9"/>
      </w:numPr>
      <w:spacing w:after="180"/>
    </w:pPr>
  </w:style>
  <w:style w:type="paragraph" w:customStyle="1" w:styleId="BulletPoints">
    <w:name w:val="Bullet Points"/>
    <w:basedOn w:val="BodyText"/>
    <w:link w:val="BulletPointsChar"/>
    <w:rsid w:val="00FB0544"/>
    <w:pPr>
      <w:numPr>
        <w:numId w:val="11"/>
      </w:numPr>
    </w:pPr>
  </w:style>
  <w:style w:type="character" w:styleId="CommentReference">
    <w:name w:val="annotation reference"/>
    <w:basedOn w:val="DefaultParagraphFont"/>
    <w:rsid w:val="00FB0544"/>
    <w:rPr>
      <w:sz w:val="16"/>
      <w:szCs w:val="16"/>
    </w:rPr>
  </w:style>
  <w:style w:type="paragraph" w:styleId="CommentText">
    <w:name w:val="annotation text"/>
    <w:basedOn w:val="Normal"/>
    <w:rsid w:val="00FB0544"/>
  </w:style>
  <w:style w:type="paragraph" w:styleId="CommentSubject">
    <w:name w:val="annotation subject"/>
    <w:basedOn w:val="CommentText"/>
    <w:next w:val="CommentText"/>
    <w:rsid w:val="00FB0544"/>
    <w:rPr>
      <w:b/>
      <w:bCs/>
    </w:rPr>
  </w:style>
  <w:style w:type="paragraph" w:styleId="DocumentMap">
    <w:name w:val="Document Map"/>
    <w:basedOn w:val="Normal"/>
    <w:rsid w:val="00FB0544"/>
    <w:pPr>
      <w:shd w:val="clear" w:color="auto" w:fill="000080"/>
    </w:pPr>
    <w:rPr>
      <w:rFonts w:ascii="Tahoma" w:hAnsi="Tahoma" w:cs="Tahoma"/>
    </w:rPr>
  </w:style>
  <w:style w:type="character" w:styleId="EndnoteReference">
    <w:name w:val="endnote reference"/>
    <w:basedOn w:val="DefaultParagraphFont"/>
    <w:rsid w:val="00FB0544"/>
    <w:rPr>
      <w:vertAlign w:val="superscript"/>
    </w:rPr>
  </w:style>
  <w:style w:type="paragraph" w:styleId="EndnoteText">
    <w:name w:val="endnote text"/>
    <w:basedOn w:val="Normal"/>
    <w:rsid w:val="00FB0544"/>
    <w:rPr>
      <w:sz w:val="18"/>
    </w:rPr>
  </w:style>
  <w:style w:type="character" w:styleId="FootnoteReference">
    <w:name w:val="footnote reference"/>
    <w:basedOn w:val="DefaultParagraphFont"/>
    <w:uiPriority w:val="99"/>
    <w:rsid w:val="00FB0544"/>
    <w:rPr>
      <w:vertAlign w:val="superscript"/>
    </w:rPr>
  </w:style>
  <w:style w:type="paragraph" w:styleId="FootnoteText">
    <w:name w:val="footnote text"/>
    <w:basedOn w:val="Normal"/>
    <w:rsid w:val="00FB0544"/>
    <w:rPr>
      <w:sz w:val="18"/>
    </w:rPr>
  </w:style>
  <w:style w:type="paragraph" w:customStyle="1" w:styleId="Heading">
    <w:name w:val="Heading"/>
    <w:basedOn w:val="Normal"/>
    <w:next w:val="Header"/>
    <w:semiHidden/>
    <w:rsid w:val="00FB0544"/>
    <w:pPr>
      <w:spacing w:before="120" w:after="120"/>
      <w:jc w:val="right"/>
    </w:pPr>
    <w:rPr>
      <w:sz w:val="40"/>
    </w:rPr>
  </w:style>
  <w:style w:type="paragraph" w:styleId="Index1">
    <w:name w:val="index 1"/>
    <w:basedOn w:val="Normal"/>
    <w:next w:val="Normal"/>
    <w:autoRedefine/>
    <w:rsid w:val="00FB0544"/>
    <w:pPr>
      <w:ind w:left="200" w:hanging="200"/>
    </w:pPr>
  </w:style>
  <w:style w:type="paragraph" w:styleId="Index2">
    <w:name w:val="index 2"/>
    <w:basedOn w:val="Normal"/>
    <w:next w:val="Normal"/>
    <w:autoRedefine/>
    <w:rsid w:val="00FB0544"/>
    <w:pPr>
      <w:ind w:left="400" w:hanging="200"/>
    </w:pPr>
  </w:style>
  <w:style w:type="paragraph" w:styleId="Index3">
    <w:name w:val="index 3"/>
    <w:basedOn w:val="Normal"/>
    <w:next w:val="Normal"/>
    <w:autoRedefine/>
    <w:rsid w:val="00FB0544"/>
    <w:pPr>
      <w:ind w:left="600" w:hanging="200"/>
    </w:pPr>
  </w:style>
  <w:style w:type="paragraph" w:styleId="Index4">
    <w:name w:val="index 4"/>
    <w:basedOn w:val="Normal"/>
    <w:next w:val="Normal"/>
    <w:autoRedefine/>
    <w:rsid w:val="00FB0544"/>
    <w:pPr>
      <w:ind w:left="800" w:hanging="200"/>
    </w:pPr>
  </w:style>
  <w:style w:type="paragraph" w:styleId="Index5">
    <w:name w:val="index 5"/>
    <w:basedOn w:val="Normal"/>
    <w:next w:val="Normal"/>
    <w:autoRedefine/>
    <w:rsid w:val="00FB0544"/>
    <w:pPr>
      <w:ind w:left="1000" w:hanging="200"/>
    </w:pPr>
  </w:style>
  <w:style w:type="paragraph" w:styleId="Index6">
    <w:name w:val="index 6"/>
    <w:basedOn w:val="Normal"/>
    <w:next w:val="Normal"/>
    <w:autoRedefine/>
    <w:rsid w:val="00FB0544"/>
    <w:pPr>
      <w:ind w:left="1200" w:hanging="200"/>
    </w:pPr>
  </w:style>
  <w:style w:type="paragraph" w:styleId="Index7">
    <w:name w:val="index 7"/>
    <w:basedOn w:val="Normal"/>
    <w:next w:val="Normal"/>
    <w:autoRedefine/>
    <w:rsid w:val="00FB0544"/>
    <w:pPr>
      <w:ind w:left="1400" w:hanging="200"/>
    </w:pPr>
  </w:style>
  <w:style w:type="paragraph" w:styleId="Index8">
    <w:name w:val="index 8"/>
    <w:basedOn w:val="Normal"/>
    <w:next w:val="Normal"/>
    <w:autoRedefine/>
    <w:rsid w:val="00FB0544"/>
    <w:pPr>
      <w:ind w:left="1600" w:hanging="200"/>
    </w:pPr>
  </w:style>
  <w:style w:type="paragraph" w:styleId="Index9">
    <w:name w:val="index 9"/>
    <w:basedOn w:val="Normal"/>
    <w:next w:val="Normal"/>
    <w:autoRedefine/>
    <w:rsid w:val="00FB0544"/>
    <w:pPr>
      <w:ind w:left="1800" w:hanging="200"/>
    </w:pPr>
  </w:style>
  <w:style w:type="paragraph" w:styleId="IndexHeading">
    <w:name w:val="index heading"/>
    <w:basedOn w:val="Normal"/>
    <w:next w:val="Index1"/>
    <w:rsid w:val="00FB0544"/>
    <w:rPr>
      <w:rFonts w:cs="Arial"/>
      <w:b/>
      <w:bCs/>
    </w:rPr>
  </w:style>
  <w:style w:type="paragraph" w:styleId="MacroText">
    <w:name w:val="macro"/>
    <w:rsid w:val="00FB0544"/>
    <w:pPr>
      <w:tabs>
        <w:tab w:val="left" w:pos="480"/>
        <w:tab w:val="left" w:pos="960"/>
        <w:tab w:val="left" w:pos="1440"/>
        <w:tab w:val="left" w:pos="1920"/>
        <w:tab w:val="left" w:pos="2400"/>
        <w:tab w:val="left" w:pos="2880"/>
        <w:tab w:val="left" w:pos="3360"/>
        <w:tab w:val="left" w:pos="3840"/>
        <w:tab w:val="left" w:pos="4320"/>
      </w:tabs>
      <w:spacing w:after="180" w:line="260" w:lineRule="atLeast"/>
      <w:ind w:left="567"/>
    </w:pPr>
    <w:rPr>
      <w:rFonts w:ascii="Courier New" w:hAnsi="Courier New" w:cs="Courier New"/>
      <w:lang w:val="en-GB" w:eastAsia="en-US"/>
    </w:rPr>
  </w:style>
  <w:style w:type="paragraph" w:customStyle="1" w:styleId="NumberPoints">
    <w:name w:val="Number Points"/>
    <w:basedOn w:val="Normal"/>
    <w:link w:val="NumberPointsChar"/>
    <w:rsid w:val="00FB0544"/>
    <w:pPr>
      <w:numPr>
        <w:numId w:val="23"/>
      </w:numPr>
    </w:pPr>
  </w:style>
  <w:style w:type="paragraph" w:customStyle="1" w:styleId="TableHeading0">
    <w:name w:val="Table Heading"/>
    <w:basedOn w:val="Normal"/>
    <w:rsid w:val="00FB0544"/>
    <w:pPr>
      <w:spacing w:before="60" w:after="60"/>
    </w:pPr>
    <w:rPr>
      <w:rFonts w:ascii="Arial Narrow" w:hAnsi="Arial Narrow"/>
      <w:b/>
    </w:rPr>
  </w:style>
  <w:style w:type="paragraph" w:styleId="TableofAuthorities">
    <w:name w:val="table of authorities"/>
    <w:basedOn w:val="Normal"/>
    <w:next w:val="Normal"/>
    <w:rsid w:val="00FB0544"/>
    <w:pPr>
      <w:ind w:left="200" w:hanging="200"/>
    </w:pPr>
  </w:style>
  <w:style w:type="paragraph" w:styleId="TableofFigures">
    <w:name w:val="table of figures"/>
    <w:basedOn w:val="ListAppxsFigsTables"/>
    <w:next w:val="ListAppxsFigsTables"/>
    <w:uiPriority w:val="99"/>
    <w:rsid w:val="00FB0544"/>
  </w:style>
  <w:style w:type="paragraph" w:customStyle="1" w:styleId="TableText0">
    <w:name w:val="Table Text"/>
    <w:basedOn w:val="Normal"/>
    <w:rsid w:val="00FB0544"/>
    <w:pPr>
      <w:spacing w:before="60" w:after="60"/>
    </w:pPr>
  </w:style>
  <w:style w:type="paragraph" w:styleId="TOAHeading">
    <w:name w:val="toa heading"/>
    <w:basedOn w:val="Normal"/>
    <w:next w:val="Normal"/>
    <w:rsid w:val="00FB0544"/>
    <w:pPr>
      <w:spacing w:before="120"/>
    </w:pPr>
    <w:rPr>
      <w:rFonts w:cs="Arial"/>
      <w:b/>
      <w:bCs/>
      <w:sz w:val="24"/>
      <w:szCs w:val="24"/>
    </w:rPr>
  </w:style>
  <w:style w:type="paragraph" w:styleId="TOC5">
    <w:name w:val="toc 5"/>
    <w:basedOn w:val="Normal"/>
    <w:next w:val="Normal"/>
    <w:autoRedefine/>
    <w:rsid w:val="00FB0544"/>
    <w:pPr>
      <w:ind w:left="800"/>
    </w:pPr>
  </w:style>
  <w:style w:type="paragraph" w:styleId="TOC6">
    <w:name w:val="toc 6"/>
    <w:basedOn w:val="Normal"/>
    <w:next w:val="Normal"/>
    <w:autoRedefine/>
    <w:rsid w:val="00FB0544"/>
    <w:pPr>
      <w:ind w:left="1000"/>
    </w:pPr>
  </w:style>
  <w:style w:type="paragraph" w:styleId="TOC7">
    <w:name w:val="toc 7"/>
    <w:basedOn w:val="Normal"/>
    <w:next w:val="Normal"/>
    <w:autoRedefine/>
    <w:rsid w:val="00FB0544"/>
    <w:pPr>
      <w:ind w:left="1200"/>
    </w:pPr>
  </w:style>
  <w:style w:type="paragraph" w:styleId="TOC8">
    <w:name w:val="toc 8"/>
    <w:basedOn w:val="Normal"/>
    <w:next w:val="Normal"/>
    <w:autoRedefine/>
    <w:rsid w:val="00FB0544"/>
    <w:pPr>
      <w:ind w:left="1400"/>
    </w:pPr>
  </w:style>
  <w:style w:type="paragraph" w:styleId="TOC9">
    <w:name w:val="toc 9"/>
    <w:basedOn w:val="Normal"/>
    <w:next w:val="Normal"/>
    <w:autoRedefine/>
    <w:rsid w:val="00FB0544"/>
    <w:pPr>
      <w:ind w:left="1600"/>
    </w:pPr>
  </w:style>
  <w:style w:type="paragraph" w:customStyle="1" w:styleId="PullQuoteBlue">
    <w:name w:val="_PullQuoteBlue"/>
    <w:basedOn w:val="ParaIndent"/>
    <w:rsid w:val="00FB0544"/>
    <w:pPr>
      <w:spacing w:after="0"/>
      <w:ind w:left="0"/>
    </w:pPr>
    <w:rPr>
      <w:color w:val="FFFFFF"/>
    </w:rPr>
  </w:style>
  <w:style w:type="paragraph" w:customStyle="1" w:styleId="PullQuoteGreen">
    <w:name w:val="_PullQuoteGreen"/>
    <w:basedOn w:val="ParaIndent"/>
    <w:rsid w:val="00FB0544"/>
    <w:pPr>
      <w:spacing w:after="0"/>
      <w:ind w:left="0"/>
    </w:pPr>
    <w:rPr>
      <w:color w:val="FFFFFF"/>
    </w:rPr>
  </w:style>
  <w:style w:type="paragraph" w:customStyle="1" w:styleId="WMDraft">
    <w:name w:val="_WMDraft"/>
    <w:rsid w:val="00F25474"/>
    <w:pPr>
      <w:spacing w:after="240" w:line="260" w:lineRule="atLeast"/>
    </w:pPr>
    <w:rPr>
      <w:rFonts w:ascii="Arial" w:hAnsi="Arial"/>
      <w:szCs w:val="24"/>
      <w:lang w:val="en-GB" w:eastAsia="en-US"/>
    </w:rPr>
  </w:style>
  <w:style w:type="character" w:styleId="BookTitle">
    <w:name w:val="Book Title"/>
    <w:basedOn w:val="DefaultParagraphFont"/>
    <w:uiPriority w:val="33"/>
    <w:qFormat/>
    <w:rsid w:val="00FB0544"/>
    <w:rPr>
      <w:b/>
      <w:bCs/>
      <w:smallCaps/>
      <w:spacing w:val="5"/>
    </w:rPr>
  </w:style>
  <w:style w:type="character" w:styleId="IntenseEmphasis">
    <w:name w:val="Intense Emphasis"/>
    <w:basedOn w:val="DefaultParagraphFont"/>
    <w:uiPriority w:val="21"/>
    <w:qFormat/>
    <w:rsid w:val="00FB0544"/>
    <w:rPr>
      <w:b/>
      <w:bCs/>
      <w:i/>
      <w:iCs/>
      <w:color w:val="4F81BD"/>
    </w:rPr>
  </w:style>
  <w:style w:type="paragraph" w:styleId="IntenseQuote">
    <w:name w:val="Intense Quote"/>
    <w:basedOn w:val="Normal"/>
    <w:next w:val="Normal"/>
    <w:link w:val="IntenseQuoteChar"/>
    <w:uiPriority w:val="30"/>
    <w:qFormat/>
    <w:rsid w:val="00FB054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F25474"/>
    <w:rPr>
      <w:rFonts w:ascii="Arial" w:hAnsi="Arial"/>
      <w:b/>
      <w:bCs/>
      <w:i/>
      <w:iCs/>
      <w:color w:val="4F81BD"/>
      <w:lang w:eastAsia="en-US"/>
    </w:rPr>
  </w:style>
  <w:style w:type="character" w:styleId="IntenseReference">
    <w:name w:val="Intense Reference"/>
    <w:basedOn w:val="DefaultParagraphFont"/>
    <w:uiPriority w:val="32"/>
    <w:qFormat/>
    <w:rsid w:val="00FB0544"/>
    <w:rPr>
      <w:b/>
      <w:bCs/>
      <w:smallCaps/>
      <w:color w:val="C0504D"/>
      <w:spacing w:val="5"/>
      <w:u w:val="single"/>
    </w:rPr>
  </w:style>
  <w:style w:type="paragraph" w:styleId="ListParagraph">
    <w:name w:val="List Paragraph"/>
    <w:basedOn w:val="Normal"/>
    <w:uiPriority w:val="34"/>
    <w:qFormat/>
    <w:rsid w:val="00FB0544"/>
    <w:pPr>
      <w:ind w:left="720"/>
      <w:contextualSpacing/>
    </w:pPr>
  </w:style>
  <w:style w:type="paragraph" w:styleId="NoSpacing">
    <w:name w:val="No Spacing"/>
    <w:uiPriority w:val="1"/>
    <w:qFormat/>
    <w:rsid w:val="00FB0544"/>
    <w:pPr>
      <w:spacing w:after="120" w:line="260" w:lineRule="atLeast"/>
      <w:ind w:left="567"/>
    </w:pPr>
    <w:rPr>
      <w:rFonts w:ascii="Arial" w:hAnsi="Arial"/>
      <w:lang w:eastAsia="en-US"/>
    </w:rPr>
  </w:style>
  <w:style w:type="character" w:styleId="PlaceholderText">
    <w:name w:val="Placeholder Text"/>
    <w:basedOn w:val="DefaultParagraphFont"/>
    <w:semiHidden/>
    <w:rsid w:val="00FB0544"/>
    <w:rPr>
      <w:rFonts w:cs="Times New Roman"/>
      <w:color w:val="808080"/>
    </w:rPr>
  </w:style>
  <w:style w:type="paragraph" w:customStyle="1" w:styleId="PSALevel1">
    <w:name w:val="PSALevel 1"/>
    <w:basedOn w:val="Normal"/>
    <w:rsid w:val="00FB0544"/>
    <w:pPr>
      <w:keepNext/>
      <w:numPr>
        <w:numId w:val="24"/>
      </w:numPr>
      <w:spacing w:before="20" w:after="20" w:line="240" w:lineRule="auto"/>
    </w:pPr>
    <w:rPr>
      <w:rFonts w:ascii="Arial Narrow" w:hAnsi="Arial Narrow"/>
      <w:b/>
      <w:bCs/>
      <w:sz w:val="18"/>
    </w:rPr>
  </w:style>
  <w:style w:type="paragraph" w:styleId="Quote">
    <w:name w:val="Quote"/>
    <w:basedOn w:val="Normal"/>
    <w:next w:val="Normal"/>
    <w:link w:val="QuoteChar"/>
    <w:uiPriority w:val="29"/>
    <w:qFormat/>
    <w:rsid w:val="00FB0544"/>
    <w:rPr>
      <w:i/>
      <w:iCs/>
      <w:color w:val="000000"/>
    </w:rPr>
  </w:style>
  <w:style w:type="character" w:customStyle="1" w:styleId="QuoteChar">
    <w:name w:val="Quote Char"/>
    <w:basedOn w:val="DefaultParagraphFont"/>
    <w:link w:val="Quote"/>
    <w:uiPriority w:val="29"/>
    <w:rsid w:val="00F25474"/>
    <w:rPr>
      <w:rFonts w:ascii="Arial" w:hAnsi="Arial"/>
      <w:i/>
      <w:iCs/>
      <w:color w:val="000000"/>
      <w:lang w:eastAsia="en-US"/>
    </w:rPr>
  </w:style>
  <w:style w:type="character" w:styleId="SubtleEmphasis">
    <w:name w:val="Subtle Emphasis"/>
    <w:basedOn w:val="DefaultParagraphFont"/>
    <w:uiPriority w:val="19"/>
    <w:qFormat/>
    <w:rsid w:val="00FB0544"/>
    <w:rPr>
      <w:i/>
      <w:iCs/>
      <w:color w:val="808080"/>
    </w:rPr>
  </w:style>
  <w:style w:type="character" w:styleId="SubtleReference">
    <w:name w:val="Subtle Reference"/>
    <w:basedOn w:val="DefaultParagraphFont"/>
    <w:uiPriority w:val="31"/>
    <w:qFormat/>
    <w:rsid w:val="00FB0544"/>
    <w:rPr>
      <w:smallCaps/>
      <w:color w:val="C0504D"/>
      <w:u w:val="single"/>
    </w:rPr>
  </w:style>
  <w:style w:type="paragraph" w:customStyle="1" w:styleId="ToC40">
    <w:name w:val="_ToC4"/>
    <w:basedOn w:val="ToC20"/>
    <w:rsid w:val="00FB0544"/>
    <w:pPr>
      <w:tabs>
        <w:tab w:val="left" w:pos="2268"/>
      </w:tabs>
      <w:spacing w:before="20" w:after="20"/>
      <w:ind w:left="2268" w:firstLine="0"/>
    </w:pPr>
  </w:style>
  <w:style w:type="paragraph" w:customStyle="1" w:styleId="ToC50">
    <w:name w:val="_ToC5"/>
    <w:basedOn w:val="ListAppxsFigsTables"/>
    <w:rsid w:val="00FB0544"/>
  </w:style>
  <w:style w:type="character" w:customStyle="1" w:styleId="BodyTextChar">
    <w:name w:val="Body Text Char"/>
    <w:aliases w:val="(Alt+1) Char,block Char,bt Char,BodyText Char,b Char,Body Text before bullet Char,IRMS (T) Char,TEXT BOX Char,body Char,Body Char,text Char,Body Text(Alt+1) Char,b Char Char Char1,b Char Char Char Char,b Char Char Char Char Char Char Char"/>
    <w:basedOn w:val="DefaultParagraphFont"/>
    <w:link w:val="BodyText"/>
    <w:rsid w:val="00937B36"/>
    <w:rPr>
      <w:rFonts w:ascii="Arial" w:hAnsi="Arial"/>
      <w:lang w:eastAsia="en-US"/>
    </w:rPr>
  </w:style>
  <w:style w:type="character" w:customStyle="1" w:styleId="BulletPointsChar">
    <w:name w:val="Bullet Points Char"/>
    <w:basedOn w:val="BodyTextChar"/>
    <w:link w:val="BulletPoints"/>
    <w:rsid w:val="00734062"/>
    <w:rPr>
      <w:rFonts w:ascii="Arial" w:hAnsi="Arial"/>
      <w:lang w:eastAsia="en-US"/>
    </w:rPr>
  </w:style>
  <w:style w:type="character" w:customStyle="1" w:styleId="NumberPointsChar">
    <w:name w:val="Number Points Char"/>
    <w:basedOn w:val="BodyTextChar"/>
    <w:link w:val="NumberPoints"/>
    <w:rsid w:val="00CF4BDC"/>
    <w:rPr>
      <w:rFonts w:ascii="Arial" w:hAnsi="Arial"/>
      <w:lang w:eastAsia="en-US"/>
    </w:rPr>
  </w:style>
  <w:style w:type="character" w:customStyle="1" w:styleId="Heading2Char">
    <w:name w:val="Heading 2 Char"/>
    <w:aliases w:val="Not Kinhill Heading 2 Char"/>
    <w:basedOn w:val="DefaultParagraphFont"/>
    <w:link w:val="Heading20"/>
    <w:rsid w:val="00CF4BDC"/>
    <w:rPr>
      <w:rFonts w:ascii="Arial Narrow" w:hAnsi="Arial Narrow"/>
      <w:sz w:val="36"/>
      <w:lang w:eastAsia="en-US"/>
    </w:rPr>
  </w:style>
  <w:style w:type="character" w:customStyle="1" w:styleId="headertext">
    <w:name w:val="headertext"/>
    <w:basedOn w:val="DefaultParagraphFont"/>
    <w:rsid w:val="00C11CFC"/>
  </w:style>
  <w:style w:type="character" w:customStyle="1" w:styleId="Heading2Char0">
    <w:name w:val="_Heading2 Char"/>
    <w:basedOn w:val="DefaultParagraphFont"/>
    <w:link w:val="Heading2"/>
    <w:rsid w:val="00ED1B61"/>
    <w:rPr>
      <w:rFonts w:ascii="Arial" w:hAnsi="Arial" w:cs="Arial"/>
      <w:color w:val="495F70"/>
      <w:sz w:val="32"/>
      <w:lang w:eastAsia="en-US"/>
    </w:rPr>
  </w:style>
  <w:style w:type="paragraph" w:customStyle="1" w:styleId="Toc41">
    <w:name w:val="_Toc4"/>
    <w:basedOn w:val="ToC20"/>
    <w:rsid w:val="00D14763"/>
    <w:pPr>
      <w:tabs>
        <w:tab w:val="left" w:pos="2268"/>
      </w:tabs>
      <w:spacing w:before="20" w:after="20"/>
      <w:ind w:left="2268" w:firstLine="0"/>
    </w:pPr>
  </w:style>
  <w:style w:type="paragraph" w:customStyle="1" w:styleId="Default">
    <w:name w:val="Default"/>
    <w:rsid w:val="00E141E2"/>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644D74"/>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0544"/>
    <w:pPr>
      <w:spacing w:after="180" w:line="260" w:lineRule="atLeast"/>
      <w:ind w:left="567"/>
    </w:pPr>
    <w:rPr>
      <w:rFonts w:ascii="Arial" w:hAnsi="Arial"/>
      <w:lang w:eastAsia="en-US"/>
    </w:rPr>
  </w:style>
  <w:style w:type="paragraph" w:styleId="Heading10">
    <w:name w:val="heading 1"/>
    <w:aliases w:val="h1,B1"/>
    <w:basedOn w:val="Normal"/>
    <w:next w:val="BodyText"/>
    <w:qFormat/>
    <w:rsid w:val="00FB0544"/>
    <w:pPr>
      <w:keepNext/>
      <w:pBdr>
        <w:bottom w:val="single" w:sz="4" w:space="1" w:color="auto"/>
      </w:pBdr>
      <w:tabs>
        <w:tab w:val="left" w:pos="1134"/>
      </w:tabs>
      <w:outlineLvl w:val="0"/>
    </w:pPr>
    <w:rPr>
      <w:rFonts w:ascii="Arial Narrow" w:hAnsi="Arial Narrow"/>
      <w:kern w:val="28"/>
      <w:sz w:val="40"/>
    </w:rPr>
  </w:style>
  <w:style w:type="paragraph" w:styleId="Heading20">
    <w:name w:val="heading 2"/>
    <w:aliases w:val="Not Kinhill Heading 2"/>
    <w:basedOn w:val="Normal"/>
    <w:next w:val="BodyText"/>
    <w:link w:val="Heading2Char"/>
    <w:qFormat/>
    <w:rsid w:val="00FB0544"/>
    <w:pPr>
      <w:keepNext/>
      <w:spacing w:before="240" w:after="120"/>
      <w:outlineLvl w:val="1"/>
    </w:pPr>
    <w:rPr>
      <w:rFonts w:ascii="Arial Narrow" w:hAnsi="Arial Narrow"/>
      <w:sz w:val="36"/>
    </w:rPr>
  </w:style>
  <w:style w:type="paragraph" w:styleId="Heading30">
    <w:name w:val="heading 3"/>
    <w:aliases w:val="H3"/>
    <w:basedOn w:val="Normal"/>
    <w:next w:val="BodyText"/>
    <w:qFormat/>
    <w:rsid w:val="00FB0544"/>
    <w:pPr>
      <w:keepNext/>
      <w:spacing w:before="240" w:after="120"/>
      <w:outlineLvl w:val="2"/>
    </w:pPr>
    <w:rPr>
      <w:rFonts w:ascii="Arial Narrow" w:hAnsi="Arial Narrow"/>
      <w:sz w:val="32"/>
    </w:rPr>
  </w:style>
  <w:style w:type="paragraph" w:styleId="Heading4">
    <w:name w:val="heading 4"/>
    <w:basedOn w:val="Normal"/>
    <w:next w:val="BodyText"/>
    <w:qFormat/>
    <w:rsid w:val="00FB0544"/>
    <w:pPr>
      <w:keepNext/>
      <w:tabs>
        <w:tab w:val="left" w:pos="1134"/>
      </w:tabs>
      <w:spacing w:before="120" w:after="120"/>
      <w:ind w:left="1134"/>
      <w:outlineLvl w:val="3"/>
    </w:pPr>
    <w:rPr>
      <w:rFonts w:ascii="Arial Narrow" w:hAnsi="Arial Narrow"/>
      <w:sz w:val="32"/>
    </w:rPr>
  </w:style>
  <w:style w:type="paragraph" w:styleId="Heading5">
    <w:name w:val="heading 5"/>
    <w:basedOn w:val="Normal"/>
    <w:next w:val="Normal"/>
    <w:qFormat/>
    <w:rsid w:val="00FB0544"/>
    <w:pPr>
      <w:numPr>
        <w:ilvl w:val="4"/>
        <w:numId w:val="12"/>
      </w:numPr>
      <w:spacing w:before="240" w:after="60"/>
      <w:outlineLvl w:val="4"/>
    </w:pPr>
    <w:rPr>
      <w:b/>
      <w:bCs/>
      <w:i/>
      <w:iCs/>
      <w:sz w:val="26"/>
      <w:szCs w:val="26"/>
    </w:rPr>
  </w:style>
  <w:style w:type="paragraph" w:styleId="Heading6">
    <w:name w:val="heading 6"/>
    <w:basedOn w:val="Normal"/>
    <w:next w:val="Normal"/>
    <w:qFormat/>
    <w:rsid w:val="00FB0544"/>
    <w:pPr>
      <w:numPr>
        <w:ilvl w:val="5"/>
        <w:numId w:val="12"/>
      </w:numPr>
      <w:spacing w:before="240" w:after="60"/>
      <w:outlineLvl w:val="5"/>
    </w:pPr>
    <w:rPr>
      <w:b/>
      <w:bCs/>
      <w:sz w:val="22"/>
      <w:szCs w:val="22"/>
    </w:rPr>
  </w:style>
  <w:style w:type="paragraph" w:styleId="Heading7">
    <w:name w:val="heading 7"/>
    <w:aliases w:val=" D'N'U,D'N'U"/>
    <w:basedOn w:val="Normal"/>
    <w:next w:val="Normal"/>
    <w:qFormat/>
    <w:rsid w:val="00FB0544"/>
    <w:pPr>
      <w:numPr>
        <w:ilvl w:val="6"/>
        <w:numId w:val="12"/>
      </w:numPr>
      <w:spacing w:before="240" w:after="60"/>
      <w:outlineLvl w:val="6"/>
    </w:pPr>
  </w:style>
  <w:style w:type="paragraph" w:styleId="Heading8">
    <w:name w:val="heading 8"/>
    <w:aliases w:val=" D.N.U,D.N.U"/>
    <w:basedOn w:val="Normal"/>
    <w:next w:val="Normal"/>
    <w:qFormat/>
    <w:rsid w:val="00FB0544"/>
    <w:pPr>
      <w:numPr>
        <w:ilvl w:val="7"/>
        <w:numId w:val="12"/>
      </w:numPr>
      <w:spacing w:before="240" w:after="60"/>
      <w:outlineLvl w:val="7"/>
    </w:pPr>
    <w:rPr>
      <w:i/>
      <w:iCs/>
    </w:rPr>
  </w:style>
  <w:style w:type="paragraph" w:styleId="Heading9">
    <w:name w:val="heading 9"/>
    <w:aliases w:val=" DNU,DNU"/>
    <w:basedOn w:val="Normal"/>
    <w:next w:val="Normal"/>
    <w:qFormat/>
    <w:rsid w:val="00FB0544"/>
    <w:pPr>
      <w:numPr>
        <w:ilvl w:val="8"/>
        <w:numId w:val="1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B0544"/>
    <w:pPr>
      <w:numPr>
        <w:numId w:val="7"/>
      </w:numPr>
    </w:pPr>
  </w:style>
  <w:style w:type="numbering" w:styleId="1ai">
    <w:name w:val="Outline List 1"/>
    <w:basedOn w:val="NoList"/>
    <w:rsid w:val="00FB0544"/>
    <w:pPr>
      <w:numPr>
        <w:numId w:val="8"/>
      </w:numPr>
    </w:pPr>
  </w:style>
  <w:style w:type="numbering" w:styleId="ArticleSection">
    <w:name w:val="Outline List 3"/>
    <w:basedOn w:val="NoList"/>
    <w:rsid w:val="00FB0544"/>
    <w:pPr>
      <w:numPr>
        <w:numId w:val="10"/>
      </w:numPr>
    </w:pPr>
  </w:style>
  <w:style w:type="paragraph" w:styleId="BlockText">
    <w:name w:val="Block Text"/>
    <w:basedOn w:val="Normal"/>
    <w:rsid w:val="00FB0544"/>
    <w:pPr>
      <w:spacing w:after="120"/>
      <w:ind w:left="1440" w:right="1440"/>
    </w:pPr>
  </w:style>
  <w:style w:type="paragraph" w:styleId="BodyText">
    <w:name w:val="Body Text"/>
    <w:aliases w:val="(Alt+1),block,bt,BodyText,b,Body Text before bullet,IRMS (T),TEXT BOX,body,Body,text,Body Text(Alt+1),b Char Char,b Char Char Char,b Char Char Char Char Char Char,Body Char1 Char1,b Char Ch...,Concepto,Body Text - Level 2,B,Brödtext Char,b Cha"/>
    <w:basedOn w:val="Normal"/>
    <w:link w:val="BodyTextChar"/>
    <w:rsid w:val="00FB0544"/>
    <w:pPr>
      <w:spacing w:after="120"/>
    </w:pPr>
  </w:style>
  <w:style w:type="paragraph" w:styleId="BodyText2">
    <w:name w:val="Body Text 2"/>
    <w:basedOn w:val="Normal"/>
    <w:rsid w:val="00FB0544"/>
    <w:pPr>
      <w:spacing w:after="120" w:line="480" w:lineRule="auto"/>
    </w:pPr>
  </w:style>
  <w:style w:type="paragraph" w:styleId="BodyText3">
    <w:name w:val="Body Text 3"/>
    <w:basedOn w:val="Normal"/>
    <w:rsid w:val="00FB0544"/>
    <w:pPr>
      <w:spacing w:after="120"/>
    </w:pPr>
    <w:rPr>
      <w:sz w:val="16"/>
      <w:szCs w:val="16"/>
    </w:rPr>
  </w:style>
  <w:style w:type="paragraph" w:styleId="BodyTextFirstIndent">
    <w:name w:val="Body Text First Indent"/>
    <w:basedOn w:val="BodyText"/>
    <w:rsid w:val="00FB0544"/>
    <w:pPr>
      <w:ind w:firstLine="210"/>
    </w:pPr>
  </w:style>
  <w:style w:type="paragraph" w:styleId="BodyTextIndent">
    <w:name w:val="Body Text Indent"/>
    <w:basedOn w:val="Normal"/>
    <w:rsid w:val="00FB0544"/>
    <w:pPr>
      <w:spacing w:after="120"/>
      <w:ind w:left="283"/>
    </w:pPr>
  </w:style>
  <w:style w:type="paragraph" w:styleId="BodyTextFirstIndent2">
    <w:name w:val="Body Text First Indent 2"/>
    <w:basedOn w:val="BodyTextIndent"/>
    <w:rsid w:val="00FB0544"/>
    <w:pPr>
      <w:ind w:firstLine="210"/>
    </w:pPr>
  </w:style>
  <w:style w:type="paragraph" w:styleId="BodyTextIndent2">
    <w:name w:val="Body Text Indent 2"/>
    <w:basedOn w:val="Normal"/>
    <w:rsid w:val="00FB0544"/>
    <w:pPr>
      <w:spacing w:after="120" w:line="480" w:lineRule="auto"/>
      <w:ind w:left="283"/>
    </w:pPr>
  </w:style>
  <w:style w:type="paragraph" w:styleId="BodyTextIndent3">
    <w:name w:val="Body Text Indent 3"/>
    <w:basedOn w:val="Normal"/>
    <w:rsid w:val="00FB0544"/>
    <w:pPr>
      <w:spacing w:after="120"/>
      <w:ind w:left="283"/>
    </w:pPr>
    <w:rPr>
      <w:sz w:val="16"/>
      <w:szCs w:val="16"/>
    </w:rPr>
  </w:style>
  <w:style w:type="paragraph" w:styleId="Closing">
    <w:name w:val="Closing"/>
    <w:basedOn w:val="Normal"/>
    <w:rsid w:val="00FB0544"/>
    <w:pPr>
      <w:ind w:left="4252"/>
    </w:pPr>
  </w:style>
  <w:style w:type="paragraph" w:styleId="Date">
    <w:name w:val="Date"/>
    <w:basedOn w:val="Normal"/>
    <w:next w:val="Normal"/>
    <w:rsid w:val="00FB0544"/>
  </w:style>
  <w:style w:type="paragraph" w:styleId="E-mailSignature">
    <w:name w:val="E-mail Signature"/>
    <w:basedOn w:val="Normal"/>
    <w:rsid w:val="00FB0544"/>
  </w:style>
  <w:style w:type="character" w:styleId="Emphasis">
    <w:name w:val="Emphasis"/>
    <w:basedOn w:val="DefaultParagraphFont"/>
    <w:uiPriority w:val="20"/>
    <w:qFormat/>
    <w:rsid w:val="00FB0544"/>
    <w:rPr>
      <w:i/>
      <w:iCs/>
    </w:rPr>
  </w:style>
  <w:style w:type="paragraph" w:styleId="EnvelopeAddress">
    <w:name w:val="envelope address"/>
    <w:basedOn w:val="Normal"/>
    <w:rsid w:val="00FB0544"/>
    <w:pPr>
      <w:framePr w:w="7920" w:h="1980" w:hRule="exact" w:hSpace="180" w:wrap="auto" w:hAnchor="page" w:xAlign="center" w:yAlign="bottom"/>
      <w:ind w:left="2880"/>
    </w:pPr>
    <w:rPr>
      <w:rFonts w:cs="Arial"/>
    </w:rPr>
  </w:style>
  <w:style w:type="paragraph" w:styleId="EnvelopeReturn">
    <w:name w:val="envelope return"/>
    <w:basedOn w:val="Normal"/>
    <w:rsid w:val="00FB0544"/>
    <w:rPr>
      <w:rFonts w:cs="Arial"/>
    </w:rPr>
  </w:style>
  <w:style w:type="character" w:styleId="FollowedHyperlink">
    <w:name w:val="FollowedHyperlink"/>
    <w:basedOn w:val="DefaultParagraphFont"/>
    <w:rsid w:val="00FB0544"/>
    <w:rPr>
      <w:color w:val="800080"/>
      <w:u w:val="single"/>
    </w:rPr>
  </w:style>
  <w:style w:type="paragraph" w:styleId="Footer">
    <w:name w:val="footer"/>
    <w:basedOn w:val="Normal"/>
    <w:rsid w:val="00FB0544"/>
    <w:pPr>
      <w:tabs>
        <w:tab w:val="center" w:pos="4320"/>
        <w:tab w:val="right" w:pos="8640"/>
      </w:tabs>
    </w:pPr>
  </w:style>
  <w:style w:type="paragraph" w:styleId="Header">
    <w:name w:val="header"/>
    <w:basedOn w:val="Normal"/>
    <w:rsid w:val="00FB0544"/>
    <w:pPr>
      <w:tabs>
        <w:tab w:val="center" w:pos="4320"/>
        <w:tab w:val="right" w:pos="8640"/>
      </w:tabs>
    </w:pPr>
  </w:style>
  <w:style w:type="character" w:styleId="HTMLAcronym">
    <w:name w:val="HTML Acronym"/>
    <w:basedOn w:val="DefaultParagraphFont"/>
    <w:rsid w:val="00FB0544"/>
  </w:style>
  <w:style w:type="paragraph" w:styleId="HTMLAddress">
    <w:name w:val="HTML Address"/>
    <w:basedOn w:val="Normal"/>
    <w:rsid w:val="00FB0544"/>
    <w:rPr>
      <w:i/>
      <w:iCs/>
    </w:rPr>
  </w:style>
  <w:style w:type="character" w:styleId="HTMLCite">
    <w:name w:val="HTML Cite"/>
    <w:basedOn w:val="DefaultParagraphFont"/>
    <w:rsid w:val="00FB0544"/>
    <w:rPr>
      <w:i/>
      <w:iCs/>
    </w:rPr>
  </w:style>
  <w:style w:type="character" w:styleId="HTMLCode">
    <w:name w:val="HTML Code"/>
    <w:basedOn w:val="DefaultParagraphFont"/>
    <w:rsid w:val="00FB0544"/>
    <w:rPr>
      <w:rFonts w:ascii="Courier New" w:hAnsi="Courier New" w:cs="Courier New"/>
      <w:sz w:val="20"/>
      <w:szCs w:val="20"/>
    </w:rPr>
  </w:style>
  <w:style w:type="character" w:styleId="HTMLDefinition">
    <w:name w:val="HTML Definition"/>
    <w:basedOn w:val="DefaultParagraphFont"/>
    <w:rsid w:val="00FB0544"/>
    <w:rPr>
      <w:i/>
      <w:iCs/>
    </w:rPr>
  </w:style>
  <w:style w:type="character" w:styleId="HTMLKeyboard">
    <w:name w:val="HTML Keyboard"/>
    <w:basedOn w:val="DefaultParagraphFont"/>
    <w:rsid w:val="00FB0544"/>
    <w:rPr>
      <w:rFonts w:ascii="Courier New" w:hAnsi="Courier New" w:cs="Courier New"/>
      <w:sz w:val="20"/>
      <w:szCs w:val="20"/>
    </w:rPr>
  </w:style>
  <w:style w:type="paragraph" w:styleId="HTMLPreformatted">
    <w:name w:val="HTML Preformatted"/>
    <w:basedOn w:val="Normal"/>
    <w:rsid w:val="00FB0544"/>
    <w:rPr>
      <w:rFonts w:ascii="Courier New" w:hAnsi="Courier New" w:cs="Courier New"/>
    </w:rPr>
  </w:style>
  <w:style w:type="character" w:styleId="HTMLSample">
    <w:name w:val="HTML Sample"/>
    <w:basedOn w:val="DefaultParagraphFont"/>
    <w:rsid w:val="00FB0544"/>
    <w:rPr>
      <w:rFonts w:ascii="Courier New" w:hAnsi="Courier New" w:cs="Courier New"/>
    </w:rPr>
  </w:style>
  <w:style w:type="character" w:styleId="HTMLTypewriter">
    <w:name w:val="HTML Typewriter"/>
    <w:basedOn w:val="DefaultParagraphFont"/>
    <w:rsid w:val="00FB0544"/>
    <w:rPr>
      <w:rFonts w:ascii="Courier New" w:hAnsi="Courier New" w:cs="Courier New"/>
      <w:sz w:val="20"/>
      <w:szCs w:val="20"/>
    </w:rPr>
  </w:style>
  <w:style w:type="character" w:styleId="HTMLVariable">
    <w:name w:val="HTML Variable"/>
    <w:basedOn w:val="DefaultParagraphFont"/>
    <w:rsid w:val="00FB0544"/>
    <w:rPr>
      <w:i/>
      <w:iCs/>
    </w:rPr>
  </w:style>
  <w:style w:type="character" w:styleId="Hyperlink">
    <w:name w:val="Hyperlink"/>
    <w:basedOn w:val="DefaultParagraphFont"/>
    <w:uiPriority w:val="99"/>
    <w:rsid w:val="00FB0544"/>
    <w:rPr>
      <w:color w:val="0000FF"/>
      <w:u w:val="single"/>
    </w:rPr>
  </w:style>
  <w:style w:type="character" w:styleId="LineNumber">
    <w:name w:val="line number"/>
    <w:basedOn w:val="DefaultParagraphFont"/>
    <w:rsid w:val="00FB0544"/>
  </w:style>
  <w:style w:type="paragraph" w:styleId="List">
    <w:name w:val="List"/>
    <w:basedOn w:val="Normal"/>
    <w:rsid w:val="00FB0544"/>
    <w:pPr>
      <w:ind w:left="283" w:hanging="283"/>
    </w:pPr>
  </w:style>
  <w:style w:type="paragraph" w:styleId="List2">
    <w:name w:val="List 2"/>
    <w:basedOn w:val="Normal"/>
    <w:rsid w:val="00FB0544"/>
    <w:pPr>
      <w:ind w:left="566" w:hanging="283"/>
    </w:pPr>
  </w:style>
  <w:style w:type="paragraph" w:styleId="List3">
    <w:name w:val="List 3"/>
    <w:basedOn w:val="Normal"/>
    <w:rsid w:val="00FB0544"/>
    <w:pPr>
      <w:ind w:left="849" w:hanging="283"/>
    </w:pPr>
  </w:style>
  <w:style w:type="paragraph" w:styleId="List4">
    <w:name w:val="List 4"/>
    <w:basedOn w:val="Normal"/>
    <w:rsid w:val="00FB0544"/>
    <w:pPr>
      <w:ind w:left="1132" w:hanging="283"/>
    </w:pPr>
  </w:style>
  <w:style w:type="paragraph" w:styleId="List5">
    <w:name w:val="List 5"/>
    <w:basedOn w:val="Normal"/>
    <w:rsid w:val="00FB0544"/>
    <w:pPr>
      <w:ind w:left="1415" w:hanging="283"/>
    </w:pPr>
  </w:style>
  <w:style w:type="paragraph" w:styleId="ListBullet">
    <w:name w:val="List Bullet"/>
    <w:basedOn w:val="Normal"/>
    <w:rsid w:val="00FB0544"/>
    <w:pPr>
      <w:numPr>
        <w:numId w:val="13"/>
      </w:numPr>
    </w:pPr>
  </w:style>
  <w:style w:type="paragraph" w:styleId="ListBullet2">
    <w:name w:val="List Bullet 2"/>
    <w:basedOn w:val="Normal"/>
    <w:rsid w:val="00FB0544"/>
    <w:pPr>
      <w:numPr>
        <w:numId w:val="14"/>
      </w:numPr>
    </w:pPr>
  </w:style>
  <w:style w:type="paragraph" w:styleId="ListBullet3">
    <w:name w:val="List Bullet 3"/>
    <w:basedOn w:val="Normal"/>
    <w:rsid w:val="00FB0544"/>
    <w:pPr>
      <w:numPr>
        <w:numId w:val="15"/>
      </w:numPr>
    </w:pPr>
  </w:style>
  <w:style w:type="paragraph" w:styleId="ListBullet4">
    <w:name w:val="List Bullet 4"/>
    <w:basedOn w:val="Normal"/>
    <w:rsid w:val="00FB0544"/>
    <w:pPr>
      <w:numPr>
        <w:numId w:val="16"/>
      </w:numPr>
    </w:pPr>
  </w:style>
  <w:style w:type="paragraph" w:styleId="ListBullet5">
    <w:name w:val="List Bullet 5"/>
    <w:basedOn w:val="Normal"/>
    <w:rsid w:val="00FB0544"/>
    <w:pPr>
      <w:numPr>
        <w:numId w:val="17"/>
      </w:numPr>
    </w:pPr>
  </w:style>
  <w:style w:type="paragraph" w:styleId="ListContinue">
    <w:name w:val="List Continue"/>
    <w:basedOn w:val="Normal"/>
    <w:rsid w:val="00FB0544"/>
    <w:pPr>
      <w:spacing w:after="120"/>
      <w:ind w:left="283"/>
    </w:pPr>
  </w:style>
  <w:style w:type="paragraph" w:styleId="ListContinue2">
    <w:name w:val="List Continue 2"/>
    <w:basedOn w:val="Normal"/>
    <w:rsid w:val="00FB0544"/>
    <w:pPr>
      <w:spacing w:after="120"/>
      <w:ind w:left="566"/>
    </w:pPr>
  </w:style>
  <w:style w:type="paragraph" w:styleId="ListContinue3">
    <w:name w:val="List Continue 3"/>
    <w:basedOn w:val="Normal"/>
    <w:rsid w:val="00FB0544"/>
    <w:pPr>
      <w:spacing w:after="120"/>
      <w:ind w:left="849"/>
    </w:pPr>
  </w:style>
  <w:style w:type="paragraph" w:styleId="ListContinue4">
    <w:name w:val="List Continue 4"/>
    <w:basedOn w:val="Normal"/>
    <w:rsid w:val="00FB0544"/>
    <w:pPr>
      <w:spacing w:after="120"/>
      <w:ind w:left="1132"/>
    </w:pPr>
  </w:style>
  <w:style w:type="paragraph" w:styleId="ListContinue5">
    <w:name w:val="List Continue 5"/>
    <w:basedOn w:val="Normal"/>
    <w:rsid w:val="00FB0544"/>
    <w:pPr>
      <w:spacing w:after="120"/>
      <w:ind w:left="1415"/>
    </w:pPr>
  </w:style>
  <w:style w:type="paragraph" w:styleId="ListNumber">
    <w:name w:val="List Number"/>
    <w:basedOn w:val="Normal"/>
    <w:rsid w:val="00FB0544"/>
    <w:pPr>
      <w:numPr>
        <w:numId w:val="18"/>
      </w:numPr>
    </w:pPr>
  </w:style>
  <w:style w:type="paragraph" w:styleId="ListNumber2">
    <w:name w:val="List Number 2"/>
    <w:basedOn w:val="Normal"/>
    <w:rsid w:val="00FB0544"/>
    <w:pPr>
      <w:numPr>
        <w:numId w:val="19"/>
      </w:numPr>
    </w:pPr>
  </w:style>
  <w:style w:type="paragraph" w:styleId="ListNumber3">
    <w:name w:val="List Number 3"/>
    <w:basedOn w:val="Normal"/>
    <w:rsid w:val="00FB0544"/>
    <w:pPr>
      <w:numPr>
        <w:numId w:val="20"/>
      </w:numPr>
    </w:pPr>
  </w:style>
  <w:style w:type="paragraph" w:styleId="ListNumber4">
    <w:name w:val="List Number 4"/>
    <w:basedOn w:val="Normal"/>
    <w:rsid w:val="00FB0544"/>
    <w:pPr>
      <w:numPr>
        <w:numId w:val="21"/>
      </w:numPr>
    </w:pPr>
  </w:style>
  <w:style w:type="paragraph" w:styleId="ListNumber5">
    <w:name w:val="List Number 5"/>
    <w:basedOn w:val="Normal"/>
    <w:rsid w:val="00FB0544"/>
    <w:pPr>
      <w:numPr>
        <w:numId w:val="22"/>
      </w:numPr>
    </w:pPr>
  </w:style>
  <w:style w:type="paragraph" w:styleId="MessageHeader">
    <w:name w:val="Message Header"/>
    <w:basedOn w:val="Normal"/>
    <w:rsid w:val="00FB054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aliases w:val=" webb"/>
    <w:basedOn w:val="Normal"/>
    <w:uiPriority w:val="99"/>
    <w:rsid w:val="00FB0544"/>
  </w:style>
  <w:style w:type="paragraph" w:styleId="NormalIndent">
    <w:name w:val="Normal Indent"/>
    <w:basedOn w:val="Normal"/>
    <w:rsid w:val="00FB0544"/>
    <w:pPr>
      <w:ind w:left="720"/>
    </w:pPr>
  </w:style>
  <w:style w:type="paragraph" w:styleId="NoteHeading">
    <w:name w:val="Note Heading"/>
    <w:basedOn w:val="Normal"/>
    <w:next w:val="Normal"/>
    <w:rsid w:val="00FB0544"/>
  </w:style>
  <w:style w:type="character" w:styleId="PageNumber">
    <w:name w:val="page number"/>
    <w:basedOn w:val="DefaultParagraphFont"/>
    <w:rsid w:val="00FB0544"/>
  </w:style>
  <w:style w:type="paragraph" w:styleId="PlainText">
    <w:name w:val="Plain Text"/>
    <w:basedOn w:val="Normal"/>
    <w:rsid w:val="00FB0544"/>
    <w:rPr>
      <w:rFonts w:ascii="Courier New" w:hAnsi="Courier New" w:cs="Courier New"/>
    </w:rPr>
  </w:style>
  <w:style w:type="paragraph" w:styleId="Salutation">
    <w:name w:val="Salutation"/>
    <w:basedOn w:val="Normal"/>
    <w:next w:val="Normal"/>
    <w:rsid w:val="00FB0544"/>
  </w:style>
  <w:style w:type="paragraph" w:styleId="Signature">
    <w:name w:val="Signature"/>
    <w:basedOn w:val="Normal"/>
    <w:rsid w:val="00FB0544"/>
    <w:pPr>
      <w:ind w:left="4252"/>
    </w:pPr>
  </w:style>
  <w:style w:type="character" w:styleId="Strong">
    <w:name w:val="Strong"/>
    <w:basedOn w:val="DefaultParagraphFont"/>
    <w:qFormat/>
    <w:rsid w:val="00FB0544"/>
    <w:rPr>
      <w:b/>
      <w:bCs/>
    </w:rPr>
  </w:style>
  <w:style w:type="paragraph" w:styleId="Subtitle">
    <w:name w:val="Subtitle"/>
    <w:basedOn w:val="Normal"/>
    <w:qFormat/>
    <w:rsid w:val="00FB0544"/>
    <w:pPr>
      <w:spacing w:after="60"/>
      <w:jc w:val="center"/>
      <w:outlineLvl w:val="1"/>
    </w:pPr>
    <w:rPr>
      <w:rFonts w:cs="Arial"/>
    </w:rPr>
  </w:style>
  <w:style w:type="table" w:styleId="Table3Deffects1">
    <w:name w:val="Table 3D effects 1"/>
    <w:basedOn w:val="TableNormal"/>
    <w:rsid w:val="00FB0544"/>
    <w:pPr>
      <w:spacing w:after="120" w:line="260" w:lineRule="atLeast"/>
      <w:ind w:left="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B0544"/>
    <w:pPr>
      <w:spacing w:after="120" w:line="260" w:lineRule="atLeast"/>
      <w:ind w:left="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B0544"/>
    <w:pPr>
      <w:spacing w:after="120" w:line="260" w:lineRule="atLeast"/>
      <w:ind w:left="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B0544"/>
    <w:pPr>
      <w:spacing w:after="120" w:line="260" w:lineRule="atLeast"/>
      <w:ind w:left="567"/>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B0544"/>
    <w:pPr>
      <w:spacing w:after="120" w:line="260" w:lineRule="atLeast"/>
      <w:ind w:left="567"/>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B0544"/>
    <w:pPr>
      <w:spacing w:after="120" w:line="260" w:lineRule="atLeast"/>
      <w:ind w:left="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B0544"/>
    <w:pPr>
      <w:spacing w:after="120" w:line="260" w:lineRule="atLeast"/>
      <w:ind w:left="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B0544"/>
    <w:pPr>
      <w:spacing w:after="120" w:line="260" w:lineRule="atLeast"/>
      <w:ind w:left="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B0544"/>
    <w:pPr>
      <w:spacing w:after="120" w:line="260" w:lineRule="atLeast"/>
      <w:ind w:left="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B0544"/>
    <w:pPr>
      <w:spacing w:after="120" w:line="260" w:lineRule="atLeast"/>
      <w:ind w:left="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B0544"/>
    <w:pPr>
      <w:spacing w:after="120" w:line="260" w:lineRule="atLeast"/>
      <w:ind w:left="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B0544"/>
    <w:pPr>
      <w:spacing w:after="120" w:line="260" w:lineRule="atLeast"/>
      <w:ind w:left="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B0544"/>
    <w:pPr>
      <w:spacing w:after="120" w:line="260" w:lineRule="atLeast"/>
      <w:ind w:left="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B0544"/>
    <w:pPr>
      <w:spacing w:after="120" w:line="260" w:lineRule="atLeast"/>
      <w:ind w:left="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B0544"/>
    <w:pPr>
      <w:spacing w:after="120" w:line="260" w:lineRule="atLeast"/>
      <w:ind w:left="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B0544"/>
    <w:pPr>
      <w:spacing w:after="120" w:line="260" w:lineRule="atLeast"/>
      <w:ind w:left="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B0544"/>
    <w:pPr>
      <w:spacing w:after="120" w:line="260" w:lineRule="atLeast"/>
      <w:ind w:left="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B0544"/>
    <w:pPr>
      <w:spacing w:after="120" w:line="260" w:lineRule="atLeas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B0544"/>
    <w:pPr>
      <w:spacing w:after="120" w:line="260" w:lineRule="atLeast"/>
      <w:ind w:left="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B0544"/>
    <w:pPr>
      <w:spacing w:after="120" w:line="260" w:lineRule="atLeast"/>
      <w:ind w:left="567"/>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B0544"/>
    <w:pPr>
      <w:spacing w:after="120" w:line="260" w:lineRule="atLeast"/>
      <w:ind w:left="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B0544"/>
    <w:pPr>
      <w:spacing w:after="120" w:line="260" w:lineRule="atLeast"/>
      <w:ind w:left="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B0544"/>
    <w:pPr>
      <w:spacing w:after="120" w:line="260" w:lineRule="atLeast"/>
      <w:ind w:left="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B0544"/>
    <w:pPr>
      <w:spacing w:after="120" w:line="260" w:lineRule="atLeast"/>
      <w:ind w:left="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B0544"/>
    <w:pPr>
      <w:spacing w:after="120" w:line="260" w:lineRule="atLeast"/>
      <w:ind w:left="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B0544"/>
    <w:pPr>
      <w:spacing w:after="120" w:line="260" w:lineRule="atLeast"/>
      <w:ind w:left="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B0544"/>
    <w:pPr>
      <w:spacing w:after="120" w:line="260" w:lineRule="atLeast"/>
      <w:ind w:left="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B0544"/>
    <w:pPr>
      <w:spacing w:after="120" w:line="260" w:lineRule="atLeast"/>
      <w:ind w:left="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B0544"/>
    <w:pPr>
      <w:spacing w:after="120" w:line="260" w:lineRule="atLeast"/>
      <w:ind w:left="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B0544"/>
    <w:pPr>
      <w:spacing w:after="120" w:line="260" w:lineRule="atLeast"/>
      <w:ind w:left="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B0544"/>
    <w:pPr>
      <w:spacing w:after="120" w:line="260" w:lineRule="atLeast"/>
      <w:ind w:left="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B0544"/>
    <w:pPr>
      <w:spacing w:after="120" w:line="260" w:lineRule="atLeast"/>
      <w:ind w:left="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B0544"/>
    <w:pPr>
      <w:spacing w:after="120" w:line="260" w:lineRule="atLeast"/>
      <w:ind w:left="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B0544"/>
    <w:pPr>
      <w:spacing w:after="120" w:line="260" w:lineRule="atLeast"/>
      <w:ind w:left="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B0544"/>
    <w:pPr>
      <w:spacing w:after="120" w:line="260" w:lineRule="atLeast"/>
      <w:ind w:left="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B0544"/>
    <w:pPr>
      <w:spacing w:after="120" w:line="260" w:lineRule="atLeast"/>
      <w:ind w:left="567"/>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B0544"/>
    <w:pPr>
      <w:spacing w:after="120" w:line="260" w:lineRule="atLeast"/>
      <w:ind w:left="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B0544"/>
    <w:pPr>
      <w:spacing w:after="120" w:line="260" w:lineRule="atLeast"/>
      <w:ind w:left="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B0544"/>
    <w:pPr>
      <w:spacing w:after="120" w:line="260" w:lineRule="atLeast"/>
      <w:ind w:left="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B0544"/>
    <w:pPr>
      <w:spacing w:after="120" w:line="260" w:lineRule="atLeast"/>
      <w:ind w:left="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B0544"/>
    <w:pPr>
      <w:spacing w:after="120" w:line="260" w:lineRule="atLeas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B0544"/>
    <w:pPr>
      <w:spacing w:after="120" w:line="260" w:lineRule="atLeast"/>
      <w:ind w:left="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B0544"/>
    <w:pPr>
      <w:spacing w:after="120" w:line="260" w:lineRule="atLeast"/>
      <w:ind w:left="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B0544"/>
    <w:pPr>
      <w:spacing w:after="120" w:line="260" w:lineRule="atLeast"/>
      <w:ind w:left="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B0544"/>
    <w:pPr>
      <w:spacing w:before="240" w:after="60"/>
      <w:jc w:val="center"/>
      <w:outlineLvl w:val="0"/>
    </w:pPr>
    <w:rPr>
      <w:rFonts w:cs="Arial"/>
      <w:b/>
      <w:bCs/>
      <w:kern w:val="28"/>
      <w:sz w:val="32"/>
      <w:szCs w:val="32"/>
    </w:rPr>
  </w:style>
  <w:style w:type="paragraph" w:customStyle="1" w:styleId="Header0">
    <w:name w:val="_Header"/>
    <w:basedOn w:val="ParaMargin"/>
    <w:rsid w:val="00FB0544"/>
    <w:pPr>
      <w:spacing w:after="20" w:line="240" w:lineRule="auto"/>
    </w:pPr>
    <w:rPr>
      <w:sz w:val="16"/>
    </w:rPr>
  </w:style>
  <w:style w:type="paragraph" w:customStyle="1" w:styleId="Footer0">
    <w:name w:val="_Footer"/>
    <w:basedOn w:val="ParaMargin"/>
    <w:rsid w:val="00FB0544"/>
    <w:pPr>
      <w:spacing w:before="20" w:after="0" w:line="240" w:lineRule="auto"/>
    </w:pPr>
    <w:rPr>
      <w:sz w:val="16"/>
    </w:rPr>
  </w:style>
  <w:style w:type="paragraph" w:customStyle="1" w:styleId="Info">
    <w:name w:val="_Info"/>
    <w:basedOn w:val="ParaMargin"/>
    <w:rsid w:val="00FB0544"/>
    <w:pPr>
      <w:spacing w:after="60" w:line="240" w:lineRule="auto"/>
    </w:pPr>
    <w:rPr>
      <w:sz w:val="16"/>
    </w:rPr>
  </w:style>
  <w:style w:type="paragraph" w:customStyle="1" w:styleId="ListAppxsFigsTables">
    <w:name w:val="_ListAppxsFigs&amp;Tables"/>
    <w:basedOn w:val="ParaMargin"/>
    <w:rsid w:val="00FB0544"/>
    <w:pPr>
      <w:tabs>
        <w:tab w:val="left" w:pos="567"/>
        <w:tab w:val="left" w:pos="1134"/>
        <w:tab w:val="right" w:leader="dot" w:pos="6804"/>
      </w:tabs>
      <w:spacing w:after="120"/>
      <w:ind w:left="567"/>
    </w:pPr>
    <w:rPr>
      <w:noProof/>
      <w:sz w:val="18"/>
    </w:rPr>
  </w:style>
  <w:style w:type="paragraph" w:customStyle="1" w:styleId="ParaMargin">
    <w:name w:val="_ParaMargin"/>
    <w:basedOn w:val="Normal"/>
    <w:qFormat/>
    <w:rsid w:val="00FB0544"/>
    <w:pPr>
      <w:ind w:left="0"/>
    </w:pPr>
  </w:style>
  <w:style w:type="paragraph" w:customStyle="1" w:styleId="ParaIndent">
    <w:name w:val="_ParaIndent"/>
    <w:basedOn w:val="BodyText"/>
    <w:link w:val="ParaIndentChar"/>
    <w:qFormat/>
    <w:rsid w:val="00FB0544"/>
    <w:pPr>
      <w:spacing w:after="180"/>
      <w:ind w:left="1134"/>
    </w:pPr>
  </w:style>
  <w:style w:type="paragraph" w:customStyle="1" w:styleId="AppxName">
    <w:name w:val="_AppxName"/>
    <w:basedOn w:val="ParaMargin"/>
    <w:qFormat/>
    <w:rsid w:val="00FB0544"/>
    <w:pPr>
      <w:spacing w:before="120" w:after="120"/>
    </w:pPr>
    <w:rPr>
      <w:caps/>
      <w:color w:val="00519E"/>
      <w:sz w:val="40"/>
    </w:rPr>
  </w:style>
  <w:style w:type="paragraph" w:customStyle="1" w:styleId="AppxNo">
    <w:name w:val="_AppxNo"/>
    <w:basedOn w:val="ParaMargin"/>
    <w:qFormat/>
    <w:rsid w:val="00FB0544"/>
    <w:pPr>
      <w:spacing w:before="120" w:after="120"/>
    </w:pPr>
    <w:rPr>
      <w:caps/>
      <w:color w:val="495F70"/>
      <w:sz w:val="36"/>
    </w:rPr>
  </w:style>
  <w:style w:type="paragraph" w:customStyle="1" w:styleId="Heading1">
    <w:name w:val="_Heading1"/>
    <w:basedOn w:val="Heading10"/>
    <w:next w:val="ParaIndent"/>
    <w:qFormat/>
    <w:rsid w:val="00FB0544"/>
    <w:pPr>
      <w:numPr>
        <w:numId w:val="12"/>
      </w:numPr>
      <w:pBdr>
        <w:bottom w:val="none" w:sz="0" w:space="0" w:color="auto"/>
      </w:pBdr>
    </w:pPr>
    <w:rPr>
      <w:rFonts w:ascii="Arial" w:hAnsi="Arial" w:cs="Arial"/>
      <w:caps/>
      <w:color w:val="495F70"/>
    </w:rPr>
  </w:style>
  <w:style w:type="paragraph" w:customStyle="1" w:styleId="Heading2">
    <w:name w:val="_Heading2"/>
    <w:basedOn w:val="Heading20"/>
    <w:next w:val="ParaIndent"/>
    <w:link w:val="Heading2Char0"/>
    <w:qFormat/>
    <w:rsid w:val="00ED1B61"/>
    <w:pPr>
      <w:numPr>
        <w:ilvl w:val="1"/>
        <w:numId w:val="12"/>
      </w:numPr>
      <w:spacing w:before="360" w:after="240"/>
    </w:pPr>
    <w:rPr>
      <w:rFonts w:ascii="Arial" w:hAnsi="Arial" w:cs="Arial"/>
      <w:color w:val="495F70"/>
      <w:sz w:val="32"/>
    </w:rPr>
  </w:style>
  <w:style w:type="paragraph" w:customStyle="1" w:styleId="Heading3">
    <w:name w:val="_Heading3"/>
    <w:basedOn w:val="Heading30"/>
    <w:next w:val="ParaIndent"/>
    <w:qFormat/>
    <w:rsid w:val="007D5D93"/>
    <w:pPr>
      <w:numPr>
        <w:numId w:val="28"/>
      </w:numPr>
      <w:shd w:val="clear" w:color="auto" w:fill="FFFFFF" w:themeFill="background1"/>
      <w:spacing w:before="360" w:after="180"/>
    </w:pPr>
    <w:rPr>
      <w:rFonts w:ascii="Arial" w:hAnsi="Arial" w:cs="Arial"/>
      <w:color w:val="495F70"/>
      <w:sz w:val="24"/>
    </w:rPr>
  </w:style>
  <w:style w:type="paragraph" w:customStyle="1" w:styleId="Heading40">
    <w:name w:val="_Heading4"/>
    <w:basedOn w:val="Heading4"/>
    <w:next w:val="ParaIndent"/>
    <w:qFormat/>
    <w:rsid w:val="000C4429"/>
    <w:pPr>
      <w:spacing w:before="240" w:after="180"/>
    </w:pPr>
    <w:rPr>
      <w:rFonts w:ascii="Arial" w:hAnsi="Arial" w:cs="Arial"/>
      <w:b/>
      <w:color w:val="495F70"/>
      <w:sz w:val="20"/>
    </w:rPr>
  </w:style>
  <w:style w:type="paragraph" w:customStyle="1" w:styleId="HeadingOther">
    <w:name w:val="_HeadingOther"/>
    <w:basedOn w:val="ParaMargin"/>
    <w:next w:val="ParaMargin"/>
    <w:qFormat/>
    <w:rsid w:val="00FB0544"/>
    <w:pPr>
      <w:keepNext/>
      <w:spacing w:before="120" w:after="120"/>
    </w:pPr>
    <w:rPr>
      <w:caps/>
      <w:color w:val="009EE0"/>
      <w:sz w:val="32"/>
    </w:rPr>
  </w:style>
  <w:style w:type="paragraph" w:customStyle="1" w:styleId="HeadingSub">
    <w:name w:val="_HeadingSub"/>
    <w:basedOn w:val="ParaMargin"/>
    <w:next w:val="ParaMargin"/>
    <w:qFormat/>
    <w:rsid w:val="00FB0544"/>
    <w:pPr>
      <w:keepNext/>
      <w:spacing w:before="120" w:after="120"/>
    </w:pPr>
    <w:rPr>
      <w:caps/>
      <w:color w:val="495F70"/>
      <w:sz w:val="40"/>
    </w:rPr>
  </w:style>
  <w:style w:type="paragraph" w:customStyle="1" w:styleId="HeadingTitle">
    <w:name w:val="_HeadingTitle"/>
    <w:basedOn w:val="ParaMargin"/>
    <w:next w:val="ParaMargin"/>
    <w:qFormat/>
    <w:rsid w:val="00FB0544"/>
    <w:pPr>
      <w:spacing w:before="120" w:after="120"/>
    </w:pPr>
    <w:rPr>
      <w:caps/>
      <w:color w:val="00519E"/>
      <w:sz w:val="44"/>
    </w:rPr>
  </w:style>
  <w:style w:type="paragraph" w:customStyle="1" w:styleId="PointsAlpha">
    <w:name w:val="_PointsAlpha"/>
    <w:basedOn w:val="ParaMargin"/>
    <w:qFormat/>
    <w:rsid w:val="00FB0544"/>
    <w:pPr>
      <w:numPr>
        <w:numId w:val="1"/>
      </w:numPr>
      <w:tabs>
        <w:tab w:val="left" w:pos="284"/>
      </w:tabs>
      <w:spacing w:after="120"/>
    </w:pPr>
  </w:style>
  <w:style w:type="paragraph" w:customStyle="1" w:styleId="PointsBullets">
    <w:name w:val="_PointsBullets"/>
    <w:basedOn w:val="ParaMargin"/>
    <w:qFormat/>
    <w:rsid w:val="00FB0544"/>
    <w:pPr>
      <w:numPr>
        <w:numId w:val="2"/>
      </w:numPr>
      <w:spacing w:after="120"/>
    </w:pPr>
  </w:style>
  <w:style w:type="paragraph" w:customStyle="1" w:styleId="PointsNumbers">
    <w:name w:val="_PointsNumbers"/>
    <w:basedOn w:val="ParaMargin"/>
    <w:qFormat/>
    <w:rsid w:val="00FB0544"/>
    <w:pPr>
      <w:numPr>
        <w:numId w:val="3"/>
      </w:numPr>
      <w:spacing w:after="120"/>
    </w:pPr>
  </w:style>
  <w:style w:type="paragraph" w:customStyle="1" w:styleId="Caption">
    <w:name w:val="_Caption"/>
    <w:basedOn w:val="ParaMargin"/>
    <w:next w:val="CaptionFollowOn"/>
    <w:qFormat/>
    <w:rsid w:val="006C61ED"/>
    <w:pPr>
      <w:keepNext/>
      <w:tabs>
        <w:tab w:val="left" w:pos="1134"/>
      </w:tabs>
      <w:spacing w:before="240" w:after="120"/>
      <w:ind w:left="1134" w:hanging="1134"/>
    </w:pPr>
    <w:rPr>
      <w:b/>
      <w:color w:val="495F70"/>
    </w:rPr>
  </w:style>
  <w:style w:type="paragraph" w:customStyle="1" w:styleId="CaptionFollowOn">
    <w:name w:val="_CaptionFollowOn"/>
    <w:basedOn w:val="ParaMargin"/>
    <w:next w:val="Normal"/>
    <w:qFormat/>
    <w:rsid w:val="00FB0544"/>
    <w:pPr>
      <w:tabs>
        <w:tab w:val="left" w:pos="1134"/>
      </w:tabs>
      <w:spacing w:before="120"/>
      <w:ind w:left="1134"/>
    </w:pPr>
    <w:rPr>
      <w:color w:val="495F70"/>
      <w:sz w:val="18"/>
    </w:rPr>
  </w:style>
  <w:style w:type="paragraph" w:customStyle="1" w:styleId="TableHeading">
    <w:name w:val="_TableHeading"/>
    <w:basedOn w:val="ParaMargin"/>
    <w:qFormat/>
    <w:rsid w:val="00FB0544"/>
    <w:pPr>
      <w:keepNext/>
      <w:tabs>
        <w:tab w:val="left" w:pos="284"/>
      </w:tabs>
      <w:spacing w:before="60" w:after="60"/>
    </w:pPr>
    <w:rPr>
      <w:b/>
      <w:color w:val="495F70"/>
      <w:sz w:val="18"/>
    </w:rPr>
  </w:style>
  <w:style w:type="paragraph" w:customStyle="1" w:styleId="TableText">
    <w:name w:val="_TableText"/>
    <w:basedOn w:val="ParaMargin"/>
    <w:qFormat/>
    <w:rsid w:val="00FB0544"/>
    <w:pPr>
      <w:spacing w:before="60" w:after="60"/>
    </w:pPr>
    <w:rPr>
      <w:sz w:val="18"/>
    </w:rPr>
  </w:style>
  <w:style w:type="paragraph" w:customStyle="1" w:styleId="ListHeading">
    <w:name w:val="_ListHeading"/>
    <w:basedOn w:val="ParaMargin"/>
    <w:next w:val="ParaMargin"/>
    <w:qFormat/>
    <w:rsid w:val="00FB0544"/>
    <w:pPr>
      <w:keepNext/>
      <w:spacing w:before="120" w:after="120"/>
    </w:pPr>
    <w:rPr>
      <w:caps/>
      <w:color w:val="495F70"/>
      <w:sz w:val="28"/>
    </w:rPr>
  </w:style>
  <w:style w:type="paragraph" w:customStyle="1" w:styleId="ListItem">
    <w:name w:val="_ListItem"/>
    <w:basedOn w:val="ParaMargin"/>
    <w:qFormat/>
    <w:rsid w:val="00FB0544"/>
    <w:pPr>
      <w:tabs>
        <w:tab w:val="left" w:pos="1134"/>
      </w:tabs>
      <w:spacing w:after="120"/>
      <w:ind w:left="1134"/>
    </w:pPr>
  </w:style>
  <w:style w:type="paragraph" w:styleId="TOC1">
    <w:name w:val="toc 1"/>
    <w:basedOn w:val="ToC10"/>
    <w:uiPriority w:val="39"/>
    <w:rsid w:val="00FB0544"/>
  </w:style>
  <w:style w:type="paragraph" w:styleId="TOC2">
    <w:name w:val="toc 2"/>
    <w:basedOn w:val="ToC20"/>
    <w:uiPriority w:val="39"/>
    <w:rsid w:val="00FB0544"/>
  </w:style>
  <w:style w:type="paragraph" w:customStyle="1" w:styleId="ToC10">
    <w:name w:val="_ToC1"/>
    <w:basedOn w:val="ParaMargin"/>
    <w:rsid w:val="00FB0544"/>
    <w:pPr>
      <w:tabs>
        <w:tab w:val="left" w:pos="567"/>
        <w:tab w:val="right" w:leader="dot" w:pos="6804"/>
      </w:tabs>
      <w:spacing w:before="40" w:after="40"/>
      <w:ind w:left="567" w:right="2835" w:hanging="567"/>
    </w:pPr>
    <w:rPr>
      <w:color w:val="495F70"/>
    </w:rPr>
  </w:style>
  <w:style w:type="paragraph" w:customStyle="1" w:styleId="ToC20">
    <w:name w:val="_ToC2"/>
    <w:basedOn w:val="ParaMargin"/>
    <w:rsid w:val="00FB0544"/>
    <w:pPr>
      <w:tabs>
        <w:tab w:val="left" w:pos="567"/>
        <w:tab w:val="left" w:pos="1134"/>
        <w:tab w:val="right" w:leader="dot" w:pos="6804"/>
      </w:tabs>
      <w:spacing w:before="40" w:after="40"/>
      <w:ind w:left="1134" w:right="2835" w:hanging="567"/>
    </w:pPr>
    <w:rPr>
      <w:sz w:val="18"/>
    </w:rPr>
  </w:style>
  <w:style w:type="paragraph" w:customStyle="1" w:styleId="ToC3">
    <w:name w:val="_ToC3"/>
    <w:basedOn w:val="ToC20"/>
    <w:rsid w:val="00FB0544"/>
    <w:pPr>
      <w:tabs>
        <w:tab w:val="left" w:pos="2268"/>
      </w:tabs>
      <w:spacing w:before="20" w:after="20"/>
      <w:ind w:left="1985" w:hanging="851"/>
    </w:pPr>
  </w:style>
  <w:style w:type="paragraph" w:customStyle="1" w:styleId="HeadingMinorCyan">
    <w:name w:val="_HeadingMinorCyan"/>
    <w:basedOn w:val="TableText"/>
    <w:qFormat/>
    <w:rsid w:val="00FB0544"/>
    <w:pPr>
      <w:keepNext/>
      <w:spacing w:before="0" w:after="120"/>
    </w:pPr>
    <w:rPr>
      <w:b/>
      <w:color w:val="009EE0"/>
      <w:sz w:val="20"/>
    </w:rPr>
  </w:style>
  <w:style w:type="paragraph" w:styleId="TOC30">
    <w:name w:val="toc 3"/>
    <w:basedOn w:val="ToC3"/>
    <w:uiPriority w:val="39"/>
    <w:rsid w:val="00FB0544"/>
  </w:style>
  <w:style w:type="paragraph" w:styleId="TOC4">
    <w:name w:val="toc 4"/>
    <w:basedOn w:val="ToC40"/>
    <w:rsid w:val="00FB0544"/>
  </w:style>
  <w:style w:type="paragraph" w:styleId="Caption0">
    <w:name w:val="caption"/>
    <w:basedOn w:val="Normal"/>
    <w:next w:val="Normal"/>
    <w:qFormat/>
    <w:rsid w:val="00FB0544"/>
    <w:pPr>
      <w:spacing w:before="120"/>
      <w:ind w:left="1134" w:hanging="1134"/>
    </w:pPr>
    <w:rPr>
      <w:rFonts w:ascii="Arial Narrow" w:hAnsi="Arial Narrow"/>
      <w:b/>
    </w:rPr>
  </w:style>
  <w:style w:type="paragraph" w:styleId="BalloonText">
    <w:name w:val="Balloon Text"/>
    <w:basedOn w:val="Normal"/>
    <w:rsid w:val="00FB0544"/>
    <w:rPr>
      <w:rFonts w:ascii="Tahoma" w:hAnsi="Tahoma" w:cs="Tahoma"/>
      <w:sz w:val="16"/>
      <w:szCs w:val="16"/>
    </w:rPr>
  </w:style>
  <w:style w:type="paragraph" w:customStyle="1" w:styleId="InfoBold">
    <w:name w:val="_InfoBold"/>
    <w:basedOn w:val="Info"/>
    <w:next w:val="Info"/>
    <w:rsid w:val="00FB0544"/>
    <w:rPr>
      <w:b/>
    </w:rPr>
  </w:style>
  <w:style w:type="paragraph" w:customStyle="1" w:styleId="HeadingCategory">
    <w:name w:val="_HeadingCategory"/>
    <w:basedOn w:val="ParaMargin"/>
    <w:next w:val="ParaMargin"/>
    <w:qFormat/>
    <w:rsid w:val="00FB0544"/>
    <w:pPr>
      <w:spacing w:after="120"/>
    </w:pPr>
    <w:rPr>
      <w:color w:val="495F70"/>
      <w:sz w:val="36"/>
    </w:rPr>
  </w:style>
  <w:style w:type="paragraph" w:customStyle="1" w:styleId="InfoLetter">
    <w:name w:val="_InfoLetter"/>
    <w:basedOn w:val="ParaMargin"/>
    <w:next w:val="ParaMargin"/>
    <w:rsid w:val="00FB0544"/>
    <w:pPr>
      <w:spacing w:after="0"/>
    </w:pPr>
  </w:style>
  <w:style w:type="paragraph" w:customStyle="1" w:styleId="PathFileName">
    <w:name w:val="_PathFileName"/>
    <w:basedOn w:val="Footer0"/>
    <w:rsid w:val="00FB0544"/>
    <w:rPr>
      <w:sz w:val="14"/>
    </w:rPr>
  </w:style>
  <w:style w:type="paragraph" w:customStyle="1" w:styleId="Data">
    <w:name w:val="_Data"/>
    <w:basedOn w:val="ParaMargin"/>
    <w:rsid w:val="00FB0544"/>
    <w:pPr>
      <w:spacing w:after="60"/>
    </w:pPr>
    <w:rPr>
      <w:sz w:val="18"/>
    </w:rPr>
  </w:style>
  <w:style w:type="paragraph" w:customStyle="1" w:styleId="DataBold">
    <w:name w:val="_DataBold"/>
    <w:basedOn w:val="Data"/>
    <w:next w:val="Data"/>
    <w:rsid w:val="00FB0544"/>
    <w:rPr>
      <w:b/>
    </w:rPr>
  </w:style>
  <w:style w:type="character" w:customStyle="1" w:styleId="ParaIndentChar">
    <w:name w:val="_ParaIndent Char"/>
    <w:basedOn w:val="DefaultParagraphFont"/>
    <w:link w:val="ParaIndent"/>
    <w:rsid w:val="008729A1"/>
    <w:rPr>
      <w:rFonts w:ascii="Arial" w:hAnsi="Arial"/>
      <w:lang w:eastAsia="en-US"/>
    </w:rPr>
  </w:style>
  <w:style w:type="paragraph" w:customStyle="1" w:styleId="TablePointsAlpha">
    <w:name w:val="_TablePointsAlpha"/>
    <w:basedOn w:val="PointsAlpha"/>
    <w:qFormat/>
    <w:rsid w:val="00FB0544"/>
    <w:pPr>
      <w:numPr>
        <w:numId w:val="4"/>
      </w:numPr>
      <w:spacing w:before="60" w:after="60"/>
    </w:pPr>
    <w:rPr>
      <w:sz w:val="18"/>
    </w:rPr>
  </w:style>
  <w:style w:type="paragraph" w:customStyle="1" w:styleId="TablePointsBullets">
    <w:name w:val="_TablePointsBullets"/>
    <w:basedOn w:val="PointsBullets"/>
    <w:qFormat/>
    <w:rsid w:val="00FB0544"/>
    <w:pPr>
      <w:numPr>
        <w:numId w:val="5"/>
      </w:numPr>
      <w:spacing w:before="60" w:after="60"/>
    </w:pPr>
    <w:rPr>
      <w:sz w:val="18"/>
    </w:rPr>
  </w:style>
  <w:style w:type="paragraph" w:customStyle="1" w:styleId="TablePointsNumbers">
    <w:name w:val="_TablePointsNumbers"/>
    <w:basedOn w:val="PointsNumbers"/>
    <w:qFormat/>
    <w:rsid w:val="00FB0544"/>
    <w:pPr>
      <w:numPr>
        <w:numId w:val="6"/>
      </w:numPr>
      <w:spacing w:before="60" w:after="60"/>
    </w:pPr>
    <w:rPr>
      <w:sz w:val="18"/>
    </w:rPr>
  </w:style>
  <w:style w:type="paragraph" w:customStyle="1" w:styleId="FooterBlue">
    <w:name w:val="_FooterBlue"/>
    <w:basedOn w:val="Footer0"/>
    <w:rsid w:val="00FB0544"/>
    <w:rPr>
      <w:color w:val="0000FF"/>
    </w:rPr>
  </w:style>
  <w:style w:type="paragraph" w:customStyle="1" w:styleId="HeadingTitleWhite">
    <w:name w:val="_HeadingTitleWhite"/>
    <w:basedOn w:val="HeadingTitle"/>
    <w:next w:val="ParaMargin"/>
    <w:qFormat/>
    <w:rsid w:val="00FB0544"/>
    <w:rPr>
      <w:color w:val="FFFFFF"/>
    </w:rPr>
  </w:style>
  <w:style w:type="paragraph" w:customStyle="1" w:styleId="FooterWhite">
    <w:name w:val="_FooterWhite"/>
    <w:basedOn w:val="Footer0"/>
    <w:rsid w:val="00FB0544"/>
    <w:rPr>
      <w:color w:val="FFFFFF"/>
    </w:rPr>
  </w:style>
  <w:style w:type="paragraph" w:customStyle="1" w:styleId="HeadingInfo">
    <w:name w:val="_HeadingInfo"/>
    <w:basedOn w:val="ParaMargin"/>
    <w:qFormat/>
    <w:rsid w:val="00FB0544"/>
    <w:pPr>
      <w:spacing w:before="120" w:after="120"/>
    </w:pPr>
    <w:rPr>
      <w:sz w:val="24"/>
    </w:rPr>
  </w:style>
  <w:style w:type="paragraph" w:customStyle="1" w:styleId="HeadingMinor">
    <w:name w:val="_HeadingMinor"/>
    <w:basedOn w:val="ParaMargin"/>
    <w:next w:val="ParaMargin"/>
    <w:qFormat/>
    <w:rsid w:val="00FB0544"/>
    <w:pPr>
      <w:keepNext/>
      <w:spacing w:before="240" w:after="120"/>
    </w:pPr>
    <w:rPr>
      <w:b/>
    </w:rPr>
  </w:style>
  <w:style w:type="paragraph" w:customStyle="1" w:styleId="HeadingName">
    <w:name w:val="_HeadingName"/>
    <w:basedOn w:val="HeadingTitle"/>
    <w:qFormat/>
    <w:rsid w:val="00FB0544"/>
    <w:pPr>
      <w:keepNext/>
      <w:spacing w:before="0" w:after="0"/>
    </w:pPr>
  </w:style>
  <w:style w:type="paragraph" w:customStyle="1" w:styleId="ParaIntroduction">
    <w:name w:val="_ParaIntroduction"/>
    <w:basedOn w:val="ParaMargin"/>
    <w:qFormat/>
    <w:rsid w:val="00FB0544"/>
    <w:pPr>
      <w:spacing w:before="120"/>
    </w:pPr>
    <w:rPr>
      <w:sz w:val="24"/>
    </w:rPr>
  </w:style>
  <w:style w:type="paragraph" w:customStyle="1" w:styleId="InfoBoldCyan">
    <w:name w:val="_InfoBoldCyan"/>
    <w:basedOn w:val="InfoBold"/>
    <w:next w:val="Info"/>
    <w:rsid w:val="00FB0544"/>
    <w:rPr>
      <w:color w:val="009EE0"/>
    </w:rPr>
  </w:style>
  <w:style w:type="paragraph" w:customStyle="1" w:styleId="ParaIntroCyan">
    <w:name w:val="_ParaIntroCyan"/>
    <w:basedOn w:val="ParaIndent"/>
    <w:next w:val="ParaIndent"/>
    <w:rsid w:val="00FB0544"/>
    <w:rPr>
      <w:color w:val="009EE0"/>
    </w:rPr>
  </w:style>
  <w:style w:type="paragraph" w:customStyle="1" w:styleId="PullQuote">
    <w:name w:val="_PullQuote"/>
    <w:basedOn w:val="ParaMargin"/>
    <w:rsid w:val="00FB0544"/>
    <w:pPr>
      <w:spacing w:after="0"/>
    </w:pPr>
    <w:rPr>
      <w:color w:val="FFFFFF"/>
    </w:rPr>
  </w:style>
  <w:style w:type="paragraph" w:customStyle="1" w:styleId="AlphaPoints">
    <w:name w:val="Alpha Points"/>
    <w:basedOn w:val="BodyText"/>
    <w:semiHidden/>
    <w:rsid w:val="00FB0544"/>
    <w:pPr>
      <w:numPr>
        <w:numId w:val="9"/>
      </w:numPr>
      <w:spacing w:after="180"/>
    </w:pPr>
  </w:style>
  <w:style w:type="paragraph" w:customStyle="1" w:styleId="BulletPoints">
    <w:name w:val="Bullet Points"/>
    <w:basedOn w:val="BodyText"/>
    <w:link w:val="BulletPointsChar"/>
    <w:rsid w:val="00FB0544"/>
    <w:pPr>
      <w:numPr>
        <w:numId w:val="11"/>
      </w:numPr>
    </w:pPr>
  </w:style>
  <w:style w:type="character" w:styleId="CommentReference">
    <w:name w:val="annotation reference"/>
    <w:basedOn w:val="DefaultParagraphFont"/>
    <w:rsid w:val="00FB0544"/>
    <w:rPr>
      <w:sz w:val="16"/>
      <w:szCs w:val="16"/>
    </w:rPr>
  </w:style>
  <w:style w:type="paragraph" w:styleId="CommentText">
    <w:name w:val="annotation text"/>
    <w:basedOn w:val="Normal"/>
    <w:rsid w:val="00FB0544"/>
  </w:style>
  <w:style w:type="paragraph" w:styleId="CommentSubject">
    <w:name w:val="annotation subject"/>
    <w:basedOn w:val="CommentText"/>
    <w:next w:val="CommentText"/>
    <w:rsid w:val="00FB0544"/>
    <w:rPr>
      <w:b/>
      <w:bCs/>
    </w:rPr>
  </w:style>
  <w:style w:type="paragraph" w:styleId="DocumentMap">
    <w:name w:val="Document Map"/>
    <w:basedOn w:val="Normal"/>
    <w:rsid w:val="00FB0544"/>
    <w:pPr>
      <w:shd w:val="clear" w:color="auto" w:fill="000080"/>
    </w:pPr>
    <w:rPr>
      <w:rFonts w:ascii="Tahoma" w:hAnsi="Tahoma" w:cs="Tahoma"/>
    </w:rPr>
  </w:style>
  <w:style w:type="character" w:styleId="EndnoteReference">
    <w:name w:val="endnote reference"/>
    <w:basedOn w:val="DefaultParagraphFont"/>
    <w:rsid w:val="00FB0544"/>
    <w:rPr>
      <w:vertAlign w:val="superscript"/>
    </w:rPr>
  </w:style>
  <w:style w:type="paragraph" w:styleId="EndnoteText">
    <w:name w:val="endnote text"/>
    <w:basedOn w:val="Normal"/>
    <w:rsid w:val="00FB0544"/>
    <w:rPr>
      <w:sz w:val="18"/>
    </w:rPr>
  </w:style>
  <w:style w:type="character" w:styleId="FootnoteReference">
    <w:name w:val="footnote reference"/>
    <w:basedOn w:val="DefaultParagraphFont"/>
    <w:uiPriority w:val="99"/>
    <w:rsid w:val="00FB0544"/>
    <w:rPr>
      <w:vertAlign w:val="superscript"/>
    </w:rPr>
  </w:style>
  <w:style w:type="paragraph" w:styleId="FootnoteText">
    <w:name w:val="footnote text"/>
    <w:basedOn w:val="Normal"/>
    <w:rsid w:val="00FB0544"/>
    <w:rPr>
      <w:sz w:val="18"/>
    </w:rPr>
  </w:style>
  <w:style w:type="paragraph" w:customStyle="1" w:styleId="Heading">
    <w:name w:val="Heading"/>
    <w:basedOn w:val="Normal"/>
    <w:next w:val="Header"/>
    <w:semiHidden/>
    <w:rsid w:val="00FB0544"/>
    <w:pPr>
      <w:spacing w:before="120" w:after="120"/>
      <w:jc w:val="right"/>
    </w:pPr>
    <w:rPr>
      <w:sz w:val="40"/>
    </w:rPr>
  </w:style>
  <w:style w:type="paragraph" w:styleId="Index1">
    <w:name w:val="index 1"/>
    <w:basedOn w:val="Normal"/>
    <w:next w:val="Normal"/>
    <w:autoRedefine/>
    <w:rsid w:val="00FB0544"/>
    <w:pPr>
      <w:ind w:left="200" w:hanging="200"/>
    </w:pPr>
  </w:style>
  <w:style w:type="paragraph" w:styleId="Index2">
    <w:name w:val="index 2"/>
    <w:basedOn w:val="Normal"/>
    <w:next w:val="Normal"/>
    <w:autoRedefine/>
    <w:rsid w:val="00FB0544"/>
    <w:pPr>
      <w:ind w:left="400" w:hanging="200"/>
    </w:pPr>
  </w:style>
  <w:style w:type="paragraph" w:styleId="Index3">
    <w:name w:val="index 3"/>
    <w:basedOn w:val="Normal"/>
    <w:next w:val="Normal"/>
    <w:autoRedefine/>
    <w:rsid w:val="00FB0544"/>
    <w:pPr>
      <w:ind w:left="600" w:hanging="200"/>
    </w:pPr>
  </w:style>
  <w:style w:type="paragraph" w:styleId="Index4">
    <w:name w:val="index 4"/>
    <w:basedOn w:val="Normal"/>
    <w:next w:val="Normal"/>
    <w:autoRedefine/>
    <w:rsid w:val="00FB0544"/>
    <w:pPr>
      <w:ind w:left="800" w:hanging="200"/>
    </w:pPr>
  </w:style>
  <w:style w:type="paragraph" w:styleId="Index5">
    <w:name w:val="index 5"/>
    <w:basedOn w:val="Normal"/>
    <w:next w:val="Normal"/>
    <w:autoRedefine/>
    <w:rsid w:val="00FB0544"/>
    <w:pPr>
      <w:ind w:left="1000" w:hanging="200"/>
    </w:pPr>
  </w:style>
  <w:style w:type="paragraph" w:styleId="Index6">
    <w:name w:val="index 6"/>
    <w:basedOn w:val="Normal"/>
    <w:next w:val="Normal"/>
    <w:autoRedefine/>
    <w:rsid w:val="00FB0544"/>
    <w:pPr>
      <w:ind w:left="1200" w:hanging="200"/>
    </w:pPr>
  </w:style>
  <w:style w:type="paragraph" w:styleId="Index7">
    <w:name w:val="index 7"/>
    <w:basedOn w:val="Normal"/>
    <w:next w:val="Normal"/>
    <w:autoRedefine/>
    <w:rsid w:val="00FB0544"/>
    <w:pPr>
      <w:ind w:left="1400" w:hanging="200"/>
    </w:pPr>
  </w:style>
  <w:style w:type="paragraph" w:styleId="Index8">
    <w:name w:val="index 8"/>
    <w:basedOn w:val="Normal"/>
    <w:next w:val="Normal"/>
    <w:autoRedefine/>
    <w:rsid w:val="00FB0544"/>
    <w:pPr>
      <w:ind w:left="1600" w:hanging="200"/>
    </w:pPr>
  </w:style>
  <w:style w:type="paragraph" w:styleId="Index9">
    <w:name w:val="index 9"/>
    <w:basedOn w:val="Normal"/>
    <w:next w:val="Normal"/>
    <w:autoRedefine/>
    <w:rsid w:val="00FB0544"/>
    <w:pPr>
      <w:ind w:left="1800" w:hanging="200"/>
    </w:pPr>
  </w:style>
  <w:style w:type="paragraph" w:styleId="IndexHeading">
    <w:name w:val="index heading"/>
    <w:basedOn w:val="Normal"/>
    <w:next w:val="Index1"/>
    <w:rsid w:val="00FB0544"/>
    <w:rPr>
      <w:rFonts w:cs="Arial"/>
      <w:b/>
      <w:bCs/>
    </w:rPr>
  </w:style>
  <w:style w:type="paragraph" w:styleId="MacroText">
    <w:name w:val="macro"/>
    <w:rsid w:val="00FB0544"/>
    <w:pPr>
      <w:tabs>
        <w:tab w:val="left" w:pos="480"/>
        <w:tab w:val="left" w:pos="960"/>
        <w:tab w:val="left" w:pos="1440"/>
        <w:tab w:val="left" w:pos="1920"/>
        <w:tab w:val="left" w:pos="2400"/>
        <w:tab w:val="left" w:pos="2880"/>
        <w:tab w:val="left" w:pos="3360"/>
        <w:tab w:val="left" w:pos="3840"/>
        <w:tab w:val="left" w:pos="4320"/>
      </w:tabs>
      <w:spacing w:after="180" w:line="260" w:lineRule="atLeast"/>
      <w:ind w:left="567"/>
    </w:pPr>
    <w:rPr>
      <w:rFonts w:ascii="Courier New" w:hAnsi="Courier New" w:cs="Courier New"/>
      <w:lang w:val="en-GB" w:eastAsia="en-US"/>
    </w:rPr>
  </w:style>
  <w:style w:type="paragraph" w:customStyle="1" w:styleId="NumberPoints">
    <w:name w:val="Number Points"/>
    <w:basedOn w:val="Normal"/>
    <w:link w:val="NumberPointsChar"/>
    <w:rsid w:val="00FB0544"/>
    <w:pPr>
      <w:numPr>
        <w:numId w:val="23"/>
      </w:numPr>
    </w:pPr>
  </w:style>
  <w:style w:type="paragraph" w:customStyle="1" w:styleId="TableHeading0">
    <w:name w:val="Table Heading"/>
    <w:basedOn w:val="Normal"/>
    <w:rsid w:val="00FB0544"/>
    <w:pPr>
      <w:spacing w:before="60" w:after="60"/>
    </w:pPr>
    <w:rPr>
      <w:rFonts w:ascii="Arial Narrow" w:hAnsi="Arial Narrow"/>
      <w:b/>
    </w:rPr>
  </w:style>
  <w:style w:type="paragraph" w:styleId="TableofAuthorities">
    <w:name w:val="table of authorities"/>
    <w:basedOn w:val="Normal"/>
    <w:next w:val="Normal"/>
    <w:rsid w:val="00FB0544"/>
    <w:pPr>
      <w:ind w:left="200" w:hanging="200"/>
    </w:pPr>
  </w:style>
  <w:style w:type="paragraph" w:styleId="TableofFigures">
    <w:name w:val="table of figures"/>
    <w:basedOn w:val="ListAppxsFigsTables"/>
    <w:next w:val="ListAppxsFigsTables"/>
    <w:uiPriority w:val="99"/>
    <w:rsid w:val="00FB0544"/>
  </w:style>
  <w:style w:type="paragraph" w:customStyle="1" w:styleId="TableText0">
    <w:name w:val="Table Text"/>
    <w:basedOn w:val="Normal"/>
    <w:rsid w:val="00FB0544"/>
    <w:pPr>
      <w:spacing w:before="60" w:after="60"/>
    </w:pPr>
  </w:style>
  <w:style w:type="paragraph" w:styleId="TOAHeading">
    <w:name w:val="toa heading"/>
    <w:basedOn w:val="Normal"/>
    <w:next w:val="Normal"/>
    <w:rsid w:val="00FB0544"/>
    <w:pPr>
      <w:spacing w:before="120"/>
    </w:pPr>
    <w:rPr>
      <w:rFonts w:cs="Arial"/>
      <w:b/>
      <w:bCs/>
      <w:sz w:val="24"/>
      <w:szCs w:val="24"/>
    </w:rPr>
  </w:style>
  <w:style w:type="paragraph" w:styleId="TOC5">
    <w:name w:val="toc 5"/>
    <w:basedOn w:val="Normal"/>
    <w:next w:val="Normal"/>
    <w:autoRedefine/>
    <w:rsid w:val="00FB0544"/>
    <w:pPr>
      <w:ind w:left="800"/>
    </w:pPr>
  </w:style>
  <w:style w:type="paragraph" w:styleId="TOC6">
    <w:name w:val="toc 6"/>
    <w:basedOn w:val="Normal"/>
    <w:next w:val="Normal"/>
    <w:autoRedefine/>
    <w:rsid w:val="00FB0544"/>
    <w:pPr>
      <w:ind w:left="1000"/>
    </w:pPr>
  </w:style>
  <w:style w:type="paragraph" w:styleId="TOC7">
    <w:name w:val="toc 7"/>
    <w:basedOn w:val="Normal"/>
    <w:next w:val="Normal"/>
    <w:autoRedefine/>
    <w:rsid w:val="00FB0544"/>
    <w:pPr>
      <w:ind w:left="1200"/>
    </w:pPr>
  </w:style>
  <w:style w:type="paragraph" w:styleId="TOC8">
    <w:name w:val="toc 8"/>
    <w:basedOn w:val="Normal"/>
    <w:next w:val="Normal"/>
    <w:autoRedefine/>
    <w:rsid w:val="00FB0544"/>
    <w:pPr>
      <w:ind w:left="1400"/>
    </w:pPr>
  </w:style>
  <w:style w:type="paragraph" w:styleId="TOC9">
    <w:name w:val="toc 9"/>
    <w:basedOn w:val="Normal"/>
    <w:next w:val="Normal"/>
    <w:autoRedefine/>
    <w:rsid w:val="00FB0544"/>
    <w:pPr>
      <w:ind w:left="1600"/>
    </w:pPr>
  </w:style>
  <w:style w:type="paragraph" w:customStyle="1" w:styleId="PullQuoteBlue">
    <w:name w:val="_PullQuoteBlue"/>
    <w:basedOn w:val="ParaIndent"/>
    <w:rsid w:val="00FB0544"/>
    <w:pPr>
      <w:spacing w:after="0"/>
      <w:ind w:left="0"/>
    </w:pPr>
    <w:rPr>
      <w:color w:val="FFFFFF"/>
    </w:rPr>
  </w:style>
  <w:style w:type="paragraph" w:customStyle="1" w:styleId="PullQuoteGreen">
    <w:name w:val="_PullQuoteGreen"/>
    <w:basedOn w:val="ParaIndent"/>
    <w:rsid w:val="00FB0544"/>
    <w:pPr>
      <w:spacing w:after="0"/>
      <w:ind w:left="0"/>
    </w:pPr>
    <w:rPr>
      <w:color w:val="FFFFFF"/>
    </w:rPr>
  </w:style>
  <w:style w:type="paragraph" w:customStyle="1" w:styleId="WMDraft">
    <w:name w:val="_WMDraft"/>
    <w:rsid w:val="00F25474"/>
    <w:pPr>
      <w:spacing w:after="240" w:line="260" w:lineRule="atLeast"/>
    </w:pPr>
    <w:rPr>
      <w:rFonts w:ascii="Arial" w:hAnsi="Arial"/>
      <w:szCs w:val="24"/>
      <w:lang w:val="en-GB" w:eastAsia="en-US"/>
    </w:rPr>
  </w:style>
  <w:style w:type="character" w:styleId="BookTitle">
    <w:name w:val="Book Title"/>
    <w:basedOn w:val="DefaultParagraphFont"/>
    <w:uiPriority w:val="33"/>
    <w:qFormat/>
    <w:rsid w:val="00FB0544"/>
    <w:rPr>
      <w:b/>
      <w:bCs/>
      <w:smallCaps/>
      <w:spacing w:val="5"/>
    </w:rPr>
  </w:style>
  <w:style w:type="character" w:styleId="IntenseEmphasis">
    <w:name w:val="Intense Emphasis"/>
    <w:basedOn w:val="DefaultParagraphFont"/>
    <w:uiPriority w:val="21"/>
    <w:qFormat/>
    <w:rsid w:val="00FB0544"/>
    <w:rPr>
      <w:b/>
      <w:bCs/>
      <w:i/>
      <w:iCs/>
      <w:color w:val="4F81BD"/>
    </w:rPr>
  </w:style>
  <w:style w:type="paragraph" w:styleId="IntenseQuote">
    <w:name w:val="Intense Quote"/>
    <w:basedOn w:val="Normal"/>
    <w:next w:val="Normal"/>
    <w:link w:val="IntenseQuoteChar"/>
    <w:uiPriority w:val="30"/>
    <w:qFormat/>
    <w:rsid w:val="00FB054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F25474"/>
    <w:rPr>
      <w:rFonts w:ascii="Arial" w:hAnsi="Arial"/>
      <w:b/>
      <w:bCs/>
      <w:i/>
      <w:iCs/>
      <w:color w:val="4F81BD"/>
      <w:lang w:eastAsia="en-US"/>
    </w:rPr>
  </w:style>
  <w:style w:type="character" w:styleId="IntenseReference">
    <w:name w:val="Intense Reference"/>
    <w:basedOn w:val="DefaultParagraphFont"/>
    <w:uiPriority w:val="32"/>
    <w:qFormat/>
    <w:rsid w:val="00FB0544"/>
    <w:rPr>
      <w:b/>
      <w:bCs/>
      <w:smallCaps/>
      <w:color w:val="C0504D"/>
      <w:spacing w:val="5"/>
      <w:u w:val="single"/>
    </w:rPr>
  </w:style>
  <w:style w:type="paragraph" w:styleId="ListParagraph">
    <w:name w:val="List Paragraph"/>
    <w:basedOn w:val="Normal"/>
    <w:uiPriority w:val="34"/>
    <w:qFormat/>
    <w:rsid w:val="00FB0544"/>
    <w:pPr>
      <w:ind w:left="720"/>
      <w:contextualSpacing/>
    </w:pPr>
  </w:style>
  <w:style w:type="paragraph" w:styleId="NoSpacing">
    <w:name w:val="No Spacing"/>
    <w:uiPriority w:val="1"/>
    <w:qFormat/>
    <w:rsid w:val="00FB0544"/>
    <w:pPr>
      <w:spacing w:after="120" w:line="260" w:lineRule="atLeast"/>
      <w:ind w:left="567"/>
    </w:pPr>
    <w:rPr>
      <w:rFonts w:ascii="Arial" w:hAnsi="Arial"/>
      <w:lang w:eastAsia="en-US"/>
    </w:rPr>
  </w:style>
  <w:style w:type="character" w:styleId="PlaceholderText">
    <w:name w:val="Placeholder Text"/>
    <w:basedOn w:val="DefaultParagraphFont"/>
    <w:semiHidden/>
    <w:rsid w:val="00FB0544"/>
    <w:rPr>
      <w:rFonts w:cs="Times New Roman"/>
      <w:color w:val="808080"/>
    </w:rPr>
  </w:style>
  <w:style w:type="paragraph" w:customStyle="1" w:styleId="PSALevel1">
    <w:name w:val="PSALevel 1"/>
    <w:basedOn w:val="Normal"/>
    <w:rsid w:val="00FB0544"/>
    <w:pPr>
      <w:keepNext/>
      <w:numPr>
        <w:numId w:val="24"/>
      </w:numPr>
      <w:spacing w:before="20" w:after="20" w:line="240" w:lineRule="auto"/>
    </w:pPr>
    <w:rPr>
      <w:rFonts w:ascii="Arial Narrow" w:hAnsi="Arial Narrow"/>
      <w:b/>
      <w:bCs/>
      <w:sz w:val="18"/>
    </w:rPr>
  </w:style>
  <w:style w:type="paragraph" w:styleId="Quote">
    <w:name w:val="Quote"/>
    <w:basedOn w:val="Normal"/>
    <w:next w:val="Normal"/>
    <w:link w:val="QuoteChar"/>
    <w:uiPriority w:val="29"/>
    <w:qFormat/>
    <w:rsid w:val="00FB0544"/>
    <w:rPr>
      <w:i/>
      <w:iCs/>
      <w:color w:val="000000"/>
    </w:rPr>
  </w:style>
  <w:style w:type="character" w:customStyle="1" w:styleId="QuoteChar">
    <w:name w:val="Quote Char"/>
    <w:basedOn w:val="DefaultParagraphFont"/>
    <w:link w:val="Quote"/>
    <w:uiPriority w:val="29"/>
    <w:rsid w:val="00F25474"/>
    <w:rPr>
      <w:rFonts w:ascii="Arial" w:hAnsi="Arial"/>
      <w:i/>
      <w:iCs/>
      <w:color w:val="000000"/>
      <w:lang w:eastAsia="en-US"/>
    </w:rPr>
  </w:style>
  <w:style w:type="character" w:styleId="SubtleEmphasis">
    <w:name w:val="Subtle Emphasis"/>
    <w:basedOn w:val="DefaultParagraphFont"/>
    <w:uiPriority w:val="19"/>
    <w:qFormat/>
    <w:rsid w:val="00FB0544"/>
    <w:rPr>
      <w:i/>
      <w:iCs/>
      <w:color w:val="808080"/>
    </w:rPr>
  </w:style>
  <w:style w:type="character" w:styleId="SubtleReference">
    <w:name w:val="Subtle Reference"/>
    <w:basedOn w:val="DefaultParagraphFont"/>
    <w:uiPriority w:val="31"/>
    <w:qFormat/>
    <w:rsid w:val="00FB0544"/>
    <w:rPr>
      <w:smallCaps/>
      <w:color w:val="C0504D"/>
      <w:u w:val="single"/>
    </w:rPr>
  </w:style>
  <w:style w:type="paragraph" w:customStyle="1" w:styleId="ToC40">
    <w:name w:val="_ToC4"/>
    <w:basedOn w:val="ToC20"/>
    <w:rsid w:val="00FB0544"/>
    <w:pPr>
      <w:tabs>
        <w:tab w:val="left" w:pos="2268"/>
      </w:tabs>
      <w:spacing w:before="20" w:after="20"/>
      <w:ind w:left="2268" w:firstLine="0"/>
    </w:pPr>
  </w:style>
  <w:style w:type="paragraph" w:customStyle="1" w:styleId="ToC50">
    <w:name w:val="_ToC5"/>
    <w:basedOn w:val="ListAppxsFigsTables"/>
    <w:rsid w:val="00FB0544"/>
  </w:style>
  <w:style w:type="character" w:customStyle="1" w:styleId="BodyTextChar">
    <w:name w:val="Body Text Char"/>
    <w:aliases w:val="(Alt+1) Char,block Char,bt Char,BodyText Char,b Char,Body Text before bullet Char,IRMS (T) Char,TEXT BOX Char,body Char,Body Char,text Char,Body Text(Alt+1) Char,b Char Char Char1,b Char Char Char Char,b Char Char Char Char Char Char Char"/>
    <w:basedOn w:val="DefaultParagraphFont"/>
    <w:link w:val="BodyText"/>
    <w:rsid w:val="00937B36"/>
    <w:rPr>
      <w:rFonts w:ascii="Arial" w:hAnsi="Arial"/>
      <w:lang w:eastAsia="en-US"/>
    </w:rPr>
  </w:style>
  <w:style w:type="character" w:customStyle="1" w:styleId="BulletPointsChar">
    <w:name w:val="Bullet Points Char"/>
    <w:basedOn w:val="BodyTextChar"/>
    <w:link w:val="BulletPoints"/>
    <w:rsid w:val="00734062"/>
    <w:rPr>
      <w:rFonts w:ascii="Arial" w:hAnsi="Arial"/>
      <w:lang w:eastAsia="en-US"/>
    </w:rPr>
  </w:style>
  <w:style w:type="character" w:customStyle="1" w:styleId="NumberPointsChar">
    <w:name w:val="Number Points Char"/>
    <w:basedOn w:val="BodyTextChar"/>
    <w:link w:val="NumberPoints"/>
    <w:rsid w:val="00CF4BDC"/>
    <w:rPr>
      <w:rFonts w:ascii="Arial" w:hAnsi="Arial"/>
      <w:lang w:eastAsia="en-US"/>
    </w:rPr>
  </w:style>
  <w:style w:type="character" w:customStyle="1" w:styleId="Heading2Char">
    <w:name w:val="Heading 2 Char"/>
    <w:aliases w:val="Not Kinhill Heading 2 Char"/>
    <w:basedOn w:val="DefaultParagraphFont"/>
    <w:link w:val="Heading20"/>
    <w:rsid w:val="00CF4BDC"/>
    <w:rPr>
      <w:rFonts w:ascii="Arial Narrow" w:hAnsi="Arial Narrow"/>
      <w:sz w:val="36"/>
      <w:lang w:eastAsia="en-US"/>
    </w:rPr>
  </w:style>
  <w:style w:type="character" w:customStyle="1" w:styleId="headertext">
    <w:name w:val="headertext"/>
    <w:basedOn w:val="DefaultParagraphFont"/>
    <w:rsid w:val="00C11CFC"/>
  </w:style>
  <w:style w:type="character" w:customStyle="1" w:styleId="Heading2Char0">
    <w:name w:val="_Heading2 Char"/>
    <w:basedOn w:val="DefaultParagraphFont"/>
    <w:link w:val="Heading2"/>
    <w:rsid w:val="00ED1B61"/>
    <w:rPr>
      <w:rFonts w:ascii="Arial" w:hAnsi="Arial" w:cs="Arial"/>
      <w:color w:val="495F70"/>
      <w:sz w:val="32"/>
      <w:lang w:eastAsia="en-US"/>
    </w:rPr>
  </w:style>
  <w:style w:type="paragraph" w:customStyle="1" w:styleId="Toc41">
    <w:name w:val="_Toc4"/>
    <w:basedOn w:val="ToC20"/>
    <w:rsid w:val="00D14763"/>
    <w:pPr>
      <w:tabs>
        <w:tab w:val="left" w:pos="2268"/>
      </w:tabs>
      <w:spacing w:before="20" w:after="20"/>
      <w:ind w:left="2268" w:firstLine="0"/>
    </w:pPr>
  </w:style>
  <w:style w:type="paragraph" w:customStyle="1" w:styleId="Default">
    <w:name w:val="Default"/>
    <w:rsid w:val="00E141E2"/>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644D74"/>
    <w:rPr>
      <w:rFonts w:ascii="Arial" w:hAnsi="Arial"/>
      <w:lang w:eastAsia="en-US"/>
    </w:rPr>
  </w:style>
</w:styles>
</file>

<file path=word/webSettings.xml><?xml version="1.0" encoding="utf-8"?>
<w:webSettings xmlns:r="http://schemas.openxmlformats.org/officeDocument/2006/relationships" xmlns:w="http://schemas.openxmlformats.org/wordprocessingml/2006/main">
  <w:divs>
    <w:div w:id="15741214">
      <w:bodyDiv w:val="1"/>
      <w:marLeft w:val="0"/>
      <w:marRight w:val="0"/>
      <w:marTop w:val="0"/>
      <w:marBottom w:val="0"/>
      <w:divBdr>
        <w:top w:val="none" w:sz="0" w:space="0" w:color="auto"/>
        <w:left w:val="none" w:sz="0" w:space="0" w:color="auto"/>
        <w:bottom w:val="none" w:sz="0" w:space="0" w:color="auto"/>
        <w:right w:val="none" w:sz="0" w:space="0" w:color="auto"/>
      </w:divBdr>
    </w:div>
    <w:div w:id="26640375">
      <w:bodyDiv w:val="1"/>
      <w:marLeft w:val="0"/>
      <w:marRight w:val="0"/>
      <w:marTop w:val="0"/>
      <w:marBottom w:val="0"/>
      <w:divBdr>
        <w:top w:val="none" w:sz="0" w:space="0" w:color="auto"/>
        <w:left w:val="none" w:sz="0" w:space="0" w:color="auto"/>
        <w:bottom w:val="none" w:sz="0" w:space="0" w:color="auto"/>
        <w:right w:val="none" w:sz="0" w:space="0" w:color="auto"/>
      </w:divBdr>
    </w:div>
    <w:div w:id="39020453">
      <w:bodyDiv w:val="1"/>
      <w:marLeft w:val="0"/>
      <w:marRight w:val="0"/>
      <w:marTop w:val="0"/>
      <w:marBottom w:val="0"/>
      <w:divBdr>
        <w:top w:val="none" w:sz="0" w:space="0" w:color="auto"/>
        <w:left w:val="none" w:sz="0" w:space="0" w:color="auto"/>
        <w:bottom w:val="none" w:sz="0" w:space="0" w:color="auto"/>
        <w:right w:val="none" w:sz="0" w:space="0" w:color="auto"/>
      </w:divBdr>
    </w:div>
    <w:div w:id="69082533">
      <w:bodyDiv w:val="1"/>
      <w:marLeft w:val="0"/>
      <w:marRight w:val="0"/>
      <w:marTop w:val="0"/>
      <w:marBottom w:val="0"/>
      <w:divBdr>
        <w:top w:val="none" w:sz="0" w:space="0" w:color="auto"/>
        <w:left w:val="none" w:sz="0" w:space="0" w:color="auto"/>
        <w:bottom w:val="none" w:sz="0" w:space="0" w:color="auto"/>
        <w:right w:val="none" w:sz="0" w:space="0" w:color="auto"/>
      </w:divBdr>
    </w:div>
    <w:div w:id="88425777">
      <w:bodyDiv w:val="1"/>
      <w:marLeft w:val="0"/>
      <w:marRight w:val="0"/>
      <w:marTop w:val="0"/>
      <w:marBottom w:val="0"/>
      <w:divBdr>
        <w:top w:val="none" w:sz="0" w:space="0" w:color="auto"/>
        <w:left w:val="none" w:sz="0" w:space="0" w:color="auto"/>
        <w:bottom w:val="none" w:sz="0" w:space="0" w:color="auto"/>
        <w:right w:val="none" w:sz="0" w:space="0" w:color="auto"/>
      </w:divBdr>
    </w:div>
    <w:div w:id="226840102">
      <w:bodyDiv w:val="1"/>
      <w:marLeft w:val="0"/>
      <w:marRight w:val="0"/>
      <w:marTop w:val="0"/>
      <w:marBottom w:val="0"/>
      <w:divBdr>
        <w:top w:val="none" w:sz="0" w:space="0" w:color="auto"/>
        <w:left w:val="none" w:sz="0" w:space="0" w:color="auto"/>
        <w:bottom w:val="none" w:sz="0" w:space="0" w:color="auto"/>
        <w:right w:val="none" w:sz="0" w:space="0" w:color="auto"/>
      </w:divBdr>
    </w:div>
    <w:div w:id="241183460">
      <w:bodyDiv w:val="1"/>
      <w:marLeft w:val="0"/>
      <w:marRight w:val="0"/>
      <w:marTop w:val="0"/>
      <w:marBottom w:val="0"/>
      <w:divBdr>
        <w:top w:val="none" w:sz="0" w:space="0" w:color="auto"/>
        <w:left w:val="none" w:sz="0" w:space="0" w:color="auto"/>
        <w:bottom w:val="none" w:sz="0" w:space="0" w:color="auto"/>
        <w:right w:val="none" w:sz="0" w:space="0" w:color="auto"/>
      </w:divBdr>
    </w:div>
    <w:div w:id="263658094">
      <w:bodyDiv w:val="1"/>
      <w:marLeft w:val="0"/>
      <w:marRight w:val="0"/>
      <w:marTop w:val="0"/>
      <w:marBottom w:val="0"/>
      <w:divBdr>
        <w:top w:val="none" w:sz="0" w:space="0" w:color="auto"/>
        <w:left w:val="none" w:sz="0" w:space="0" w:color="auto"/>
        <w:bottom w:val="none" w:sz="0" w:space="0" w:color="auto"/>
        <w:right w:val="none" w:sz="0" w:space="0" w:color="auto"/>
      </w:divBdr>
    </w:div>
    <w:div w:id="281962588">
      <w:bodyDiv w:val="1"/>
      <w:marLeft w:val="0"/>
      <w:marRight w:val="0"/>
      <w:marTop w:val="0"/>
      <w:marBottom w:val="0"/>
      <w:divBdr>
        <w:top w:val="none" w:sz="0" w:space="0" w:color="auto"/>
        <w:left w:val="none" w:sz="0" w:space="0" w:color="auto"/>
        <w:bottom w:val="none" w:sz="0" w:space="0" w:color="auto"/>
        <w:right w:val="none" w:sz="0" w:space="0" w:color="auto"/>
      </w:divBdr>
    </w:div>
    <w:div w:id="286398006">
      <w:bodyDiv w:val="1"/>
      <w:marLeft w:val="0"/>
      <w:marRight w:val="0"/>
      <w:marTop w:val="0"/>
      <w:marBottom w:val="0"/>
      <w:divBdr>
        <w:top w:val="none" w:sz="0" w:space="0" w:color="auto"/>
        <w:left w:val="none" w:sz="0" w:space="0" w:color="auto"/>
        <w:bottom w:val="none" w:sz="0" w:space="0" w:color="auto"/>
        <w:right w:val="none" w:sz="0" w:space="0" w:color="auto"/>
      </w:divBdr>
    </w:div>
    <w:div w:id="326978906">
      <w:bodyDiv w:val="1"/>
      <w:marLeft w:val="0"/>
      <w:marRight w:val="0"/>
      <w:marTop w:val="0"/>
      <w:marBottom w:val="0"/>
      <w:divBdr>
        <w:top w:val="none" w:sz="0" w:space="0" w:color="auto"/>
        <w:left w:val="none" w:sz="0" w:space="0" w:color="auto"/>
        <w:bottom w:val="none" w:sz="0" w:space="0" w:color="auto"/>
        <w:right w:val="none" w:sz="0" w:space="0" w:color="auto"/>
      </w:divBdr>
    </w:div>
    <w:div w:id="334066516">
      <w:bodyDiv w:val="1"/>
      <w:marLeft w:val="0"/>
      <w:marRight w:val="0"/>
      <w:marTop w:val="0"/>
      <w:marBottom w:val="0"/>
      <w:divBdr>
        <w:top w:val="none" w:sz="0" w:space="0" w:color="auto"/>
        <w:left w:val="none" w:sz="0" w:space="0" w:color="auto"/>
        <w:bottom w:val="none" w:sz="0" w:space="0" w:color="auto"/>
        <w:right w:val="none" w:sz="0" w:space="0" w:color="auto"/>
      </w:divBdr>
    </w:div>
    <w:div w:id="401833935">
      <w:bodyDiv w:val="1"/>
      <w:marLeft w:val="0"/>
      <w:marRight w:val="0"/>
      <w:marTop w:val="0"/>
      <w:marBottom w:val="0"/>
      <w:divBdr>
        <w:top w:val="none" w:sz="0" w:space="0" w:color="auto"/>
        <w:left w:val="none" w:sz="0" w:space="0" w:color="auto"/>
        <w:bottom w:val="none" w:sz="0" w:space="0" w:color="auto"/>
        <w:right w:val="none" w:sz="0" w:space="0" w:color="auto"/>
      </w:divBdr>
    </w:div>
    <w:div w:id="403800060">
      <w:bodyDiv w:val="1"/>
      <w:marLeft w:val="0"/>
      <w:marRight w:val="0"/>
      <w:marTop w:val="0"/>
      <w:marBottom w:val="0"/>
      <w:divBdr>
        <w:top w:val="none" w:sz="0" w:space="0" w:color="auto"/>
        <w:left w:val="none" w:sz="0" w:space="0" w:color="auto"/>
        <w:bottom w:val="none" w:sz="0" w:space="0" w:color="auto"/>
        <w:right w:val="none" w:sz="0" w:space="0" w:color="auto"/>
      </w:divBdr>
    </w:div>
    <w:div w:id="448281255">
      <w:bodyDiv w:val="1"/>
      <w:marLeft w:val="0"/>
      <w:marRight w:val="0"/>
      <w:marTop w:val="0"/>
      <w:marBottom w:val="0"/>
      <w:divBdr>
        <w:top w:val="none" w:sz="0" w:space="0" w:color="auto"/>
        <w:left w:val="none" w:sz="0" w:space="0" w:color="auto"/>
        <w:bottom w:val="none" w:sz="0" w:space="0" w:color="auto"/>
        <w:right w:val="none" w:sz="0" w:space="0" w:color="auto"/>
      </w:divBdr>
    </w:div>
    <w:div w:id="467822874">
      <w:bodyDiv w:val="1"/>
      <w:marLeft w:val="0"/>
      <w:marRight w:val="0"/>
      <w:marTop w:val="0"/>
      <w:marBottom w:val="0"/>
      <w:divBdr>
        <w:top w:val="none" w:sz="0" w:space="0" w:color="auto"/>
        <w:left w:val="none" w:sz="0" w:space="0" w:color="auto"/>
        <w:bottom w:val="none" w:sz="0" w:space="0" w:color="auto"/>
        <w:right w:val="none" w:sz="0" w:space="0" w:color="auto"/>
      </w:divBdr>
    </w:div>
    <w:div w:id="484778947">
      <w:bodyDiv w:val="1"/>
      <w:marLeft w:val="0"/>
      <w:marRight w:val="0"/>
      <w:marTop w:val="0"/>
      <w:marBottom w:val="0"/>
      <w:divBdr>
        <w:top w:val="none" w:sz="0" w:space="0" w:color="auto"/>
        <w:left w:val="none" w:sz="0" w:space="0" w:color="auto"/>
        <w:bottom w:val="none" w:sz="0" w:space="0" w:color="auto"/>
        <w:right w:val="none" w:sz="0" w:space="0" w:color="auto"/>
      </w:divBdr>
    </w:div>
    <w:div w:id="543520507">
      <w:bodyDiv w:val="1"/>
      <w:marLeft w:val="0"/>
      <w:marRight w:val="0"/>
      <w:marTop w:val="0"/>
      <w:marBottom w:val="0"/>
      <w:divBdr>
        <w:top w:val="none" w:sz="0" w:space="0" w:color="auto"/>
        <w:left w:val="none" w:sz="0" w:space="0" w:color="auto"/>
        <w:bottom w:val="none" w:sz="0" w:space="0" w:color="auto"/>
        <w:right w:val="none" w:sz="0" w:space="0" w:color="auto"/>
      </w:divBdr>
    </w:div>
    <w:div w:id="549654923">
      <w:bodyDiv w:val="1"/>
      <w:marLeft w:val="0"/>
      <w:marRight w:val="0"/>
      <w:marTop w:val="0"/>
      <w:marBottom w:val="0"/>
      <w:divBdr>
        <w:top w:val="none" w:sz="0" w:space="0" w:color="auto"/>
        <w:left w:val="none" w:sz="0" w:space="0" w:color="auto"/>
        <w:bottom w:val="none" w:sz="0" w:space="0" w:color="auto"/>
        <w:right w:val="none" w:sz="0" w:space="0" w:color="auto"/>
      </w:divBdr>
    </w:div>
    <w:div w:id="578976792">
      <w:bodyDiv w:val="1"/>
      <w:marLeft w:val="0"/>
      <w:marRight w:val="0"/>
      <w:marTop w:val="0"/>
      <w:marBottom w:val="0"/>
      <w:divBdr>
        <w:top w:val="none" w:sz="0" w:space="0" w:color="auto"/>
        <w:left w:val="none" w:sz="0" w:space="0" w:color="auto"/>
        <w:bottom w:val="none" w:sz="0" w:space="0" w:color="auto"/>
        <w:right w:val="none" w:sz="0" w:space="0" w:color="auto"/>
      </w:divBdr>
    </w:div>
    <w:div w:id="655962244">
      <w:bodyDiv w:val="1"/>
      <w:marLeft w:val="0"/>
      <w:marRight w:val="0"/>
      <w:marTop w:val="0"/>
      <w:marBottom w:val="0"/>
      <w:divBdr>
        <w:top w:val="none" w:sz="0" w:space="0" w:color="auto"/>
        <w:left w:val="none" w:sz="0" w:space="0" w:color="auto"/>
        <w:bottom w:val="none" w:sz="0" w:space="0" w:color="auto"/>
        <w:right w:val="none" w:sz="0" w:space="0" w:color="auto"/>
      </w:divBdr>
    </w:div>
    <w:div w:id="686373589">
      <w:bodyDiv w:val="1"/>
      <w:marLeft w:val="0"/>
      <w:marRight w:val="0"/>
      <w:marTop w:val="0"/>
      <w:marBottom w:val="0"/>
      <w:divBdr>
        <w:top w:val="none" w:sz="0" w:space="0" w:color="auto"/>
        <w:left w:val="none" w:sz="0" w:space="0" w:color="auto"/>
        <w:bottom w:val="none" w:sz="0" w:space="0" w:color="auto"/>
        <w:right w:val="none" w:sz="0" w:space="0" w:color="auto"/>
      </w:divBdr>
    </w:div>
    <w:div w:id="702363475">
      <w:bodyDiv w:val="1"/>
      <w:marLeft w:val="0"/>
      <w:marRight w:val="0"/>
      <w:marTop w:val="0"/>
      <w:marBottom w:val="0"/>
      <w:divBdr>
        <w:top w:val="none" w:sz="0" w:space="0" w:color="auto"/>
        <w:left w:val="none" w:sz="0" w:space="0" w:color="auto"/>
        <w:bottom w:val="none" w:sz="0" w:space="0" w:color="auto"/>
        <w:right w:val="none" w:sz="0" w:space="0" w:color="auto"/>
      </w:divBdr>
    </w:div>
    <w:div w:id="722287283">
      <w:bodyDiv w:val="1"/>
      <w:marLeft w:val="0"/>
      <w:marRight w:val="0"/>
      <w:marTop w:val="0"/>
      <w:marBottom w:val="0"/>
      <w:divBdr>
        <w:top w:val="none" w:sz="0" w:space="0" w:color="auto"/>
        <w:left w:val="none" w:sz="0" w:space="0" w:color="auto"/>
        <w:bottom w:val="none" w:sz="0" w:space="0" w:color="auto"/>
        <w:right w:val="none" w:sz="0" w:space="0" w:color="auto"/>
      </w:divBdr>
    </w:div>
    <w:div w:id="754782753">
      <w:bodyDiv w:val="1"/>
      <w:marLeft w:val="0"/>
      <w:marRight w:val="0"/>
      <w:marTop w:val="0"/>
      <w:marBottom w:val="0"/>
      <w:divBdr>
        <w:top w:val="none" w:sz="0" w:space="0" w:color="auto"/>
        <w:left w:val="none" w:sz="0" w:space="0" w:color="auto"/>
        <w:bottom w:val="none" w:sz="0" w:space="0" w:color="auto"/>
        <w:right w:val="none" w:sz="0" w:space="0" w:color="auto"/>
      </w:divBdr>
    </w:div>
    <w:div w:id="762997409">
      <w:bodyDiv w:val="1"/>
      <w:marLeft w:val="0"/>
      <w:marRight w:val="0"/>
      <w:marTop w:val="0"/>
      <w:marBottom w:val="0"/>
      <w:divBdr>
        <w:top w:val="none" w:sz="0" w:space="0" w:color="auto"/>
        <w:left w:val="none" w:sz="0" w:space="0" w:color="auto"/>
        <w:bottom w:val="none" w:sz="0" w:space="0" w:color="auto"/>
        <w:right w:val="none" w:sz="0" w:space="0" w:color="auto"/>
      </w:divBdr>
    </w:div>
    <w:div w:id="776564191">
      <w:bodyDiv w:val="1"/>
      <w:marLeft w:val="0"/>
      <w:marRight w:val="0"/>
      <w:marTop w:val="0"/>
      <w:marBottom w:val="0"/>
      <w:divBdr>
        <w:top w:val="none" w:sz="0" w:space="0" w:color="auto"/>
        <w:left w:val="none" w:sz="0" w:space="0" w:color="auto"/>
        <w:bottom w:val="none" w:sz="0" w:space="0" w:color="auto"/>
        <w:right w:val="none" w:sz="0" w:space="0" w:color="auto"/>
      </w:divBdr>
    </w:div>
    <w:div w:id="779758524">
      <w:bodyDiv w:val="1"/>
      <w:marLeft w:val="0"/>
      <w:marRight w:val="0"/>
      <w:marTop w:val="0"/>
      <w:marBottom w:val="0"/>
      <w:divBdr>
        <w:top w:val="none" w:sz="0" w:space="0" w:color="auto"/>
        <w:left w:val="none" w:sz="0" w:space="0" w:color="auto"/>
        <w:bottom w:val="none" w:sz="0" w:space="0" w:color="auto"/>
        <w:right w:val="none" w:sz="0" w:space="0" w:color="auto"/>
      </w:divBdr>
    </w:div>
    <w:div w:id="799417202">
      <w:bodyDiv w:val="1"/>
      <w:marLeft w:val="0"/>
      <w:marRight w:val="0"/>
      <w:marTop w:val="0"/>
      <w:marBottom w:val="0"/>
      <w:divBdr>
        <w:top w:val="none" w:sz="0" w:space="0" w:color="auto"/>
        <w:left w:val="none" w:sz="0" w:space="0" w:color="auto"/>
        <w:bottom w:val="none" w:sz="0" w:space="0" w:color="auto"/>
        <w:right w:val="none" w:sz="0" w:space="0" w:color="auto"/>
      </w:divBdr>
    </w:div>
    <w:div w:id="848908614">
      <w:bodyDiv w:val="1"/>
      <w:marLeft w:val="0"/>
      <w:marRight w:val="0"/>
      <w:marTop w:val="0"/>
      <w:marBottom w:val="0"/>
      <w:divBdr>
        <w:top w:val="none" w:sz="0" w:space="0" w:color="auto"/>
        <w:left w:val="none" w:sz="0" w:space="0" w:color="auto"/>
        <w:bottom w:val="none" w:sz="0" w:space="0" w:color="auto"/>
        <w:right w:val="none" w:sz="0" w:space="0" w:color="auto"/>
      </w:divBdr>
    </w:div>
    <w:div w:id="875506580">
      <w:bodyDiv w:val="1"/>
      <w:marLeft w:val="0"/>
      <w:marRight w:val="0"/>
      <w:marTop w:val="0"/>
      <w:marBottom w:val="0"/>
      <w:divBdr>
        <w:top w:val="none" w:sz="0" w:space="0" w:color="auto"/>
        <w:left w:val="none" w:sz="0" w:space="0" w:color="auto"/>
        <w:bottom w:val="none" w:sz="0" w:space="0" w:color="auto"/>
        <w:right w:val="none" w:sz="0" w:space="0" w:color="auto"/>
      </w:divBdr>
    </w:div>
    <w:div w:id="883250313">
      <w:bodyDiv w:val="1"/>
      <w:marLeft w:val="0"/>
      <w:marRight w:val="0"/>
      <w:marTop w:val="0"/>
      <w:marBottom w:val="0"/>
      <w:divBdr>
        <w:top w:val="none" w:sz="0" w:space="0" w:color="auto"/>
        <w:left w:val="none" w:sz="0" w:space="0" w:color="auto"/>
        <w:bottom w:val="none" w:sz="0" w:space="0" w:color="auto"/>
        <w:right w:val="none" w:sz="0" w:space="0" w:color="auto"/>
      </w:divBdr>
    </w:div>
    <w:div w:id="886332655">
      <w:bodyDiv w:val="1"/>
      <w:marLeft w:val="0"/>
      <w:marRight w:val="0"/>
      <w:marTop w:val="0"/>
      <w:marBottom w:val="0"/>
      <w:divBdr>
        <w:top w:val="none" w:sz="0" w:space="0" w:color="auto"/>
        <w:left w:val="none" w:sz="0" w:space="0" w:color="auto"/>
        <w:bottom w:val="none" w:sz="0" w:space="0" w:color="auto"/>
        <w:right w:val="none" w:sz="0" w:space="0" w:color="auto"/>
      </w:divBdr>
    </w:div>
    <w:div w:id="893467196">
      <w:bodyDiv w:val="1"/>
      <w:marLeft w:val="0"/>
      <w:marRight w:val="0"/>
      <w:marTop w:val="0"/>
      <w:marBottom w:val="0"/>
      <w:divBdr>
        <w:top w:val="none" w:sz="0" w:space="0" w:color="auto"/>
        <w:left w:val="none" w:sz="0" w:space="0" w:color="auto"/>
        <w:bottom w:val="none" w:sz="0" w:space="0" w:color="auto"/>
        <w:right w:val="none" w:sz="0" w:space="0" w:color="auto"/>
      </w:divBdr>
    </w:div>
    <w:div w:id="912273292">
      <w:bodyDiv w:val="1"/>
      <w:marLeft w:val="0"/>
      <w:marRight w:val="0"/>
      <w:marTop w:val="0"/>
      <w:marBottom w:val="0"/>
      <w:divBdr>
        <w:top w:val="none" w:sz="0" w:space="0" w:color="auto"/>
        <w:left w:val="none" w:sz="0" w:space="0" w:color="auto"/>
        <w:bottom w:val="none" w:sz="0" w:space="0" w:color="auto"/>
        <w:right w:val="none" w:sz="0" w:space="0" w:color="auto"/>
      </w:divBdr>
    </w:div>
    <w:div w:id="924728319">
      <w:bodyDiv w:val="1"/>
      <w:marLeft w:val="0"/>
      <w:marRight w:val="0"/>
      <w:marTop w:val="0"/>
      <w:marBottom w:val="0"/>
      <w:divBdr>
        <w:top w:val="none" w:sz="0" w:space="0" w:color="auto"/>
        <w:left w:val="none" w:sz="0" w:space="0" w:color="auto"/>
        <w:bottom w:val="none" w:sz="0" w:space="0" w:color="auto"/>
        <w:right w:val="none" w:sz="0" w:space="0" w:color="auto"/>
      </w:divBdr>
    </w:div>
    <w:div w:id="956527544">
      <w:bodyDiv w:val="1"/>
      <w:marLeft w:val="0"/>
      <w:marRight w:val="0"/>
      <w:marTop w:val="0"/>
      <w:marBottom w:val="0"/>
      <w:divBdr>
        <w:top w:val="none" w:sz="0" w:space="0" w:color="auto"/>
        <w:left w:val="none" w:sz="0" w:space="0" w:color="auto"/>
        <w:bottom w:val="none" w:sz="0" w:space="0" w:color="auto"/>
        <w:right w:val="none" w:sz="0" w:space="0" w:color="auto"/>
      </w:divBdr>
    </w:div>
    <w:div w:id="1020663225">
      <w:bodyDiv w:val="1"/>
      <w:marLeft w:val="0"/>
      <w:marRight w:val="0"/>
      <w:marTop w:val="0"/>
      <w:marBottom w:val="0"/>
      <w:divBdr>
        <w:top w:val="none" w:sz="0" w:space="0" w:color="auto"/>
        <w:left w:val="none" w:sz="0" w:space="0" w:color="auto"/>
        <w:bottom w:val="none" w:sz="0" w:space="0" w:color="auto"/>
        <w:right w:val="none" w:sz="0" w:space="0" w:color="auto"/>
      </w:divBdr>
    </w:div>
    <w:div w:id="1023165077">
      <w:bodyDiv w:val="1"/>
      <w:marLeft w:val="0"/>
      <w:marRight w:val="0"/>
      <w:marTop w:val="0"/>
      <w:marBottom w:val="0"/>
      <w:divBdr>
        <w:top w:val="none" w:sz="0" w:space="0" w:color="auto"/>
        <w:left w:val="none" w:sz="0" w:space="0" w:color="auto"/>
        <w:bottom w:val="none" w:sz="0" w:space="0" w:color="auto"/>
        <w:right w:val="none" w:sz="0" w:space="0" w:color="auto"/>
      </w:divBdr>
    </w:div>
    <w:div w:id="1038049362">
      <w:bodyDiv w:val="1"/>
      <w:marLeft w:val="0"/>
      <w:marRight w:val="0"/>
      <w:marTop w:val="0"/>
      <w:marBottom w:val="0"/>
      <w:divBdr>
        <w:top w:val="none" w:sz="0" w:space="0" w:color="auto"/>
        <w:left w:val="none" w:sz="0" w:space="0" w:color="auto"/>
        <w:bottom w:val="none" w:sz="0" w:space="0" w:color="auto"/>
        <w:right w:val="none" w:sz="0" w:space="0" w:color="auto"/>
      </w:divBdr>
    </w:div>
    <w:div w:id="1040519600">
      <w:bodyDiv w:val="1"/>
      <w:marLeft w:val="0"/>
      <w:marRight w:val="0"/>
      <w:marTop w:val="0"/>
      <w:marBottom w:val="0"/>
      <w:divBdr>
        <w:top w:val="none" w:sz="0" w:space="0" w:color="auto"/>
        <w:left w:val="none" w:sz="0" w:space="0" w:color="auto"/>
        <w:bottom w:val="none" w:sz="0" w:space="0" w:color="auto"/>
        <w:right w:val="none" w:sz="0" w:space="0" w:color="auto"/>
      </w:divBdr>
    </w:div>
    <w:div w:id="1079642776">
      <w:bodyDiv w:val="1"/>
      <w:marLeft w:val="0"/>
      <w:marRight w:val="0"/>
      <w:marTop w:val="0"/>
      <w:marBottom w:val="0"/>
      <w:divBdr>
        <w:top w:val="none" w:sz="0" w:space="0" w:color="auto"/>
        <w:left w:val="none" w:sz="0" w:space="0" w:color="auto"/>
        <w:bottom w:val="none" w:sz="0" w:space="0" w:color="auto"/>
        <w:right w:val="none" w:sz="0" w:space="0" w:color="auto"/>
      </w:divBdr>
    </w:div>
    <w:div w:id="1099452343">
      <w:bodyDiv w:val="1"/>
      <w:marLeft w:val="0"/>
      <w:marRight w:val="0"/>
      <w:marTop w:val="0"/>
      <w:marBottom w:val="0"/>
      <w:divBdr>
        <w:top w:val="none" w:sz="0" w:space="0" w:color="auto"/>
        <w:left w:val="none" w:sz="0" w:space="0" w:color="auto"/>
        <w:bottom w:val="none" w:sz="0" w:space="0" w:color="auto"/>
        <w:right w:val="none" w:sz="0" w:space="0" w:color="auto"/>
      </w:divBdr>
    </w:div>
    <w:div w:id="1100221299">
      <w:bodyDiv w:val="1"/>
      <w:marLeft w:val="0"/>
      <w:marRight w:val="0"/>
      <w:marTop w:val="0"/>
      <w:marBottom w:val="0"/>
      <w:divBdr>
        <w:top w:val="none" w:sz="0" w:space="0" w:color="auto"/>
        <w:left w:val="none" w:sz="0" w:space="0" w:color="auto"/>
        <w:bottom w:val="none" w:sz="0" w:space="0" w:color="auto"/>
        <w:right w:val="none" w:sz="0" w:space="0" w:color="auto"/>
      </w:divBdr>
    </w:div>
    <w:div w:id="1108311958">
      <w:bodyDiv w:val="1"/>
      <w:marLeft w:val="0"/>
      <w:marRight w:val="0"/>
      <w:marTop w:val="0"/>
      <w:marBottom w:val="0"/>
      <w:divBdr>
        <w:top w:val="none" w:sz="0" w:space="0" w:color="auto"/>
        <w:left w:val="none" w:sz="0" w:space="0" w:color="auto"/>
        <w:bottom w:val="none" w:sz="0" w:space="0" w:color="auto"/>
        <w:right w:val="none" w:sz="0" w:space="0" w:color="auto"/>
      </w:divBdr>
    </w:div>
    <w:div w:id="1124419562">
      <w:bodyDiv w:val="1"/>
      <w:marLeft w:val="0"/>
      <w:marRight w:val="0"/>
      <w:marTop w:val="0"/>
      <w:marBottom w:val="0"/>
      <w:divBdr>
        <w:top w:val="none" w:sz="0" w:space="0" w:color="auto"/>
        <w:left w:val="none" w:sz="0" w:space="0" w:color="auto"/>
        <w:bottom w:val="none" w:sz="0" w:space="0" w:color="auto"/>
        <w:right w:val="none" w:sz="0" w:space="0" w:color="auto"/>
      </w:divBdr>
    </w:div>
    <w:div w:id="1128820802">
      <w:bodyDiv w:val="1"/>
      <w:marLeft w:val="0"/>
      <w:marRight w:val="0"/>
      <w:marTop w:val="0"/>
      <w:marBottom w:val="0"/>
      <w:divBdr>
        <w:top w:val="none" w:sz="0" w:space="0" w:color="auto"/>
        <w:left w:val="none" w:sz="0" w:space="0" w:color="auto"/>
        <w:bottom w:val="none" w:sz="0" w:space="0" w:color="auto"/>
        <w:right w:val="none" w:sz="0" w:space="0" w:color="auto"/>
      </w:divBdr>
    </w:div>
    <w:div w:id="1192720907">
      <w:bodyDiv w:val="1"/>
      <w:marLeft w:val="0"/>
      <w:marRight w:val="0"/>
      <w:marTop w:val="0"/>
      <w:marBottom w:val="0"/>
      <w:divBdr>
        <w:top w:val="none" w:sz="0" w:space="0" w:color="auto"/>
        <w:left w:val="none" w:sz="0" w:space="0" w:color="auto"/>
        <w:bottom w:val="none" w:sz="0" w:space="0" w:color="auto"/>
        <w:right w:val="none" w:sz="0" w:space="0" w:color="auto"/>
      </w:divBdr>
    </w:div>
    <w:div w:id="1241676187">
      <w:bodyDiv w:val="1"/>
      <w:marLeft w:val="0"/>
      <w:marRight w:val="0"/>
      <w:marTop w:val="0"/>
      <w:marBottom w:val="0"/>
      <w:divBdr>
        <w:top w:val="none" w:sz="0" w:space="0" w:color="auto"/>
        <w:left w:val="none" w:sz="0" w:space="0" w:color="auto"/>
        <w:bottom w:val="none" w:sz="0" w:space="0" w:color="auto"/>
        <w:right w:val="none" w:sz="0" w:space="0" w:color="auto"/>
      </w:divBdr>
    </w:div>
    <w:div w:id="1249077873">
      <w:bodyDiv w:val="1"/>
      <w:marLeft w:val="0"/>
      <w:marRight w:val="0"/>
      <w:marTop w:val="0"/>
      <w:marBottom w:val="0"/>
      <w:divBdr>
        <w:top w:val="none" w:sz="0" w:space="0" w:color="auto"/>
        <w:left w:val="none" w:sz="0" w:space="0" w:color="auto"/>
        <w:bottom w:val="none" w:sz="0" w:space="0" w:color="auto"/>
        <w:right w:val="none" w:sz="0" w:space="0" w:color="auto"/>
      </w:divBdr>
    </w:div>
    <w:div w:id="1318075018">
      <w:bodyDiv w:val="1"/>
      <w:marLeft w:val="0"/>
      <w:marRight w:val="0"/>
      <w:marTop w:val="0"/>
      <w:marBottom w:val="0"/>
      <w:divBdr>
        <w:top w:val="none" w:sz="0" w:space="0" w:color="auto"/>
        <w:left w:val="none" w:sz="0" w:space="0" w:color="auto"/>
        <w:bottom w:val="none" w:sz="0" w:space="0" w:color="auto"/>
        <w:right w:val="none" w:sz="0" w:space="0" w:color="auto"/>
      </w:divBdr>
    </w:div>
    <w:div w:id="1323242755">
      <w:bodyDiv w:val="1"/>
      <w:marLeft w:val="0"/>
      <w:marRight w:val="0"/>
      <w:marTop w:val="0"/>
      <w:marBottom w:val="0"/>
      <w:divBdr>
        <w:top w:val="none" w:sz="0" w:space="0" w:color="auto"/>
        <w:left w:val="none" w:sz="0" w:space="0" w:color="auto"/>
        <w:bottom w:val="none" w:sz="0" w:space="0" w:color="auto"/>
        <w:right w:val="none" w:sz="0" w:space="0" w:color="auto"/>
      </w:divBdr>
    </w:div>
    <w:div w:id="1368870520">
      <w:bodyDiv w:val="1"/>
      <w:marLeft w:val="0"/>
      <w:marRight w:val="0"/>
      <w:marTop w:val="0"/>
      <w:marBottom w:val="0"/>
      <w:divBdr>
        <w:top w:val="none" w:sz="0" w:space="0" w:color="auto"/>
        <w:left w:val="none" w:sz="0" w:space="0" w:color="auto"/>
        <w:bottom w:val="none" w:sz="0" w:space="0" w:color="auto"/>
        <w:right w:val="none" w:sz="0" w:space="0" w:color="auto"/>
      </w:divBdr>
    </w:div>
    <w:div w:id="1383601377">
      <w:bodyDiv w:val="1"/>
      <w:marLeft w:val="0"/>
      <w:marRight w:val="0"/>
      <w:marTop w:val="0"/>
      <w:marBottom w:val="0"/>
      <w:divBdr>
        <w:top w:val="none" w:sz="0" w:space="0" w:color="auto"/>
        <w:left w:val="none" w:sz="0" w:space="0" w:color="auto"/>
        <w:bottom w:val="none" w:sz="0" w:space="0" w:color="auto"/>
        <w:right w:val="none" w:sz="0" w:space="0" w:color="auto"/>
      </w:divBdr>
    </w:div>
    <w:div w:id="1457868249">
      <w:bodyDiv w:val="1"/>
      <w:marLeft w:val="0"/>
      <w:marRight w:val="0"/>
      <w:marTop w:val="0"/>
      <w:marBottom w:val="0"/>
      <w:divBdr>
        <w:top w:val="none" w:sz="0" w:space="0" w:color="auto"/>
        <w:left w:val="none" w:sz="0" w:space="0" w:color="auto"/>
        <w:bottom w:val="none" w:sz="0" w:space="0" w:color="auto"/>
        <w:right w:val="none" w:sz="0" w:space="0" w:color="auto"/>
      </w:divBdr>
    </w:div>
    <w:div w:id="1479496007">
      <w:bodyDiv w:val="1"/>
      <w:marLeft w:val="0"/>
      <w:marRight w:val="0"/>
      <w:marTop w:val="0"/>
      <w:marBottom w:val="0"/>
      <w:divBdr>
        <w:top w:val="none" w:sz="0" w:space="0" w:color="auto"/>
        <w:left w:val="none" w:sz="0" w:space="0" w:color="auto"/>
        <w:bottom w:val="none" w:sz="0" w:space="0" w:color="auto"/>
        <w:right w:val="none" w:sz="0" w:space="0" w:color="auto"/>
      </w:divBdr>
    </w:div>
    <w:div w:id="1564946786">
      <w:bodyDiv w:val="1"/>
      <w:marLeft w:val="0"/>
      <w:marRight w:val="0"/>
      <w:marTop w:val="0"/>
      <w:marBottom w:val="0"/>
      <w:divBdr>
        <w:top w:val="none" w:sz="0" w:space="0" w:color="auto"/>
        <w:left w:val="none" w:sz="0" w:space="0" w:color="auto"/>
        <w:bottom w:val="none" w:sz="0" w:space="0" w:color="auto"/>
        <w:right w:val="none" w:sz="0" w:space="0" w:color="auto"/>
      </w:divBdr>
    </w:div>
    <w:div w:id="1566183608">
      <w:bodyDiv w:val="1"/>
      <w:marLeft w:val="0"/>
      <w:marRight w:val="0"/>
      <w:marTop w:val="0"/>
      <w:marBottom w:val="0"/>
      <w:divBdr>
        <w:top w:val="none" w:sz="0" w:space="0" w:color="auto"/>
        <w:left w:val="none" w:sz="0" w:space="0" w:color="auto"/>
        <w:bottom w:val="none" w:sz="0" w:space="0" w:color="auto"/>
        <w:right w:val="none" w:sz="0" w:space="0" w:color="auto"/>
      </w:divBdr>
    </w:div>
    <w:div w:id="1567447621">
      <w:bodyDiv w:val="1"/>
      <w:marLeft w:val="0"/>
      <w:marRight w:val="0"/>
      <w:marTop w:val="0"/>
      <w:marBottom w:val="0"/>
      <w:divBdr>
        <w:top w:val="none" w:sz="0" w:space="0" w:color="auto"/>
        <w:left w:val="none" w:sz="0" w:space="0" w:color="auto"/>
        <w:bottom w:val="none" w:sz="0" w:space="0" w:color="auto"/>
        <w:right w:val="none" w:sz="0" w:space="0" w:color="auto"/>
      </w:divBdr>
    </w:div>
    <w:div w:id="1583447572">
      <w:bodyDiv w:val="1"/>
      <w:marLeft w:val="0"/>
      <w:marRight w:val="0"/>
      <w:marTop w:val="0"/>
      <w:marBottom w:val="0"/>
      <w:divBdr>
        <w:top w:val="none" w:sz="0" w:space="0" w:color="auto"/>
        <w:left w:val="none" w:sz="0" w:space="0" w:color="auto"/>
        <w:bottom w:val="none" w:sz="0" w:space="0" w:color="auto"/>
        <w:right w:val="none" w:sz="0" w:space="0" w:color="auto"/>
      </w:divBdr>
    </w:div>
    <w:div w:id="1676422329">
      <w:bodyDiv w:val="1"/>
      <w:marLeft w:val="0"/>
      <w:marRight w:val="0"/>
      <w:marTop w:val="0"/>
      <w:marBottom w:val="0"/>
      <w:divBdr>
        <w:top w:val="none" w:sz="0" w:space="0" w:color="auto"/>
        <w:left w:val="none" w:sz="0" w:space="0" w:color="auto"/>
        <w:bottom w:val="none" w:sz="0" w:space="0" w:color="auto"/>
        <w:right w:val="none" w:sz="0" w:space="0" w:color="auto"/>
      </w:divBdr>
    </w:div>
    <w:div w:id="1726640007">
      <w:bodyDiv w:val="1"/>
      <w:marLeft w:val="0"/>
      <w:marRight w:val="0"/>
      <w:marTop w:val="0"/>
      <w:marBottom w:val="0"/>
      <w:divBdr>
        <w:top w:val="none" w:sz="0" w:space="0" w:color="auto"/>
        <w:left w:val="none" w:sz="0" w:space="0" w:color="auto"/>
        <w:bottom w:val="none" w:sz="0" w:space="0" w:color="auto"/>
        <w:right w:val="none" w:sz="0" w:space="0" w:color="auto"/>
      </w:divBdr>
    </w:div>
    <w:div w:id="1764758196">
      <w:bodyDiv w:val="1"/>
      <w:marLeft w:val="0"/>
      <w:marRight w:val="0"/>
      <w:marTop w:val="0"/>
      <w:marBottom w:val="0"/>
      <w:divBdr>
        <w:top w:val="none" w:sz="0" w:space="0" w:color="auto"/>
        <w:left w:val="none" w:sz="0" w:space="0" w:color="auto"/>
        <w:bottom w:val="none" w:sz="0" w:space="0" w:color="auto"/>
        <w:right w:val="none" w:sz="0" w:space="0" w:color="auto"/>
      </w:divBdr>
    </w:div>
    <w:div w:id="1773938032">
      <w:bodyDiv w:val="1"/>
      <w:marLeft w:val="0"/>
      <w:marRight w:val="0"/>
      <w:marTop w:val="0"/>
      <w:marBottom w:val="0"/>
      <w:divBdr>
        <w:top w:val="none" w:sz="0" w:space="0" w:color="auto"/>
        <w:left w:val="none" w:sz="0" w:space="0" w:color="auto"/>
        <w:bottom w:val="none" w:sz="0" w:space="0" w:color="auto"/>
        <w:right w:val="none" w:sz="0" w:space="0" w:color="auto"/>
      </w:divBdr>
    </w:div>
    <w:div w:id="1790666155">
      <w:bodyDiv w:val="1"/>
      <w:marLeft w:val="0"/>
      <w:marRight w:val="0"/>
      <w:marTop w:val="0"/>
      <w:marBottom w:val="0"/>
      <w:divBdr>
        <w:top w:val="none" w:sz="0" w:space="0" w:color="auto"/>
        <w:left w:val="none" w:sz="0" w:space="0" w:color="auto"/>
        <w:bottom w:val="none" w:sz="0" w:space="0" w:color="auto"/>
        <w:right w:val="none" w:sz="0" w:space="0" w:color="auto"/>
      </w:divBdr>
    </w:div>
    <w:div w:id="1803885524">
      <w:bodyDiv w:val="1"/>
      <w:marLeft w:val="0"/>
      <w:marRight w:val="0"/>
      <w:marTop w:val="0"/>
      <w:marBottom w:val="0"/>
      <w:divBdr>
        <w:top w:val="none" w:sz="0" w:space="0" w:color="auto"/>
        <w:left w:val="none" w:sz="0" w:space="0" w:color="auto"/>
        <w:bottom w:val="none" w:sz="0" w:space="0" w:color="auto"/>
        <w:right w:val="none" w:sz="0" w:space="0" w:color="auto"/>
      </w:divBdr>
    </w:div>
    <w:div w:id="1812091575">
      <w:bodyDiv w:val="1"/>
      <w:marLeft w:val="0"/>
      <w:marRight w:val="0"/>
      <w:marTop w:val="0"/>
      <w:marBottom w:val="0"/>
      <w:divBdr>
        <w:top w:val="none" w:sz="0" w:space="0" w:color="auto"/>
        <w:left w:val="none" w:sz="0" w:space="0" w:color="auto"/>
        <w:bottom w:val="none" w:sz="0" w:space="0" w:color="auto"/>
        <w:right w:val="none" w:sz="0" w:space="0" w:color="auto"/>
      </w:divBdr>
    </w:div>
    <w:div w:id="1848444313">
      <w:bodyDiv w:val="1"/>
      <w:marLeft w:val="0"/>
      <w:marRight w:val="0"/>
      <w:marTop w:val="0"/>
      <w:marBottom w:val="0"/>
      <w:divBdr>
        <w:top w:val="none" w:sz="0" w:space="0" w:color="auto"/>
        <w:left w:val="none" w:sz="0" w:space="0" w:color="auto"/>
        <w:bottom w:val="none" w:sz="0" w:space="0" w:color="auto"/>
        <w:right w:val="none" w:sz="0" w:space="0" w:color="auto"/>
      </w:divBdr>
    </w:div>
    <w:div w:id="1945921626">
      <w:bodyDiv w:val="1"/>
      <w:marLeft w:val="0"/>
      <w:marRight w:val="0"/>
      <w:marTop w:val="0"/>
      <w:marBottom w:val="0"/>
      <w:divBdr>
        <w:top w:val="none" w:sz="0" w:space="0" w:color="auto"/>
        <w:left w:val="none" w:sz="0" w:space="0" w:color="auto"/>
        <w:bottom w:val="none" w:sz="0" w:space="0" w:color="auto"/>
        <w:right w:val="none" w:sz="0" w:space="0" w:color="auto"/>
      </w:divBdr>
    </w:div>
    <w:div w:id="1947957322">
      <w:bodyDiv w:val="1"/>
      <w:marLeft w:val="0"/>
      <w:marRight w:val="0"/>
      <w:marTop w:val="0"/>
      <w:marBottom w:val="0"/>
      <w:divBdr>
        <w:top w:val="none" w:sz="0" w:space="0" w:color="auto"/>
        <w:left w:val="none" w:sz="0" w:space="0" w:color="auto"/>
        <w:bottom w:val="none" w:sz="0" w:space="0" w:color="auto"/>
        <w:right w:val="none" w:sz="0" w:space="0" w:color="auto"/>
      </w:divBdr>
    </w:div>
    <w:div w:id="1981836224">
      <w:bodyDiv w:val="1"/>
      <w:marLeft w:val="0"/>
      <w:marRight w:val="0"/>
      <w:marTop w:val="0"/>
      <w:marBottom w:val="0"/>
      <w:divBdr>
        <w:top w:val="none" w:sz="0" w:space="0" w:color="auto"/>
        <w:left w:val="none" w:sz="0" w:space="0" w:color="auto"/>
        <w:bottom w:val="none" w:sz="0" w:space="0" w:color="auto"/>
        <w:right w:val="none" w:sz="0" w:space="0" w:color="auto"/>
      </w:divBdr>
    </w:div>
    <w:div w:id="1991445821">
      <w:bodyDiv w:val="1"/>
      <w:marLeft w:val="0"/>
      <w:marRight w:val="0"/>
      <w:marTop w:val="0"/>
      <w:marBottom w:val="0"/>
      <w:divBdr>
        <w:top w:val="none" w:sz="0" w:space="0" w:color="auto"/>
        <w:left w:val="none" w:sz="0" w:space="0" w:color="auto"/>
        <w:bottom w:val="none" w:sz="0" w:space="0" w:color="auto"/>
        <w:right w:val="none" w:sz="0" w:space="0" w:color="auto"/>
      </w:divBdr>
    </w:div>
    <w:div w:id="1996258172">
      <w:bodyDiv w:val="1"/>
      <w:marLeft w:val="0"/>
      <w:marRight w:val="0"/>
      <w:marTop w:val="0"/>
      <w:marBottom w:val="0"/>
      <w:divBdr>
        <w:top w:val="none" w:sz="0" w:space="0" w:color="auto"/>
        <w:left w:val="none" w:sz="0" w:space="0" w:color="auto"/>
        <w:bottom w:val="none" w:sz="0" w:space="0" w:color="auto"/>
        <w:right w:val="none" w:sz="0" w:space="0" w:color="auto"/>
      </w:divBdr>
    </w:div>
    <w:div w:id="2060133198">
      <w:bodyDiv w:val="1"/>
      <w:marLeft w:val="0"/>
      <w:marRight w:val="0"/>
      <w:marTop w:val="0"/>
      <w:marBottom w:val="0"/>
      <w:divBdr>
        <w:top w:val="none" w:sz="0" w:space="0" w:color="auto"/>
        <w:left w:val="none" w:sz="0" w:space="0" w:color="auto"/>
        <w:bottom w:val="none" w:sz="0" w:space="0" w:color="auto"/>
        <w:right w:val="none" w:sz="0" w:space="0" w:color="auto"/>
      </w:divBdr>
    </w:div>
    <w:div w:id="2063359710">
      <w:bodyDiv w:val="1"/>
      <w:marLeft w:val="0"/>
      <w:marRight w:val="0"/>
      <w:marTop w:val="0"/>
      <w:marBottom w:val="0"/>
      <w:divBdr>
        <w:top w:val="none" w:sz="0" w:space="0" w:color="auto"/>
        <w:left w:val="none" w:sz="0" w:space="0" w:color="auto"/>
        <w:bottom w:val="none" w:sz="0" w:space="0" w:color="auto"/>
        <w:right w:val="none" w:sz="0" w:space="0" w:color="auto"/>
      </w:divBdr>
    </w:div>
    <w:div w:id="2067947605">
      <w:bodyDiv w:val="1"/>
      <w:marLeft w:val="0"/>
      <w:marRight w:val="0"/>
      <w:marTop w:val="0"/>
      <w:marBottom w:val="0"/>
      <w:divBdr>
        <w:top w:val="none" w:sz="0" w:space="0" w:color="auto"/>
        <w:left w:val="none" w:sz="0" w:space="0" w:color="auto"/>
        <w:bottom w:val="none" w:sz="0" w:space="0" w:color="auto"/>
        <w:right w:val="none" w:sz="0" w:space="0" w:color="auto"/>
      </w:divBdr>
    </w:div>
    <w:div w:id="2134009910">
      <w:bodyDiv w:val="1"/>
      <w:marLeft w:val="0"/>
      <w:marRight w:val="0"/>
      <w:marTop w:val="0"/>
      <w:marBottom w:val="0"/>
      <w:divBdr>
        <w:top w:val="none" w:sz="0" w:space="0" w:color="auto"/>
        <w:left w:val="none" w:sz="0" w:space="0" w:color="auto"/>
        <w:bottom w:val="none" w:sz="0" w:space="0" w:color="auto"/>
        <w:right w:val="none" w:sz="0" w:space="0" w:color="auto"/>
      </w:divBdr>
    </w:div>
    <w:div w:id="2134015719">
      <w:bodyDiv w:val="1"/>
      <w:marLeft w:val="0"/>
      <w:marRight w:val="0"/>
      <w:marTop w:val="0"/>
      <w:marBottom w:val="0"/>
      <w:divBdr>
        <w:top w:val="none" w:sz="0" w:space="0" w:color="auto"/>
        <w:left w:val="none" w:sz="0" w:space="0" w:color="auto"/>
        <w:bottom w:val="none" w:sz="0" w:space="0" w:color="auto"/>
        <w:right w:val="none" w:sz="0" w:space="0" w:color="auto"/>
      </w:divBdr>
    </w:div>
    <w:div w:id="2141221987">
      <w:bodyDiv w:val="1"/>
      <w:marLeft w:val="0"/>
      <w:marRight w:val="0"/>
      <w:marTop w:val="0"/>
      <w:marBottom w:val="0"/>
      <w:divBdr>
        <w:top w:val="none" w:sz="0" w:space="0" w:color="auto"/>
        <w:left w:val="none" w:sz="0" w:space="0" w:color="auto"/>
        <w:bottom w:val="none" w:sz="0" w:space="0" w:color="auto"/>
        <w:right w:val="none" w:sz="0" w:space="0" w:color="auto"/>
      </w:divBdr>
    </w:div>
    <w:div w:id="2143233168">
      <w:bodyDiv w:val="1"/>
      <w:marLeft w:val="0"/>
      <w:marRight w:val="0"/>
      <w:marTop w:val="0"/>
      <w:marBottom w:val="0"/>
      <w:divBdr>
        <w:top w:val="none" w:sz="0" w:space="0" w:color="auto"/>
        <w:left w:val="none" w:sz="0" w:space="0" w:color="auto"/>
        <w:bottom w:val="none" w:sz="0" w:space="0" w:color="auto"/>
        <w:right w:val="none" w:sz="0" w:space="0" w:color="auto"/>
      </w:divBdr>
    </w:div>
    <w:div w:id="214561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chart" Target="charts/chart16.xml"/><Relationship Id="rId21" Type="http://schemas.openxmlformats.org/officeDocument/2006/relationships/image" Target="media/image7.pn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hyperlink" Target="http://www.epa.sa.gov.au/environmental_info/waste/waste_transport" TargetMode="External"/><Relationship Id="rId68" Type="http://schemas.openxmlformats.org/officeDocument/2006/relationships/hyperlink" Target="http://www.epa.sa.gov.au/page.php?page=43" TargetMode="External"/><Relationship Id="rId76" Type="http://schemas.openxmlformats.org/officeDocument/2006/relationships/image" Target="media/image9.jpeg"/><Relationship Id="rId84" Type="http://schemas.openxmlformats.org/officeDocument/2006/relationships/header" Target="header4.xml"/><Relationship Id="rId89" Type="http://schemas.openxmlformats.org/officeDocument/2006/relationships/image" Target="media/image15.emf"/><Relationship Id="rId7" Type="http://schemas.openxmlformats.org/officeDocument/2006/relationships/styles" Target="styles.xml"/><Relationship Id="rId71" Type="http://schemas.openxmlformats.org/officeDocument/2006/relationships/hyperlink" Target="http://www.wmaa.asn.au/uploads/documents/ClinicalWasteCodeofPractice(5thEdition).pdf"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6.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hyperlink" Target="http://www.epa.sa.gov.au/environmental_info/waste/what_is_waste" TargetMode="External"/><Relationship Id="rId74" Type="http://schemas.openxmlformats.org/officeDocument/2006/relationships/header" Target="header2.xml"/><Relationship Id="rId79" Type="http://schemas.openxmlformats.org/officeDocument/2006/relationships/footer" Target="footer10.xml"/><Relationship Id="rId87"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footer" Target="footer7.xml"/><Relationship Id="rId82" Type="http://schemas.openxmlformats.org/officeDocument/2006/relationships/image" Target="media/image12.jpeg"/><Relationship Id="rId90" Type="http://schemas.openxmlformats.org/officeDocument/2006/relationships/image" Target="media/image16.emf"/><Relationship Id="rId19" Type="http://schemas.openxmlformats.org/officeDocument/2006/relationships/image" Target="media/image5.emf"/><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hyperlink" Target="http://www.epa.sa.gov.au/environmental_info/waste/how_can_i_dispose_of_waste/listed_waste" TargetMode="External"/><Relationship Id="rId69" Type="http://schemas.openxmlformats.org/officeDocument/2006/relationships/hyperlink" Target="http://www.epa.sa.gov.au/environmental_info/waste/solid_waste/refuse_derived_fuel" TargetMode="External"/><Relationship Id="rId77"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chart" Target="charts/chart28.xml"/><Relationship Id="rId72" Type="http://schemas.openxmlformats.org/officeDocument/2006/relationships/chart" Target="charts/chart37.xml"/><Relationship Id="rId80" Type="http://schemas.openxmlformats.org/officeDocument/2006/relationships/image" Target="media/image10.jpeg"/><Relationship Id="rId85" Type="http://schemas.openxmlformats.org/officeDocument/2006/relationships/header" Target="header5.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footer" Target="footer6.xml"/><Relationship Id="rId67" Type="http://schemas.openxmlformats.org/officeDocument/2006/relationships/hyperlink" Target="http://www.epa.sa.gov.au/environmental_info/site_contamination" TargetMode="External"/><Relationship Id="rId20" Type="http://schemas.openxmlformats.org/officeDocument/2006/relationships/image" Target="media/image6.emf"/><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6.xml"/><Relationship Id="rId70" Type="http://schemas.openxmlformats.org/officeDocument/2006/relationships/hyperlink" Target="http://www.epa.sa.gov.au/environmental_info/waste" TargetMode="External"/><Relationship Id="rId75" Type="http://schemas.openxmlformats.org/officeDocument/2006/relationships/footer" Target="footer8.xml"/><Relationship Id="rId83" Type="http://schemas.openxmlformats.org/officeDocument/2006/relationships/image" Target="media/image13.jpeg"/><Relationship Id="rId88" Type="http://schemas.openxmlformats.org/officeDocument/2006/relationships/image" Target="media/image14.emf"/><Relationship Id="rId91" Type="http://schemas.openxmlformats.org/officeDocument/2006/relationships/hyperlink" Target="http://www.aluminium-cans.com.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footer" Target="footer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footnotes" Target="footnotes.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header" Target="header1.xml"/><Relationship Id="rId65" Type="http://schemas.openxmlformats.org/officeDocument/2006/relationships/hyperlink" Target="http://www.epa.sa.gov.au/environmental_info/waste/how_can_i_dispose_of_waste/medical_waste" TargetMode="External"/><Relationship Id="rId73" Type="http://schemas.openxmlformats.org/officeDocument/2006/relationships/chart" Target="charts/chart38.xml"/><Relationship Id="rId78" Type="http://schemas.openxmlformats.org/officeDocument/2006/relationships/footer" Target="footer9.xml"/><Relationship Id="rId81" Type="http://schemas.openxmlformats.org/officeDocument/2006/relationships/image" Target="media/image11.jpeg"/><Relationship Id="rId86" Type="http://schemas.openxmlformats.org/officeDocument/2006/relationships/footer" Target="footer11.xml"/><Relationship Id="rId9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ipcc-wg1.ucar.edu/wg1/Report/AR4WG1_Print_Ch0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lient_Report_1S_1C.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glaz2081\Desktop\W&amp;RiA%202011%20-%20Figure%205-27.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yeaz1032\Desktop\D0023-AA003777-AAU-05%20Australia%20Waste%20Figures%202011%20-%20Hyder%20changes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2411873273215412"/>
          <c:y val="2.2227849212300796E-2"/>
          <c:w val="0.86050212061436859"/>
          <c:h val="0.90266251445882961"/>
        </c:manualLayout>
      </c:layout>
      <c:barChart>
        <c:barDir val="col"/>
        <c:grouping val="stacked"/>
        <c:ser>
          <c:idx val="0"/>
          <c:order val="0"/>
          <c:tx>
            <c:strRef>
              <c:f>'W&amp;R report - S4.1'!$D$12</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dLblPos val="ctr"/>
            <c:showVal val="1"/>
          </c:dLbls>
          <c:cat>
            <c:strRef>
              <c:f>'W&amp;R report - S4.1'!$B$14:$B$21</c:f>
              <c:strCache>
                <c:ptCount val="8"/>
                <c:pt idx="0">
                  <c:v>NSW</c:v>
                </c:pt>
                <c:pt idx="1">
                  <c:v>Vic</c:v>
                </c:pt>
                <c:pt idx="2">
                  <c:v>Qld</c:v>
                </c:pt>
                <c:pt idx="3">
                  <c:v>SA</c:v>
                </c:pt>
                <c:pt idx="4">
                  <c:v>WA</c:v>
                </c:pt>
                <c:pt idx="5">
                  <c:v>Tas</c:v>
                </c:pt>
                <c:pt idx="6">
                  <c:v>ACT</c:v>
                </c:pt>
                <c:pt idx="7">
                  <c:v>NT</c:v>
                </c:pt>
              </c:strCache>
            </c:strRef>
          </c:cat>
          <c:val>
            <c:numRef>
              <c:f>'W&amp;R report - S4.1'!$L$14:$L$21</c:f>
              <c:numCache>
                <c:formatCode>#,##0</c:formatCode>
                <c:ptCount val="8"/>
                <c:pt idx="0">
                  <c:v>940</c:v>
                </c:pt>
                <c:pt idx="1">
                  <c:v>870</c:v>
                </c:pt>
                <c:pt idx="2">
                  <c:v>1160</c:v>
                </c:pt>
                <c:pt idx="3">
                  <c:v>650</c:v>
                </c:pt>
                <c:pt idx="4">
                  <c:v>1830</c:v>
                </c:pt>
                <c:pt idx="5">
                  <c:v>890</c:v>
                </c:pt>
                <c:pt idx="6">
                  <c:v>580</c:v>
                </c:pt>
                <c:pt idx="7">
                  <c:v>1610</c:v>
                </c:pt>
              </c:numCache>
            </c:numRef>
          </c:val>
        </c:ser>
        <c:ser>
          <c:idx val="1"/>
          <c:order val="1"/>
          <c:tx>
            <c:strRef>
              <c:f>'W&amp;R report - S4.1'!$E$12</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S4.1'!$B$14:$B$21</c:f>
              <c:strCache>
                <c:ptCount val="8"/>
                <c:pt idx="0">
                  <c:v>NSW</c:v>
                </c:pt>
                <c:pt idx="1">
                  <c:v>Vic</c:v>
                </c:pt>
                <c:pt idx="2">
                  <c:v>Qld</c:v>
                </c:pt>
                <c:pt idx="3">
                  <c:v>SA</c:v>
                </c:pt>
                <c:pt idx="4">
                  <c:v>WA</c:v>
                </c:pt>
                <c:pt idx="5">
                  <c:v>Tas</c:v>
                </c:pt>
                <c:pt idx="6">
                  <c:v>ACT</c:v>
                </c:pt>
                <c:pt idx="7">
                  <c:v>NT</c:v>
                </c:pt>
              </c:strCache>
            </c:strRef>
          </c:cat>
          <c:val>
            <c:numRef>
              <c:f>'W&amp;R report - S4.1'!$M$14:$M$21</c:f>
              <c:numCache>
                <c:formatCode>#,##0</c:formatCode>
                <c:ptCount val="8"/>
                <c:pt idx="0">
                  <c:v>1350</c:v>
                </c:pt>
                <c:pt idx="1">
                  <c:v>1010</c:v>
                </c:pt>
                <c:pt idx="2">
                  <c:v>930</c:v>
                </c:pt>
                <c:pt idx="3">
                  <c:v>1340</c:v>
                </c:pt>
                <c:pt idx="4">
                  <c:v>830</c:v>
                </c:pt>
                <c:pt idx="5">
                  <c:v>150</c:v>
                </c:pt>
                <c:pt idx="6">
                  <c:v>1650</c:v>
                </c:pt>
                <c:pt idx="7">
                  <c:v>70</c:v>
                </c:pt>
              </c:numCache>
            </c:numRef>
          </c:val>
        </c:ser>
        <c:ser>
          <c:idx val="2"/>
          <c:order val="2"/>
          <c:tx>
            <c:strRef>
              <c:f>'W&amp;R report - S4.1'!$G$12</c:f>
              <c:strCache>
                <c:ptCount val="1"/>
                <c:pt idx="0">
                  <c:v>Energy recovery</c:v>
                </c:pt>
              </c:strCache>
            </c:strRef>
          </c:tx>
          <c:spPr>
            <a:solidFill>
              <a:srgbClr val="ED7906"/>
            </a:solidFill>
          </c:spPr>
          <c:dLbls>
            <c:dLbl>
              <c:idx val="5"/>
              <c:layout>
                <c:manualLayout>
                  <c:x val="9.0107493090490349E-17"/>
                  <c:y val="-4.0402175764336995E-2"/>
                </c:manualLayout>
              </c:layout>
              <c:dLblPos val="ctr"/>
              <c:showVal val="1"/>
            </c:dLbl>
            <c:dLbl>
              <c:idx val="7"/>
              <c:layout>
                <c:manualLayout>
                  <c:x val="0"/>
                  <c:y val="-4.7333009878154003E-2"/>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S4.1'!$B$14:$B$21</c:f>
              <c:strCache>
                <c:ptCount val="8"/>
                <c:pt idx="0">
                  <c:v>NSW</c:v>
                </c:pt>
                <c:pt idx="1">
                  <c:v>Vic</c:v>
                </c:pt>
                <c:pt idx="2">
                  <c:v>Qld</c:v>
                </c:pt>
                <c:pt idx="3">
                  <c:v>SA</c:v>
                </c:pt>
                <c:pt idx="4">
                  <c:v>WA</c:v>
                </c:pt>
                <c:pt idx="5">
                  <c:v>Tas</c:v>
                </c:pt>
                <c:pt idx="6">
                  <c:v>ACT</c:v>
                </c:pt>
                <c:pt idx="7">
                  <c:v>NT</c:v>
                </c:pt>
              </c:strCache>
            </c:strRef>
          </c:cat>
          <c:val>
            <c:numRef>
              <c:f>'W&amp;R report - S4.1'!$O$14:$O$21</c:f>
              <c:numCache>
                <c:formatCode>#,##0</c:formatCode>
                <c:ptCount val="8"/>
                <c:pt idx="0">
                  <c:v>10</c:v>
                </c:pt>
                <c:pt idx="1">
                  <c:v>10</c:v>
                </c:pt>
                <c:pt idx="2">
                  <c:v>10</c:v>
                </c:pt>
                <c:pt idx="3">
                  <c:v>60</c:v>
                </c:pt>
                <c:pt idx="4">
                  <c:v>10</c:v>
                </c:pt>
                <c:pt idx="5">
                  <c:v>20</c:v>
                </c:pt>
                <c:pt idx="6">
                  <c:v>30</c:v>
                </c:pt>
                <c:pt idx="7">
                  <c:v>10</c:v>
                </c:pt>
              </c:numCache>
            </c:numRef>
          </c:val>
        </c:ser>
        <c:dLbls>
          <c:showVal val="1"/>
        </c:dLbls>
        <c:gapWidth val="100"/>
        <c:overlap val="100"/>
        <c:axId val="170092032"/>
        <c:axId val="170093568"/>
      </c:barChart>
      <c:catAx>
        <c:axId val="170092032"/>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70093568"/>
        <c:crosses val="autoZero"/>
        <c:auto val="1"/>
        <c:lblAlgn val="ctr"/>
        <c:lblOffset val="100"/>
      </c:catAx>
      <c:valAx>
        <c:axId val="170093568"/>
        <c:scaling>
          <c:orientation val="minMax"/>
          <c:max val="3500"/>
        </c:scaling>
        <c:axPos val="l"/>
        <c:title>
          <c:tx>
            <c:rich>
              <a:bodyPr/>
              <a:lstStyle/>
              <a:p>
                <a:pPr>
                  <a:defRPr sz="800" b="0" i="0" u="none" strike="noStrike" baseline="0">
                    <a:solidFill>
                      <a:srgbClr val="333333"/>
                    </a:solidFill>
                    <a:latin typeface="Arial"/>
                    <a:ea typeface="Arial"/>
                    <a:cs typeface="Arial"/>
                  </a:defRPr>
                </a:pPr>
                <a:r>
                  <a:rPr lang="en-AU"/>
                  <a:t>kg per capita</a:t>
                </a:r>
              </a:p>
            </c:rich>
          </c:tx>
          <c:layout>
            <c:manualLayout>
              <c:xMode val="edge"/>
              <c:yMode val="edge"/>
              <c:x val="1.3535630539788161E-3"/>
              <c:y val="0.30461954600406888"/>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70092032"/>
        <c:crosses val="autoZero"/>
        <c:crossBetween val="between"/>
      </c:valAx>
      <c:spPr>
        <a:ln>
          <a:noFill/>
        </a:ln>
      </c:spPr>
    </c:plotArea>
    <c:legend>
      <c:legendPos val="t"/>
      <c:txPr>
        <a:bodyPr/>
        <a:lstStyle/>
        <a:p>
          <a:pPr>
            <a:defRPr sz="735"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3886376557178026"/>
          <c:y val="2.2227849212300796E-2"/>
          <c:w val="0.86113623442821974"/>
          <c:h val="0.90266251445882961"/>
        </c:manualLayout>
      </c:layout>
      <c:barChart>
        <c:barDir val="col"/>
        <c:grouping val="stacked"/>
        <c:ser>
          <c:idx val="0"/>
          <c:order val="0"/>
          <c:tx>
            <c:strRef>
              <c:f>'W&amp;R report - S4.3 (Vic)'!$I$14</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dLblPos val="ctr"/>
            <c:showVal val="1"/>
          </c:dLbls>
          <c:cat>
            <c:strRef>
              <c:f>'W&amp;R report - S4.3 (Vic)'!$J$12:$M$12</c:f>
              <c:strCache>
                <c:ptCount val="4"/>
                <c:pt idx="0">
                  <c:v>2002-03</c:v>
                </c:pt>
                <c:pt idx="1">
                  <c:v>2006-07</c:v>
                </c:pt>
                <c:pt idx="2">
                  <c:v>2008-09 Subtotal</c:v>
                </c:pt>
                <c:pt idx="3">
                  <c:v>2008-09 Total</c:v>
                </c:pt>
              </c:strCache>
            </c:strRef>
          </c:cat>
          <c:val>
            <c:numRef>
              <c:f>'W&amp;R report - S4.3 (Vic)'!$J$14:$M$14</c:f>
              <c:numCache>
                <c:formatCode>#,##0</c:formatCode>
                <c:ptCount val="4"/>
                <c:pt idx="0">
                  <c:v>4180</c:v>
                </c:pt>
                <c:pt idx="1">
                  <c:v>3920</c:v>
                </c:pt>
                <c:pt idx="2">
                  <c:v>4740</c:v>
                </c:pt>
                <c:pt idx="3">
                  <c:v>6870</c:v>
                </c:pt>
              </c:numCache>
            </c:numRef>
          </c:val>
        </c:ser>
        <c:ser>
          <c:idx val="1"/>
          <c:order val="1"/>
          <c:tx>
            <c:strRef>
              <c:f>'W&amp;R report - S4.3 (Vic)'!$I$15</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S4.3 (Vic)'!$J$12:$M$12</c:f>
              <c:strCache>
                <c:ptCount val="4"/>
                <c:pt idx="0">
                  <c:v>2002-03</c:v>
                </c:pt>
                <c:pt idx="1">
                  <c:v>2006-07</c:v>
                </c:pt>
                <c:pt idx="2">
                  <c:v>2008-09 Subtotal</c:v>
                </c:pt>
                <c:pt idx="3">
                  <c:v>2008-09 Total</c:v>
                </c:pt>
              </c:strCache>
            </c:strRef>
          </c:cat>
          <c:val>
            <c:numRef>
              <c:f>'W&amp;R report - S4.3 (Vic)'!$J$15:$M$15</c:f>
              <c:numCache>
                <c:formatCode>#,##0</c:formatCode>
                <c:ptCount val="4"/>
                <c:pt idx="0">
                  <c:v>4430</c:v>
                </c:pt>
                <c:pt idx="1">
                  <c:v>6360</c:v>
                </c:pt>
                <c:pt idx="2">
                  <c:v>5490</c:v>
                </c:pt>
                <c:pt idx="3">
                  <c:v>5890</c:v>
                </c:pt>
              </c:numCache>
            </c:numRef>
          </c:val>
        </c:ser>
        <c:ser>
          <c:idx val="2"/>
          <c:order val="2"/>
          <c:tx>
            <c:strRef>
              <c:f>'W&amp;R report - S4.3 (Vic)'!$I$16</c:f>
              <c:strCache>
                <c:ptCount val="1"/>
                <c:pt idx="0">
                  <c:v>Energy recovery</c:v>
                </c:pt>
              </c:strCache>
            </c:strRef>
          </c:tx>
          <c:spPr>
            <a:solidFill>
              <a:srgbClr val="ED7906"/>
            </a:solidFill>
          </c:spPr>
          <c:dLbls>
            <c:dLbl>
              <c:idx val="5"/>
              <c:layout>
                <c:manualLayout>
                  <c:x val="9.0107493090490349E-17"/>
                  <c:y val="-4.0402175764336995E-2"/>
                </c:manualLayout>
              </c:layout>
              <c:dLblPos val="ctr"/>
              <c:showVal val="1"/>
            </c:dLbl>
            <c:dLbl>
              <c:idx val="7"/>
              <c:layout>
                <c:manualLayout>
                  <c:x val="0"/>
                  <c:y val="-4.7333009878154003E-2"/>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S4.3 (Vic)'!$J$12:$M$12</c:f>
              <c:strCache>
                <c:ptCount val="4"/>
                <c:pt idx="0">
                  <c:v>2002-03</c:v>
                </c:pt>
                <c:pt idx="1">
                  <c:v>2006-07</c:v>
                </c:pt>
                <c:pt idx="2">
                  <c:v>2008-09 Subtotal</c:v>
                </c:pt>
                <c:pt idx="3">
                  <c:v>2008-09 Total</c:v>
                </c:pt>
              </c:strCache>
            </c:strRef>
          </c:cat>
          <c:val>
            <c:numRef>
              <c:f>'W&amp;R report - S4.3 (Vic)'!$J$16:$M$16</c:f>
              <c:numCache>
                <c:formatCode>#,##0</c:formatCode>
                <c:ptCount val="4"/>
                <c:pt idx="0">
                  <c:v>0</c:v>
                </c:pt>
                <c:pt idx="1">
                  <c:v>0</c:v>
                </c:pt>
                <c:pt idx="2">
                  <c:v>70</c:v>
                </c:pt>
                <c:pt idx="3">
                  <c:v>70</c:v>
                </c:pt>
              </c:numCache>
            </c:numRef>
          </c:val>
        </c:ser>
        <c:dLbls>
          <c:showVal val="1"/>
        </c:dLbls>
        <c:gapWidth val="100"/>
        <c:overlap val="100"/>
        <c:axId val="181709440"/>
        <c:axId val="181719424"/>
      </c:barChart>
      <c:catAx>
        <c:axId val="181709440"/>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81719424"/>
        <c:crosses val="autoZero"/>
        <c:auto val="1"/>
        <c:lblAlgn val="ctr"/>
        <c:lblOffset val="100"/>
      </c:catAx>
      <c:valAx>
        <c:axId val="181719424"/>
        <c:scaling>
          <c:orientation val="minMax"/>
          <c:max val="25000"/>
        </c:scaling>
        <c:axPos val="l"/>
        <c:title>
          <c:tx>
            <c:rich>
              <a:bodyPr/>
              <a:lstStyle/>
              <a:p>
                <a:pPr>
                  <a:defRPr sz="900" b="0" i="0" u="none" strike="noStrike" baseline="0">
                    <a:solidFill>
                      <a:srgbClr val="333333"/>
                    </a:solidFill>
                    <a:latin typeface="Arial"/>
                    <a:ea typeface="Arial"/>
                    <a:cs typeface="Arial"/>
                  </a:defRPr>
                </a:pPr>
                <a:r>
                  <a:rPr lang="en-AU" sz="900"/>
                  <a:t>'000</a:t>
                </a:r>
                <a:r>
                  <a:rPr lang="en-AU" sz="900" baseline="0"/>
                  <a:t> tonnes</a:t>
                </a:r>
                <a:endParaRPr lang="en-AU" sz="900"/>
              </a:p>
            </c:rich>
          </c:tx>
          <c:layout>
            <c:manualLayout>
              <c:xMode val="edge"/>
              <c:yMode val="edge"/>
              <c:x val="1.3535630539788161E-3"/>
              <c:y val="0.30461954600406888"/>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81709440"/>
        <c:crosses val="autoZero"/>
        <c:crossBetween val="between"/>
        <c:majorUnit val="5000"/>
      </c:valAx>
      <c:spPr>
        <a:ln>
          <a:noFill/>
        </a:ln>
      </c:spPr>
    </c:plotArea>
    <c:legend>
      <c:legendPos val="t"/>
      <c:layout>
        <c:manualLayout>
          <c:xMode val="edge"/>
          <c:yMode val="edge"/>
          <c:x val="0.32149183353515837"/>
          <c:y val="0"/>
          <c:w val="0.43565650807435757"/>
          <c:h val="6.5668251318404938E-2"/>
        </c:manualLayout>
      </c:layout>
      <c:txPr>
        <a:bodyPr/>
        <a:lstStyle/>
        <a:p>
          <a:pPr>
            <a:defRPr sz="800"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title>
      <c:layout>
        <c:manualLayout>
          <c:xMode val="edge"/>
          <c:yMode val="edge"/>
          <c:x val="0.27523564554286212"/>
          <c:y val="0"/>
        </c:manualLayout>
      </c:layout>
      <c:txPr>
        <a:bodyPr/>
        <a:lstStyle/>
        <a:p>
          <a:pPr>
            <a:defRPr sz="1100"/>
          </a:pPr>
          <a:endParaRPr lang="en-US"/>
        </a:p>
      </c:txPr>
    </c:title>
    <c:plotArea>
      <c:layout>
        <c:manualLayout>
          <c:layoutTarget val="inner"/>
          <c:xMode val="edge"/>
          <c:yMode val="edge"/>
          <c:x val="3.259742393433876E-2"/>
          <c:y val="0.18769835685580477"/>
          <c:w val="0.87494074507219954"/>
          <c:h val="0.51372640679289361"/>
        </c:manualLayout>
      </c:layout>
      <c:pieChart>
        <c:varyColors val="1"/>
        <c:ser>
          <c:idx val="0"/>
          <c:order val="0"/>
          <c:tx>
            <c:strRef>
              <c:f>'W&amp;R report - S4.3 (Vic)'!$G$115</c:f>
              <c:strCache>
                <c:ptCount val="1"/>
                <c:pt idx="0">
                  <c:v>Municipal</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S4.3 (Vic)'!$H$113:$J$114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S4.3 (Vic)'!$H$115:$J$115</c:f>
              <c:numCache>
                <c:formatCode>#,##0</c:formatCode>
                <c:ptCount val="3"/>
                <c:pt idx="0">
                  <c:v>1780</c:v>
                </c:pt>
                <c:pt idx="1">
                  <c:v>990</c:v>
                </c:pt>
                <c:pt idx="2">
                  <c:v>30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4113789622451054"/>
          <c:y val="0"/>
        </c:manualLayout>
      </c:layout>
      <c:txPr>
        <a:bodyPr/>
        <a:lstStyle/>
        <a:p>
          <a:pPr>
            <a:defRPr sz="1100"/>
          </a:pPr>
          <a:endParaRPr lang="en-US"/>
        </a:p>
      </c:txPr>
    </c:title>
    <c:plotArea>
      <c:layout>
        <c:manualLayout>
          <c:layoutTarget val="inner"/>
          <c:xMode val="edge"/>
          <c:yMode val="edge"/>
          <c:x val="8.0786380545478098E-2"/>
          <c:y val="0.19262316375529134"/>
          <c:w val="0.84200854956630633"/>
          <c:h val="0.50011382529560267"/>
        </c:manualLayout>
      </c:layout>
      <c:pieChart>
        <c:varyColors val="1"/>
        <c:ser>
          <c:idx val="0"/>
          <c:order val="0"/>
          <c:tx>
            <c:strRef>
              <c:f>'W&amp;R report - S4.3 (Vic)'!$G$116</c:f>
              <c:strCache>
                <c:ptCount val="1"/>
                <c:pt idx="0">
                  <c:v>C&amp;I</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strRef>
              <c:f>'W&amp;R report - S4.3 (Vic)'!$H$113:$J$113</c:f>
              <c:strCache>
                <c:ptCount val="3"/>
                <c:pt idx="0">
                  <c:v>Disposal</c:v>
                </c:pt>
                <c:pt idx="1">
                  <c:v>Recycling</c:v>
                </c:pt>
                <c:pt idx="2">
                  <c:v>Energy recovery</c:v>
                </c:pt>
              </c:strCache>
            </c:strRef>
          </c:cat>
          <c:val>
            <c:numRef>
              <c:f>'W&amp;R report - S4.3 (Vic)'!$H$116:$J$116</c:f>
              <c:numCache>
                <c:formatCode>#,##0</c:formatCode>
                <c:ptCount val="3"/>
                <c:pt idx="0">
                  <c:v>1190</c:v>
                </c:pt>
                <c:pt idx="1">
                  <c:v>1900</c:v>
                </c:pt>
                <c:pt idx="2">
                  <c:v>30</c:v>
                </c:pt>
              </c:numCache>
            </c:numRef>
          </c:val>
        </c:ser>
        <c:dLbls>
          <c:showVal val="1"/>
        </c:dLbls>
        <c:firstSliceAng val="0"/>
      </c:pieChart>
    </c:plotArea>
    <c:legend>
      <c:legendPos val="b"/>
      <c:layout>
        <c:manualLayout>
          <c:xMode val="edge"/>
          <c:yMode val="edge"/>
          <c:x val="4.8090911712958984E-2"/>
          <c:y val="0.76649576204242964"/>
          <c:w val="0.90795304433099711"/>
          <c:h val="0.15897018530272894"/>
        </c:manualLayout>
      </c:layout>
      <c:txPr>
        <a:bodyPr/>
        <a:lstStyle/>
        <a:p>
          <a:pPr>
            <a:defRPr sz="800"/>
          </a:pPr>
          <a:endParaRPr lang="en-US"/>
        </a:p>
      </c:txPr>
    </c:legend>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36983874500612701"/>
          <c:y val="0"/>
        </c:manualLayout>
      </c:layout>
      <c:txPr>
        <a:bodyPr/>
        <a:lstStyle/>
        <a:p>
          <a:pPr>
            <a:defRPr sz="1100"/>
          </a:pPr>
          <a:endParaRPr lang="en-US"/>
        </a:p>
      </c:txPr>
    </c:title>
    <c:plotArea>
      <c:layout>
        <c:manualLayout>
          <c:layoutTarget val="inner"/>
          <c:xMode val="edge"/>
          <c:yMode val="edge"/>
          <c:x val="8.3584233899466745E-2"/>
          <c:y val="0.18917729947606238"/>
          <c:w val="0.82583555819651866"/>
          <c:h val="0.51163376557321449"/>
        </c:manualLayout>
      </c:layout>
      <c:pieChart>
        <c:varyColors val="1"/>
        <c:ser>
          <c:idx val="0"/>
          <c:order val="0"/>
          <c:tx>
            <c:strRef>
              <c:f>'W&amp;R report - S4.3 (Vic)'!$G$117</c:f>
              <c:strCache>
                <c:ptCount val="1"/>
                <c:pt idx="0">
                  <c:v>C&amp;D</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S4.3 (Vic)'!$H$113:$J$114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S4.3 (Vic)'!$H$117:$J$117</c:f>
              <c:numCache>
                <c:formatCode>#,##0</c:formatCode>
                <c:ptCount val="3"/>
                <c:pt idx="0">
                  <c:v>1770</c:v>
                </c:pt>
                <c:pt idx="1">
                  <c:v>2600</c:v>
                </c:pt>
                <c:pt idx="2">
                  <c:v>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3886376557178026"/>
          <c:y val="2.2227849212300796E-2"/>
          <c:w val="0.86113623442821974"/>
          <c:h val="0.90266251445882961"/>
        </c:manualLayout>
      </c:layout>
      <c:barChart>
        <c:barDir val="col"/>
        <c:grouping val="stacked"/>
        <c:ser>
          <c:idx val="0"/>
          <c:order val="0"/>
          <c:tx>
            <c:strRef>
              <c:f>'W&amp;R report - S4.4 (Qld)'!$I$14</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dLblPos val="ctr"/>
            <c:showVal val="1"/>
          </c:dLbls>
          <c:cat>
            <c:strRef>
              <c:f>'W&amp;R report - S4.4 (Qld)'!$J$12:$M$12</c:f>
              <c:strCache>
                <c:ptCount val="4"/>
                <c:pt idx="0">
                  <c:v>2002-03</c:v>
                </c:pt>
                <c:pt idx="1">
                  <c:v>2006-07</c:v>
                </c:pt>
                <c:pt idx="2">
                  <c:v>2008-09 Subtotal</c:v>
                </c:pt>
                <c:pt idx="3">
                  <c:v>2008-09 Total</c:v>
                </c:pt>
              </c:strCache>
            </c:strRef>
          </c:cat>
          <c:val>
            <c:numRef>
              <c:f>'W&amp;R report - S4.4 (Qld)'!$J$14:$M$14</c:f>
              <c:numCache>
                <c:formatCode>#,##0</c:formatCode>
                <c:ptCount val="4"/>
                <c:pt idx="0">
                  <c:v>2720</c:v>
                </c:pt>
                <c:pt idx="1">
                  <c:v>4250</c:v>
                </c:pt>
                <c:pt idx="2">
                  <c:v>5110</c:v>
                </c:pt>
                <c:pt idx="3">
                  <c:v>10020</c:v>
                </c:pt>
              </c:numCache>
            </c:numRef>
          </c:val>
        </c:ser>
        <c:ser>
          <c:idx val="1"/>
          <c:order val="1"/>
          <c:tx>
            <c:strRef>
              <c:f>'W&amp;R report - S4.4 (Qld)'!$I$15</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S4.4 (Qld)'!$J$12:$M$12</c:f>
              <c:strCache>
                <c:ptCount val="4"/>
                <c:pt idx="0">
                  <c:v>2002-03</c:v>
                </c:pt>
                <c:pt idx="1">
                  <c:v>2006-07</c:v>
                </c:pt>
                <c:pt idx="2">
                  <c:v>2008-09 Subtotal</c:v>
                </c:pt>
                <c:pt idx="3">
                  <c:v>2008-09 Total</c:v>
                </c:pt>
              </c:strCache>
            </c:strRef>
          </c:cat>
          <c:val>
            <c:numRef>
              <c:f>'W&amp;R report - S4.4 (Qld)'!$J$15:$M$15</c:f>
              <c:numCache>
                <c:formatCode>#,##0</c:formatCode>
                <c:ptCount val="4"/>
                <c:pt idx="0">
                  <c:v>1250</c:v>
                </c:pt>
                <c:pt idx="1">
                  <c:v>1150</c:v>
                </c:pt>
                <c:pt idx="2">
                  <c:v>4100</c:v>
                </c:pt>
                <c:pt idx="3">
                  <c:v>5030</c:v>
                </c:pt>
              </c:numCache>
            </c:numRef>
          </c:val>
        </c:ser>
        <c:ser>
          <c:idx val="2"/>
          <c:order val="2"/>
          <c:tx>
            <c:strRef>
              <c:f>'W&amp;R report - S4.4 (Qld)'!$I$16</c:f>
              <c:strCache>
                <c:ptCount val="1"/>
                <c:pt idx="0">
                  <c:v>Energy recovery</c:v>
                </c:pt>
              </c:strCache>
            </c:strRef>
          </c:tx>
          <c:spPr>
            <a:solidFill>
              <a:srgbClr val="ED7906"/>
            </a:solidFill>
          </c:spPr>
          <c:dLbls>
            <c:dLbl>
              <c:idx val="0"/>
              <c:layout>
                <c:manualLayout>
                  <c:x val="2.4575054732710478E-3"/>
                  <c:y val="-2.6540507536703093E-2"/>
                </c:manualLayout>
              </c:layout>
              <c:dLblPos val="ctr"/>
              <c:showVal val="1"/>
            </c:dLbl>
            <c:dLbl>
              <c:idx val="1"/>
              <c:layout>
                <c:manualLayout>
                  <c:x val="0"/>
                  <c:y val="-3.5387343382270821E-2"/>
                </c:manualLayout>
              </c:layout>
              <c:dLblPos val="ctr"/>
              <c:showVal val="1"/>
            </c:dLbl>
            <c:dLbl>
              <c:idx val="5"/>
              <c:layout>
                <c:manualLayout>
                  <c:x val="9.0107493090490349E-17"/>
                  <c:y val="-4.0402175764336995E-2"/>
                </c:manualLayout>
              </c:layout>
              <c:dLblPos val="ctr"/>
              <c:showVal val="1"/>
            </c:dLbl>
            <c:dLbl>
              <c:idx val="7"/>
              <c:layout>
                <c:manualLayout>
                  <c:x val="0"/>
                  <c:y val="-4.7333009878154003E-2"/>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S4.4 (Qld)'!$J$12:$M$12</c:f>
              <c:strCache>
                <c:ptCount val="4"/>
                <c:pt idx="0">
                  <c:v>2002-03</c:v>
                </c:pt>
                <c:pt idx="1">
                  <c:v>2006-07</c:v>
                </c:pt>
                <c:pt idx="2">
                  <c:v>2008-09 Subtotal</c:v>
                </c:pt>
                <c:pt idx="3">
                  <c:v>2008-09 Total</c:v>
                </c:pt>
              </c:strCache>
            </c:strRef>
          </c:cat>
          <c:val>
            <c:numRef>
              <c:f>'W&amp;R report - S4.4 (Qld)'!$J$16:$M$16</c:f>
              <c:numCache>
                <c:formatCode>#,##0</c:formatCode>
                <c:ptCount val="4"/>
                <c:pt idx="0">
                  <c:v>0</c:v>
                </c:pt>
                <c:pt idx="1">
                  <c:v>0</c:v>
                </c:pt>
                <c:pt idx="2">
                  <c:v>40</c:v>
                </c:pt>
                <c:pt idx="3">
                  <c:v>40</c:v>
                </c:pt>
              </c:numCache>
            </c:numRef>
          </c:val>
        </c:ser>
        <c:dLbls>
          <c:showVal val="1"/>
        </c:dLbls>
        <c:gapWidth val="100"/>
        <c:overlap val="100"/>
        <c:axId val="182330112"/>
        <c:axId val="182331648"/>
      </c:barChart>
      <c:catAx>
        <c:axId val="182330112"/>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82331648"/>
        <c:crosses val="autoZero"/>
        <c:auto val="1"/>
        <c:lblAlgn val="ctr"/>
        <c:lblOffset val="100"/>
      </c:catAx>
      <c:valAx>
        <c:axId val="182331648"/>
        <c:scaling>
          <c:orientation val="minMax"/>
          <c:max val="25000"/>
        </c:scaling>
        <c:axPos val="l"/>
        <c:title>
          <c:tx>
            <c:rich>
              <a:bodyPr/>
              <a:lstStyle/>
              <a:p>
                <a:pPr>
                  <a:defRPr sz="900" b="0" i="0" u="none" strike="noStrike" baseline="0">
                    <a:solidFill>
                      <a:srgbClr val="333333"/>
                    </a:solidFill>
                    <a:latin typeface="Arial"/>
                    <a:ea typeface="Arial"/>
                    <a:cs typeface="Arial"/>
                  </a:defRPr>
                </a:pPr>
                <a:r>
                  <a:rPr lang="en-AU" sz="900"/>
                  <a:t>'000</a:t>
                </a:r>
                <a:r>
                  <a:rPr lang="en-AU" sz="900" baseline="0"/>
                  <a:t> tonnes</a:t>
                </a:r>
                <a:endParaRPr lang="en-AU" sz="900"/>
              </a:p>
            </c:rich>
          </c:tx>
          <c:layout>
            <c:manualLayout>
              <c:xMode val="edge"/>
              <c:yMode val="edge"/>
              <c:x val="1.3535630539788161E-3"/>
              <c:y val="0.30461954600406888"/>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82330112"/>
        <c:crosses val="autoZero"/>
        <c:crossBetween val="between"/>
        <c:majorUnit val="5000"/>
      </c:valAx>
      <c:spPr>
        <a:ln>
          <a:noFill/>
        </a:ln>
      </c:spPr>
    </c:plotArea>
    <c:legend>
      <c:legendPos val="t"/>
      <c:layout>
        <c:manualLayout>
          <c:xMode val="edge"/>
          <c:yMode val="edge"/>
          <c:x val="0.32149183353515837"/>
          <c:y val="0"/>
          <c:w val="0.43565650807435757"/>
          <c:h val="6.5668251318404938E-2"/>
        </c:manualLayout>
      </c:layout>
      <c:txPr>
        <a:bodyPr/>
        <a:lstStyle/>
        <a:p>
          <a:pPr>
            <a:defRPr sz="800"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hart>
    <c:title>
      <c:layout>
        <c:manualLayout>
          <c:xMode val="edge"/>
          <c:yMode val="edge"/>
          <c:x val="0.27523564554286212"/>
          <c:y val="0"/>
        </c:manualLayout>
      </c:layout>
      <c:txPr>
        <a:bodyPr/>
        <a:lstStyle/>
        <a:p>
          <a:pPr>
            <a:defRPr sz="1100"/>
          </a:pPr>
          <a:endParaRPr lang="en-US"/>
        </a:p>
      </c:txPr>
    </c:title>
    <c:plotArea>
      <c:layout>
        <c:manualLayout>
          <c:layoutTarget val="inner"/>
          <c:xMode val="edge"/>
          <c:yMode val="edge"/>
          <c:x val="3.259742393433876E-2"/>
          <c:y val="0.18769835685580477"/>
          <c:w val="0.87494074507219954"/>
          <c:h val="0.51372640679289361"/>
        </c:manualLayout>
      </c:layout>
      <c:pieChart>
        <c:varyColors val="1"/>
        <c:ser>
          <c:idx val="0"/>
          <c:order val="0"/>
          <c:tx>
            <c:strRef>
              <c:f>'W&amp;R report - S4.4 (Qld)'!$G$115</c:f>
              <c:strCache>
                <c:ptCount val="1"/>
                <c:pt idx="0">
                  <c:v>Municipal</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S4.4 (Qld)'!$H$113:$J$114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S4.4 (Qld)'!$H$115:$J$115</c:f>
              <c:numCache>
                <c:formatCode>#,##0</c:formatCode>
                <c:ptCount val="3"/>
                <c:pt idx="0">
                  <c:v>2220</c:v>
                </c:pt>
                <c:pt idx="1">
                  <c:v>1840</c:v>
                </c:pt>
                <c:pt idx="2">
                  <c:v>20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4113789622451054"/>
          <c:y val="0"/>
        </c:manualLayout>
      </c:layout>
      <c:txPr>
        <a:bodyPr/>
        <a:lstStyle/>
        <a:p>
          <a:pPr>
            <a:defRPr sz="1100"/>
          </a:pPr>
          <a:endParaRPr lang="en-US"/>
        </a:p>
      </c:txPr>
    </c:title>
    <c:plotArea>
      <c:layout>
        <c:manualLayout>
          <c:layoutTarget val="inner"/>
          <c:xMode val="edge"/>
          <c:yMode val="edge"/>
          <c:x val="8.0786380545478098E-2"/>
          <c:y val="0.19262316375529134"/>
          <c:w val="0.84200854956630633"/>
          <c:h val="0.50011382529560267"/>
        </c:manualLayout>
      </c:layout>
      <c:pieChart>
        <c:varyColors val="1"/>
        <c:ser>
          <c:idx val="0"/>
          <c:order val="0"/>
          <c:tx>
            <c:strRef>
              <c:f>'W&amp;R report - S4.4 (Qld)'!$G$116</c:f>
              <c:strCache>
                <c:ptCount val="1"/>
                <c:pt idx="0">
                  <c:v>C&amp;I</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strRef>
              <c:f>'W&amp;R report - S4.4 (Qld)'!$H$113:$J$113</c:f>
              <c:strCache>
                <c:ptCount val="3"/>
                <c:pt idx="0">
                  <c:v>Disposal</c:v>
                </c:pt>
                <c:pt idx="1">
                  <c:v>Recycling</c:v>
                </c:pt>
                <c:pt idx="2">
                  <c:v>Energy recovery</c:v>
                </c:pt>
              </c:strCache>
            </c:strRef>
          </c:cat>
          <c:val>
            <c:numRef>
              <c:f>'W&amp;R report - S4.4 (Qld)'!$H$116:$J$116</c:f>
              <c:numCache>
                <c:formatCode>#,##0</c:formatCode>
                <c:ptCount val="3"/>
                <c:pt idx="0">
                  <c:v>710</c:v>
                </c:pt>
                <c:pt idx="1">
                  <c:v>980</c:v>
                </c:pt>
                <c:pt idx="2">
                  <c:v>10</c:v>
                </c:pt>
              </c:numCache>
            </c:numRef>
          </c:val>
        </c:ser>
        <c:dLbls>
          <c:showVal val="1"/>
        </c:dLbls>
        <c:firstSliceAng val="0"/>
      </c:pieChart>
    </c:plotArea>
    <c:legend>
      <c:legendPos val="b"/>
      <c:layout>
        <c:manualLayout>
          <c:xMode val="edge"/>
          <c:yMode val="edge"/>
          <c:x val="4.8090911712958984E-2"/>
          <c:y val="0.76649576204242964"/>
          <c:w val="0.90795304433099711"/>
          <c:h val="0.15897018530272894"/>
        </c:manualLayout>
      </c:layout>
      <c:txPr>
        <a:bodyPr/>
        <a:lstStyle/>
        <a:p>
          <a:pPr>
            <a:defRPr sz="800"/>
          </a:pPr>
          <a:endParaRPr lang="en-US"/>
        </a:p>
      </c:txPr>
    </c:legend>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hart>
    <c:title>
      <c:layout>
        <c:manualLayout>
          <c:xMode val="edge"/>
          <c:yMode val="edge"/>
          <c:x val="0.36983874500612701"/>
          <c:y val="0"/>
        </c:manualLayout>
      </c:layout>
      <c:txPr>
        <a:bodyPr/>
        <a:lstStyle/>
        <a:p>
          <a:pPr>
            <a:defRPr sz="1100"/>
          </a:pPr>
          <a:endParaRPr lang="en-US"/>
        </a:p>
      </c:txPr>
    </c:title>
    <c:plotArea>
      <c:layout>
        <c:manualLayout>
          <c:layoutTarget val="inner"/>
          <c:xMode val="edge"/>
          <c:yMode val="edge"/>
          <c:x val="8.3584233899466745E-2"/>
          <c:y val="0.18917729947606238"/>
          <c:w val="0.82583555819651866"/>
          <c:h val="0.51163376557321449"/>
        </c:manualLayout>
      </c:layout>
      <c:pieChart>
        <c:varyColors val="1"/>
        <c:ser>
          <c:idx val="0"/>
          <c:order val="0"/>
          <c:tx>
            <c:strRef>
              <c:f>'W&amp;R report - S4.4 (Qld)'!$G$117</c:f>
              <c:strCache>
                <c:ptCount val="1"/>
                <c:pt idx="0">
                  <c:v>C&amp;D</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S4.4 (Qld)'!$H$113:$J$114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S4.4 (Qld)'!$H$117:$J$117</c:f>
              <c:numCache>
                <c:formatCode>#,##0</c:formatCode>
                <c:ptCount val="3"/>
                <c:pt idx="0">
                  <c:v>2180</c:v>
                </c:pt>
                <c:pt idx="1">
                  <c:v>1280</c:v>
                </c:pt>
                <c:pt idx="2">
                  <c:v>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3886376557178026"/>
          <c:y val="2.2227849212300796E-2"/>
          <c:w val="0.86113623442821974"/>
          <c:h val="0.90266251445882961"/>
        </c:manualLayout>
      </c:layout>
      <c:barChart>
        <c:barDir val="col"/>
        <c:grouping val="stacked"/>
        <c:ser>
          <c:idx val="0"/>
          <c:order val="0"/>
          <c:tx>
            <c:strRef>
              <c:f>'W&amp;R report - S4.5 (SA)'!$I$14</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dLblPos val="ctr"/>
            <c:showVal val="1"/>
          </c:dLbls>
          <c:cat>
            <c:strRef>
              <c:f>'W&amp;R report - S4.5 (SA)'!$J$12:$M$12</c:f>
              <c:strCache>
                <c:ptCount val="4"/>
                <c:pt idx="0">
                  <c:v>2002-03</c:v>
                </c:pt>
                <c:pt idx="1">
                  <c:v>2006-07</c:v>
                </c:pt>
                <c:pt idx="2">
                  <c:v>2008-09 Subtotal</c:v>
                </c:pt>
                <c:pt idx="3">
                  <c:v>2008-09 Total</c:v>
                </c:pt>
              </c:strCache>
            </c:strRef>
          </c:cat>
          <c:val>
            <c:numRef>
              <c:f>'W&amp;R report - S4.5 (SA)'!$J$14:$M$14</c:f>
              <c:numCache>
                <c:formatCode>#,##0</c:formatCode>
                <c:ptCount val="4"/>
                <c:pt idx="0">
                  <c:v>1280</c:v>
                </c:pt>
                <c:pt idx="1">
                  <c:v>1140</c:v>
                </c:pt>
                <c:pt idx="2">
                  <c:v>1050</c:v>
                </c:pt>
                <c:pt idx="3">
                  <c:v>1120</c:v>
                </c:pt>
              </c:numCache>
            </c:numRef>
          </c:val>
        </c:ser>
        <c:ser>
          <c:idx val="1"/>
          <c:order val="1"/>
          <c:tx>
            <c:strRef>
              <c:f>'W&amp;R report - S4.5 (SA)'!$I$15</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S4.5 (SA)'!$J$12:$M$12</c:f>
              <c:strCache>
                <c:ptCount val="4"/>
                <c:pt idx="0">
                  <c:v>2002-03</c:v>
                </c:pt>
                <c:pt idx="1">
                  <c:v>2006-07</c:v>
                </c:pt>
                <c:pt idx="2">
                  <c:v>2008-09 Subtotal</c:v>
                </c:pt>
                <c:pt idx="3">
                  <c:v>2008-09 Total</c:v>
                </c:pt>
              </c:strCache>
            </c:strRef>
          </c:cat>
          <c:val>
            <c:numRef>
              <c:f>'W&amp;R report - S4.5 (SA)'!$J$15:$M$15</c:f>
              <c:numCache>
                <c:formatCode>#,##0</c:formatCode>
                <c:ptCount val="4"/>
                <c:pt idx="0">
                  <c:v>2160</c:v>
                </c:pt>
                <c:pt idx="1">
                  <c:v>2430</c:v>
                </c:pt>
                <c:pt idx="2">
                  <c:v>2180</c:v>
                </c:pt>
                <c:pt idx="3">
                  <c:v>2400</c:v>
                </c:pt>
              </c:numCache>
            </c:numRef>
          </c:val>
        </c:ser>
        <c:ser>
          <c:idx val="2"/>
          <c:order val="2"/>
          <c:tx>
            <c:strRef>
              <c:f>'W&amp;R report - S4.5 (SA)'!$I$16</c:f>
              <c:strCache>
                <c:ptCount val="1"/>
                <c:pt idx="0">
                  <c:v>Energy recovery</c:v>
                </c:pt>
              </c:strCache>
            </c:strRef>
          </c:tx>
          <c:spPr>
            <a:solidFill>
              <a:srgbClr val="ED7906"/>
            </a:solidFill>
          </c:spPr>
          <c:dLbls>
            <c:dLbl>
              <c:idx val="5"/>
              <c:layout>
                <c:manualLayout>
                  <c:x val="9.0107493090490349E-17"/>
                  <c:y val="-4.0402175764336995E-2"/>
                </c:manualLayout>
              </c:layout>
              <c:dLblPos val="ctr"/>
              <c:showVal val="1"/>
            </c:dLbl>
            <c:dLbl>
              <c:idx val="7"/>
              <c:layout>
                <c:manualLayout>
                  <c:x val="0"/>
                  <c:y val="-4.7333009878154003E-2"/>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S4.5 (SA)'!$J$12:$M$12</c:f>
              <c:strCache>
                <c:ptCount val="4"/>
                <c:pt idx="0">
                  <c:v>2002-03</c:v>
                </c:pt>
                <c:pt idx="1">
                  <c:v>2006-07</c:v>
                </c:pt>
                <c:pt idx="2">
                  <c:v>2008-09 Subtotal</c:v>
                </c:pt>
                <c:pt idx="3">
                  <c:v>2008-09 Total</c:v>
                </c:pt>
              </c:strCache>
            </c:strRef>
          </c:cat>
          <c:val>
            <c:numRef>
              <c:f>'W&amp;R report - S4.5 (SA)'!$J$16:$M$16</c:f>
              <c:numCache>
                <c:formatCode>#,##0</c:formatCode>
                <c:ptCount val="4"/>
                <c:pt idx="0">
                  <c:v>0</c:v>
                </c:pt>
                <c:pt idx="1">
                  <c:v>0</c:v>
                </c:pt>
                <c:pt idx="2">
                  <c:v>100</c:v>
                </c:pt>
                <c:pt idx="3">
                  <c:v>100</c:v>
                </c:pt>
              </c:numCache>
            </c:numRef>
          </c:val>
        </c:ser>
        <c:dLbls>
          <c:showVal val="1"/>
        </c:dLbls>
        <c:gapWidth val="100"/>
        <c:overlap val="100"/>
        <c:axId val="182536832"/>
        <c:axId val="182559104"/>
      </c:barChart>
      <c:catAx>
        <c:axId val="182536832"/>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82559104"/>
        <c:crosses val="autoZero"/>
        <c:auto val="1"/>
        <c:lblAlgn val="ctr"/>
        <c:lblOffset val="100"/>
      </c:catAx>
      <c:valAx>
        <c:axId val="182559104"/>
        <c:scaling>
          <c:orientation val="minMax"/>
          <c:max val="5000"/>
        </c:scaling>
        <c:axPos val="l"/>
        <c:title>
          <c:tx>
            <c:rich>
              <a:bodyPr/>
              <a:lstStyle/>
              <a:p>
                <a:pPr>
                  <a:defRPr sz="900" b="0" i="0" u="none" strike="noStrike" baseline="0">
                    <a:solidFill>
                      <a:srgbClr val="333333"/>
                    </a:solidFill>
                    <a:latin typeface="Arial"/>
                    <a:ea typeface="Arial"/>
                    <a:cs typeface="Arial"/>
                  </a:defRPr>
                </a:pPr>
                <a:r>
                  <a:rPr lang="en-AU" sz="900"/>
                  <a:t>'000</a:t>
                </a:r>
                <a:r>
                  <a:rPr lang="en-AU" sz="900" baseline="0"/>
                  <a:t> tonnes</a:t>
                </a:r>
                <a:endParaRPr lang="en-AU" sz="900"/>
              </a:p>
            </c:rich>
          </c:tx>
          <c:layout>
            <c:manualLayout>
              <c:xMode val="edge"/>
              <c:yMode val="edge"/>
              <c:x val="1.3535630539788161E-3"/>
              <c:y val="0.30461954600406888"/>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82536832"/>
        <c:crosses val="autoZero"/>
        <c:crossBetween val="between"/>
        <c:majorUnit val="1000"/>
      </c:valAx>
      <c:spPr>
        <a:ln>
          <a:noFill/>
        </a:ln>
      </c:spPr>
    </c:plotArea>
    <c:legend>
      <c:legendPos val="t"/>
      <c:layout>
        <c:manualLayout>
          <c:xMode val="edge"/>
          <c:yMode val="edge"/>
          <c:x val="0.32149183353515837"/>
          <c:y val="0"/>
          <c:w val="0.43565650807435757"/>
          <c:h val="6.5668251318404938E-2"/>
        </c:manualLayout>
      </c:layout>
      <c:txPr>
        <a:bodyPr/>
        <a:lstStyle/>
        <a:p>
          <a:pPr>
            <a:defRPr sz="800"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27523564554286212"/>
          <c:y val="0"/>
        </c:manualLayout>
      </c:layout>
      <c:txPr>
        <a:bodyPr/>
        <a:lstStyle/>
        <a:p>
          <a:pPr>
            <a:defRPr sz="1100"/>
          </a:pPr>
          <a:endParaRPr lang="en-US"/>
        </a:p>
      </c:txPr>
    </c:title>
    <c:plotArea>
      <c:layout>
        <c:manualLayout>
          <c:layoutTarget val="inner"/>
          <c:xMode val="edge"/>
          <c:yMode val="edge"/>
          <c:x val="3.259742393433876E-2"/>
          <c:y val="0.18769835685580477"/>
          <c:w val="0.87494074507219954"/>
          <c:h val="0.51372640679289361"/>
        </c:manualLayout>
      </c:layout>
      <c:pieChart>
        <c:varyColors val="1"/>
        <c:ser>
          <c:idx val="0"/>
          <c:order val="0"/>
          <c:tx>
            <c:strRef>
              <c:f>'W&amp;R report - S4.5 (SA)'!$G$115</c:f>
              <c:strCache>
                <c:ptCount val="1"/>
                <c:pt idx="0">
                  <c:v>Municipal</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S4.5 (SA)'!$H$113:$J$114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S4.5 (SA)'!$H$115:$J$115</c:f>
              <c:numCache>
                <c:formatCode>#,##0</c:formatCode>
                <c:ptCount val="3"/>
                <c:pt idx="0">
                  <c:v>360</c:v>
                </c:pt>
                <c:pt idx="1">
                  <c:v>380</c:v>
                </c:pt>
                <c:pt idx="2">
                  <c:v>10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5755048975417568"/>
          <c:y val="2.1613079879122882E-2"/>
          <c:w val="0.8334497135571961"/>
          <c:h val="0.90535463732271182"/>
        </c:manualLayout>
      </c:layout>
      <c:barChart>
        <c:barDir val="col"/>
        <c:grouping val="stacked"/>
        <c:ser>
          <c:idx val="0"/>
          <c:order val="0"/>
          <c:tx>
            <c:strRef>
              <c:f>'W&amp;R report - S4.1'!$B$36</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showVal val="1"/>
          </c:dLbls>
          <c:cat>
            <c:strRef>
              <c:f>'W&amp;R report - S4.1'!$C$34:$F$34</c:f>
              <c:strCache>
                <c:ptCount val="4"/>
                <c:pt idx="0">
                  <c:v>2002-03</c:v>
                </c:pt>
                <c:pt idx="1">
                  <c:v>2006-07</c:v>
                </c:pt>
                <c:pt idx="2">
                  <c:v>2008-09 Subtotal</c:v>
                </c:pt>
                <c:pt idx="3">
                  <c:v>2008-09 Total</c:v>
                </c:pt>
              </c:strCache>
            </c:strRef>
          </c:cat>
          <c:val>
            <c:numRef>
              <c:f>'W&amp;R report - S4.1'!$G$36:$J$36</c:f>
              <c:numCache>
                <c:formatCode>#,##0</c:formatCode>
                <c:ptCount val="4"/>
                <c:pt idx="0">
                  <c:v>17400</c:v>
                </c:pt>
                <c:pt idx="1">
                  <c:v>21400</c:v>
                </c:pt>
                <c:pt idx="2">
                  <c:v>22600</c:v>
                </c:pt>
                <c:pt idx="3">
                  <c:v>34300</c:v>
                </c:pt>
              </c:numCache>
            </c:numRef>
          </c:val>
        </c:ser>
        <c:ser>
          <c:idx val="1"/>
          <c:order val="1"/>
          <c:tx>
            <c:strRef>
              <c:f>'W&amp;R report - S4.1'!$B$37</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showVal val="1"/>
          </c:dLbls>
          <c:cat>
            <c:strRef>
              <c:f>'W&amp;R report - S4.1'!$C$34:$F$34</c:f>
              <c:strCache>
                <c:ptCount val="4"/>
                <c:pt idx="0">
                  <c:v>2002-03</c:v>
                </c:pt>
                <c:pt idx="1">
                  <c:v>2006-07</c:v>
                </c:pt>
                <c:pt idx="2">
                  <c:v>2008-09 Subtotal</c:v>
                </c:pt>
                <c:pt idx="3">
                  <c:v>2008-09 Total</c:v>
                </c:pt>
              </c:strCache>
            </c:strRef>
          </c:cat>
          <c:val>
            <c:numRef>
              <c:f>'W&amp;R report - S4.1'!$G$37:$J$37</c:f>
              <c:numCache>
                <c:formatCode>#,##0</c:formatCode>
                <c:ptCount val="4"/>
                <c:pt idx="0">
                  <c:v>15000</c:v>
                </c:pt>
                <c:pt idx="1">
                  <c:v>20200</c:v>
                </c:pt>
                <c:pt idx="2">
                  <c:v>23900</c:v>
                </c:pt>
                <c:pt idx="3">
                  <c:v>26300</c:v>
                </c:pt>
              </c:numCache>
            </c:numRef>
          </c:val>
        </c:ser>
        <c:ser>
          <c:idx val="2"/>
          <c:order val="2"/>
          <c:tx>
            <c:strRef>
              <c:f>'W&amp;R report - S4.1'!$B$38</c:f>
              <c:strCache>
                <c:ptCount val="1"/>
                <c:pt idx="0">
                  <c:v>Energy recovery</c:v>
                </c:pt>
              </c:strCache>
            </c:strRef>
          </c:tx>
          <c:spPr>
            <a:solidFill>
              <a:srgbClr val="ED7906"/>
            </a:solidFill>
          </c:spPr>
          <c:dLbls>
            <c:dLbl>
              <c:idx val="0"/>
              <c:delete val="1"/>
            </c:dLbl>
            <c:dLbl>
              <c:idx val="1"/>
              <c:delete val="1"/>
            </c:dLbl>
            <c:dLbl>
              <c:idx val="2"/>
              <c:layout>
                <c:manualLayout>
                  <c:x val="0"/>
                  <c:y val="-5.6022408963585504E-3"/>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showVal val="1"/>
          </c:dLbls>
          <c:cat>
            <c:strRef>
              <c:f>'W&amp;R report - S4.1'!$C$34:$E$34</c:f>
              <c:strCache>
                <c:ptCount val="3"/>
                <c:pt idx="0">
                  <c:v>2002-03</c:v>
                </c:pt>
                <c:pt idx="1">
                  <c:v>2006-07</c:v>
                </c:pt>
                <c:pt idx="2">
                  <c:v>2008-09 Subtotal</c:v>
                </c:pt>
              </c:strCache>
            </c:strRef>
          </c:cat>
          <c:val>
            <c:numRef>
              <c:f>'W&amp;R report - S4.1'!$G$38:$J$38</c:f>
              <c:numCache>
                <c:formatCode>#,##0</c:formatCode>
                <c:ptCount val="4"/>
                <c:pt idx="0">
                  <c:v>0</c:v>
                </c:pt>
                <c:pt idx="1">
                  <c:v>0</c:v>
                </c:pt>
                <c:pt idx="2">
                  <c:v>300</c:v>
                </c:pt>
                <c:pt idx="3">
                  <c:v>300</c:v>
                </c:pt>
              </c:numCache>
            </c:numRef>
          </c:val>
        </c:ser>
        <c:gapWidth val="100"/>
        <c:overlap val="100"/>
        <c:axId val="169879040"/>
        <c:axId val="169880576"/>
      </c:barChart>
      <c:catAx>
        <c:axId val="169879040"/>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69880576"/>
        <c:crosses val="autoZero"/>
        <c:auto val="1"/>
        <c:lblAlgn val="ctr"/>
        <c:lblOffset val="100"/>
      </c:catAx>
      <c:valAx>
        <c:axId val="169880576"/>
        <c:scaling>
          <c:orientation val="minMax"/>
        </c:scaling>
        <c:axPos val="l"/>
        <c:title>
          <c:tx>
            <c:rich>
              <a:bodyPr/>
              <a:lstStyle/>
              <a:p>
                <a:pPr>
                  <a:defRPr sz="800" b="0" i="0" u="none" strike="noStrike" baseline="0">
                    <a:solidFill>
                      <a:srgbClr val="333333"/>
                    </a:solidFill>
                    <a:latin typeface="Arial"/>
                    <a:ea typeface="Arial"/>
                    <a:cs typeface="Arial"/>
                  </a:defRPr>
                </a:pPr>
                <a:r>
                  <a:rPr lang="en-AU"/>
                  <a:t>Tonnes ('000)</a:t>
                </a:r>
              </a:p>
            </c:rich>
          </c:tx>
          <c:layout>
            <c:manualLayout>
              <c:xMode val="edge"/>
              <c:yMode val="edge"/>
              <c:x val="2.4122622782753052E-3"/>
              <c:y val="0.35576339201198615"/>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69879040"/>
        <c:crosses val="autoZero"/>
        <c:crossBetween val="between"/>
      </c:valAx>
      <c:spPr>
        <a:ln>
          <a:noFill/>
        </a:ln>
      </c:spPr>
    </c:plotArea>
    <c:legend>
      <c:legendPos val="t"/>
      <c:txPr>
        <a:bodyPr/>
        <a:lstStyle/>
        <a:p>
          <a:pPr>
            <a:defRPr sz="735"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1000" b="0" i="0" u="none" strike="noStrike" baseline="0">
          <a:solidFill>
            <a:srgbClr val="333333"/>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4113789622451054"/>
          <c:y val="0"/>
        </c:manualLayout>
      </c:layout>
      <c:txPr>
        <a:bodyPr/>
        <a:lstStyle/>
        <a:p>
          <a:pPr>
            <a:defRPr sz="1100"/>
          </a:pPr>
          <a:endParaRPr lang="en-US"/>
        </a:p>
      </c:txPr>
    </c:title>
    <c:plotArea>
      <c:layout>
        <c:manualLayout>
          <c:layoutTarget val="inner"/>
          <c:xMode val="edge"/>
          <c:yMode val="edge"/>
          <c:x val="8.0786380545478098E-2"/>
          <c:y val="0.19262316375529134"/>
          <c:w val="0.84200854956630633"/>
          <c:h val="0.50011382529560267"/>
        </c:manualLayout>
      </c:layout>
      <c:pieChart>
        <c:varyColors val="1"/>
        <c:ser>
          <c:idx val="0"/>
          <c:order val="0"/>
          <c:tx>
            <c:strRef>
              <c:f>'W&amp;R report - S4.5 (SA)'!$G$116</c:f>
              <c:strCache>
                <c:ptCount val="1"/>
                <c:pt idx="0">
                  <c:v>C&amp;I</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strRef>
              <c:f>'W&amp;R report - S4.5 (SA)'!$H$113:$J$113</c:f>
              <c:strCache>
                <c:ptCount val="3"/>
                <c:pt idx="0">
                  <c:v>Disposal</c:v>
                </c:pt>
                <c:pt idx="1">
                  <c:v>Recycling</c:v>
                </c:pt>
                <c:pt idx="2">
                  <c:v>Energy recovery</c:v>
                </c:pt>
              </c:strCache>
            </c:strRef>
          </c:cat>
          <c:val>
            <c:numRef>
              <c:f>'W&amp;R report - S4.5 (SA)'!$H$116:$J$116</c:f>
              <c:numCache>
                <c:formatCode>#,##0</c:formatCode>
                <c:ptCount val="3"/>
                <c:pt idx="0">
                  <c:v>280</c:v>
                </c:pt>
                <c:pt idx="1">
                  <c:v>480</c:v>
                </c:pt>
                <c:pt idx="2">
                  <c:v>10</c:v>
                </c:pt>
              </c:numCache>
            </c:numRef>
          </c:val>
        </c:ser>
        <c:dLbls>
          <c:showVal val="1"/>
        </c:dLbls>
        <c:firstSliceAng val="0"/>
      </c:pieChart>
    </c:plotArea>
    <c:legend>
      <c:legendPos val="b"/>
      <c:layout>
        <c:manualLayout>
          <c:xMode val="edge"/>
          <c:yMode val="edge"/>
          <c:x val="4.8090911712958984E-2"/>
          <c:y val="0.76649576204242964"/>
          <c:w val="0.90795304433099711"/>
          <c:h val="0.15897018530272894"/>
        </c:manualLayout>
      </c:layout>
      <c:txPr>
        <a:bodyPr/>
        <a:lstStyle/>
        <a:p>
          <a:pPr>
            <a:defRPr sz="800"/>
          </a:pPr>
          <a:endParaRPr lang="en-US"/>
        </a:p>
      </c:txPr>
    </c:legend>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36983874500612701"/>
          <c:y val="0"/>
        </c:manualLayout>
      </c:layout>
      <c:txPr>
        <a:bodyPr/>
        <a:lstStyle/>
        <a:p>
          <a:pPr>
            <a:defRPr sz="1100"/>
          </a:pPr>
          <a:endParaRPr lang="en-US"/>
        </a:p>
      </c:txPr>
    </c:title>
    <c:plotArea>
      <c:layout>
        <c:manualLayout>
          <c:layoutTarget val="inner"/>
          <c:xMode val="edge"/>
          <c:yMode val="edge"/>
          <c:x val="8.3584233899466745E-2"/>
          <c:y val="0.18917729947606238"/>
          <c:w val="0.82583555819651866"/>
          <c:h val="0.51163376557321449"/>
        </c:manualLayout>
      </c:layout>
      <c:pieChart>
        <c:varyColors val="1"/>
        <c:ser>
          <c:idx val="0"/>
          <c:order val="0"/>
          <c:tx>
            <c:strRef>
              <c:f>'W&amp;R report - S4.5 (SA)'!$G$117</c:f>
              <c:strCache>
                <c:ptCount val="1"/>
                <c:pt idx="0">
                  <c:v>C&amp;D</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S4.5 (SA)'!$H$113:$J$114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S4.5 (SA)'!$H$117:$J$117</c:f>
              <c:numCache>
                <c:formatCode>#,##0</c:formatCode>
                <c:ptCount val="3"/>
                <c:pt idx="0">
                  <c:v>410</c:v>
                </c:pt>
                <c:pt idx="1">
                  <c:v>1320</c:v>
                </c:pt>
                <c:pt idx="2">
                  <c:v>80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3886376557178026"/>
          <c:y val="2.2227849212300796E-2"/>
          <c:w val="0.86113623442821974"/>
          <c:h val="0.90266251445882961"/>
        </c:manualLayout>
      </c:layout>
      <c:barChart>
        <c:barDir val="col"/>
        <c:grouping val="stacked"/>
        <c:ser>
          <c:idx val="0"/>
          <c:order val="0"/>
          <c:tx>
            <c:strRef>
              <c:f>'W&amp;R report - S4.6 (WA)'!$I$14</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dLblPos val="ctr"/>
            <c:showVal val="1"/>
          </c:dLbls>
          <c:cat>
            <c:strRef>
              <c:f>'W&amp;R report - S4.6 (WA)'!$J$12:$M$12</c:f>
              <c:strCache>
                <c:ptCount val="4"/>
                <c:pt idx="0">
                  <c:v>2002-03</c:v>
                </c:pt>
                <c:pt idx="1">
                  <c:v>2006-07</c:v>
                </c:pt>
                <c:pt idx="2">
                  <c:v>2008-09 Subtotal</c:v>
                </c:pt>
                <c:pt idx="3">
                  <c:v>2008-09 Total</c:v>
                </c:pt>
              </c:strCache>
            </c:strRef>
          </c:cat>
          <c:val>
            <c:numRef>
              <c:f>'W&amp;R report - S4.6 (WA)'!$J$14:$M$14</c:f>
              <c:numCache>
                <c:formatCode>#,##0</c:formatCode>
                <c:ptCount val="4"/>
                <c:pt idx="0">
                  <c:v>2700</c:v>
                </c:pt>
                <c:pt idx="1">
                  <c:v>3540</c:v>
                </c:pt>
                <c:pt idx="2">
                  <c:v>4090</c:v>
                </c:pt>
                <c:pt idx="3">
                  <c:v>4830</c:v>
                </c:pt>
              </c:numCache>
            </c:numRef>
          </c:val>
        </c:ser>
        <c:ser>
          <c:idx val="1"/>
          <c:order val="1"/>
          <c:tx>
            <c:strRef>
              <c:f>'W&amp;R report - S4.6 (WA)'!$I$15</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S4.6 (WA)'!$J$12:$M$12</c:f>
              <c:strCache>
                <c:ptCount val="4"/>
                <c:pt idx="0">
                  <c:v>2002-03</c:v>
                </c:pt>
                <c:pt idx="1">
                  <c:v>2006-07</c:v>
                </c:pt>
                <c:pt idx="2">
                  <c:v>2008-09 Subtotal</c:v>
                </c:pt>
                <c:pt idx="3">
                  <c:v>2008-09 Total</c:v>
                </c:pt>
              </c:strCache>
            </c:strRef>
          </c:cat>
          <c:val>
            <c:numRef>
              <c:f>'W&amp;R report - S4.6 (WA)'!$J$15:$M$15</c:f>
              <c:numCache>
                <c:formatCode>#,##0</c:formatCode>
                <c:ptCount val="4"/>
                <c:pt idx="0">
                  <c:v>830</c:v>
                </c:pt>
                <c:pt idx="1">
                  <c:v>1710</c:v>
                </c:pt>
                <c:pt idx="2">
                  <c:v>1860</c:v>
                </c:pt>
                <c:pt idx="3">
                  <c:v>2000</c:v>
                </c:pt>
              </c:numCache>
            </c:numRef>
          </c:val>
        </c:ser>
        <c:ser>
          <c:idx val="2"/>
          <c:order val="2"/>
          <c:tx>
            <c:strRef>
              <c:f>'W&amp;R report - S4.6 (WA)'!$I$16</c:f>
              <c:strCache>
                <c:ptCount val="1"/>
                <c:pt idx="0">
                  <c:v>Energy recovery</c:v>
                </c:pt>
              </c:strCache>
            </c:strRef>
          </c:tx>
          <c:spPr>
            <a:solidFill>
              <a:srgbClr val="ED7906"/>
            </a:solidFill>
          </c:spPr>
          <c:dLbls>
            <c:dLbl>
              <c:idx val="5"/>
              <c:layout>
                <c:manualLayout>
                  <c:x val="9.0107493090490349E-17"/>
                  <c:y val="-4.0402175764336995E-2"/>
                </c:manualLayout>
              </c:layout>
              <c:dLblPos val="ctr"/>
              <c:showVal val="1"/>
            </c:dLbl>
            <c:dLbl>
              <c:idx val="7"/>
              <c:layout>
                <c:manualLayout>
                  <c:x val="0"/>
                  <c:y val="-4.7333009878154003E-2"/>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S4.6 (WA)'!$J$12:$M$12</c:f>
              <c:strCache>
                <c:ptCount val="4"/>
                <c:pt idx="0">
                  <c:v>2002-03</c:v>
                </c:pt>
                <c:pt idx="1">
                  <c:v>2006-07</c:v>
                </c:pt>
                <c:pt idx="2">
                  <c:v>2008-09 Subtotal</c:v>
                </c:pt>
                <c:pt idx="3">
                  <c:v>2008-09 Total</c:v>
                </c:pt>
              </c:strCache>
            </c:strRef>
          </c:cat>
          <c:val>
            <c:numRef>
              <c:f>'W&amp;R report - S4.6 (WA)'!$J$16:$M$16</c:f>
              <c:numCache>
                <c:formatCode>#,##0</c:formatCode>
                <c:ptCount val="4"/>
                <c:pt idx="0">
                  <c:v>0</c:v>
                </c:pt>
                <c:pt idx="1">
                  <c:v>0</c:v>
                </c:pt>
                <c:pt idx="2">
                  <c:v>30</c:v>
                </c:pt>
                <c:pt idx="3">
                  <c:v>30</c:v>
                </c:pt>
              </c:numCache>
            </c:numRef>
          </c:val>
        </c:ser>
        <c:dLbls>
          <c:showVal val="1"/>
        </c:dLbls>
        <c:gapWidth val="100"/>
        <c:overlap val="100"/>
        <c:axId val="182244480"/>
        <c:axId val="182246016"/>
      </c:barChart>
      <c:catAx>
        <c:axId val="182244480"/>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82246016"/>
        <c:crosses val="autoZero"/>
        <c:auto val="1"/>
        <c:lblAlgn val="ctr"/>
        <c:lblOffset val="100"/>
      </c:catAx>
      <c:valAx>
        <c:axId val="182246016"/>
        <c:scaling>
          <c:orientation val="minMax"/>
          <c:max val="10000"/>
        </c:scaling>
        <c:axPos val="l"/>
        <c:title>
          <c:tx>
            <c:rich>
              <a:bodyPr/>
              <a:lstStyle/>
              <a:p>
                <a:pPr>
                  <a:defRPr sz="900" b="0" i="0" u="none" strike="noStrike" baseline="0">
                    <a:solidFill>
                      <a:srgbClr val="333333"/>
                    </a:solidFill>
                    <a:latin typeface="Arial"/>
                    <a:ea typeface="Arial"/>
                    <a:cs typeface="Arial"/>
                  </a:defRPr>
                </a:pPr>
                <a:r>
                  <a:rPr lang="en-AU" sz="900"/>
                  <a:t>'000</a:t>
                </a:r>
                <a:r>
                  <a:rPr lang="en-AU" sz="900" baseline="0"/>
                  <a:t> tonnes</a:t>
                </a:r>
                <a:endParaRPr lang="en-AU" sz="900"/>
              </a:p>
            </c:rich>
          </c:tx>
          <c:layout>
            <c:manualLayout>
              <c:xMode val="edge"/>
              <c:yMode val="edge"/>
              <c:x val="1.3535630539788161E-3"/>
              <c:y val="0.30461954600406888"/>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82244480"/>
        <c:crosses val="autoZero"/>
        <c:crossBetween val="between"/>
        <c:majorUnit val="2000"/>
      </c:valAx>
      <c:spPr>
        <a:ln>
          <a:noFill/>
        </a:ln>
      </c:spPr>
    </c:plotArea>
    <c:legend>
      <c:legendPos val="t"/>
      <c:layout>
        <c:manualLayout>
          <c:xMode val="edge"/>
          <c:yMode val="edge"/>
          <c:x val="0.32149183353515837"/>
          <c:y val="0"/>
          <c:w val="0.43565650807435757"/>
          <c:h val="6.5668251318404938E-2"/>
        </c:manualLayout>
      </c:layout>
      <c:txPr>
        <a:bodyPr/>
        <a:lstStyle/>
        <a:p>
          <a:pPr>
            <a:defRPr sz="800"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27523564554286212"/>
          <c:y val="0"/>
        </c:manualLayout>
      </c:layout>
      <c:txPr>
        <a:bodyPr/>
        <a:lstStyle/>
        <a:p>
          <a:pPr>
            <a:defRPr sz="1100"/>
          </a:pPr>
          <a:endParaRPr lang="en-US"/>
        </a:p>
      </c:txPr>
    </c:title>
    <c:plotArea>
      <c:layout>
        <c:manualLayout>
          <c:layoutTarget val="inner"/>
          <c:xMode val="edge"/>
          <c:yMode val="edge"/>
          <c:x val="3.259742393433876E-2"/>
          <c:y val="0.18769835685580477"/>
          <c:w val="0.87494074507219954"/>
          <c:h val="0.51372640679289361"/>
        </c:manualLayout>
      </c:layout>
      <c:pieChart>
        <c:varyColors val="1"/>
        <c:ser>
          <c:idx val="0"/>
          <c:order val="0"/>
          <c:tx>
            <c:strRef>
              <c:f>'W&amp;R report - S4.6 (WA)'!$G$115</c:f>
              <c:strCache>
                <c:ptCount val="1"/>
                <c:pt idx="0">
                  <c:v>Municipal</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S4.6 (WA)'!$H$113:$J$114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S4.6 (WA)'!$H$115:$J$115</c:f>
              <c:numCache>
                <c:formatCode>#,##0</c:formatCode>
                <c:ptCount val="3"/>
                <c:pt idx="0">
                  <c:v>1030</c:v>
                </c:pt>
                <c:pt idx="1">
                  <c:v>510</c:v>
                </c:pt>
                <c:pt idx="2">
                  <c:v>20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4113789622451054"/>
          <c:y val="0"/>
        </c:manualLayout>
      </c:layout>
      <c:txPr>
        <a:bodyPr/>
        <a:lstStyle/>
        <a:p>
          <a:pPr>
            <a:defRPr sz="1100"/>
          </a:pPr>
          <a:endParaRPr lang="en-US"/>
        </a:p>
      </c:txPr>
    </c:title>
    <c:plotArea>
      <c:layout>
        <c:manualLayout>
          <c:layoutTarget val="inner"/>
          <c:xMode val="edge"/>
          <c:yMode val="edge"/>
          <c:x val="8.0786380545478098E-2"/>
          <c:y val="0.19262316375529134"/>
          <c:w val="0.84200854956630633"/>
          <c:h val="0.50011382529560267"/>
        </c:manualLayout>
      </c:layout>
      <c:pieChart>
        <c:varyColors val="1"/>
        <c:ser>
          <c:idx val="0"/>
          <c:order val="0"/>
          <c:tx>
            <c:strRef>
              <c:f>'W&amp;R report - S4.6 (WA)'!$G$116</c:f>
              <c:strCache>
                <c:ptCount val="1"/>
                <c:pt idx="0">
                  <c:v>C&amp;I</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strRef>
              <c:f>'W&amp;R report - S4.6 (WA)'!$H$113:$J$113</c:f>
              <c:strCache>
                <c:ptCount val="3"/>
                <c:pt idx="0">
                  <c:v>Disposal</c:v>
                </c:pt>
                <c:pt idx="1">
                  <c:v>Recycling</c:v>
                </c:pt>
                <c:pt idx="2">
                  <c:v>Energy recovery</c:v>
                </c:pt>
              </c:strCache>
            </c:strRef>
          </c:cat>
          <c:val>
            <c:numRef>
              <c:f>'W&amp;R report - S4.6 (WA)'!$H$116:$J$116</c:f>
              <c:numCache>
                <c:formatCode>#,##0</c:formatCode>
                <c:ptCount val="3"/>
                <c:pt idx="0">
                  <c:v>990</c:v>
                </c:pt>
                <c:pt idx="1">
                  <c:v>510</c:v>
                </c:pt>
                <c:pt idx="2">
                  <c:v>10</c:v>
                </c:pt>
              </c:numCache>
            </c:numRef>
          </c:val>
        </c:ser>
        <c:dLbls>
          <c:showVal val="1"/>
        </c:dLbls>
        <c:firstSliceAng val="0"/>
      </c:pieChart>
    </c:plotArea>
    <c:legend>
      <c:legendPos val="b"/>
      <c:layout>
        <c:manualLayout>
          <c:xMode val="edge"/>
          <c:yMode val="edge"/>
          <c:x val="4.8090911712958984E-2"/>
          <c:y val="0.76649576204242964"/>
          <c:w val="0.90795304433099711"/>
          <c:h val="0.15897018530272894"/>
        </c:manualLayout>
      </c:layout>
      <c:txPr>
        <a:bodyPr/>
        <a:lstStyle/>
        <a:p>
          <a:pPr>
            <a:defRPr sz="800"/>
          </a:pPr>
          <a:endParaRPr lang="en-US"/>
        </a:p>
      </c:txPr>
    </c:legend>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36983874500612701"/>
          <c:y val="0"/>
        </c:manualLayout>
      </c:layout>
      <c:txPr>
        <a:bodyPr/>
        <a:lstStyle/>
        <a:p>
          <a:pPr>
            <a:defRPr sz="1100"/>
          </a:pPr>
          <a:endParaRPr lang="en-US"/>
        </a:p>
      </c:txPr>
    </c:title>
    <c:plotArea>
      <c:layout>
        <c:manualLayout>
          <c:layoutTarget val="inner"/>
          <c:xMode val="edge"/>
          <c:yMode val="edge"/>
          <c:x val="8.3584233899466745E-2"/>
          <c:y val="0.18917729947606238"/>
          <c:w val="0.82583555819651866"/>
          <c:h val="0.51163376557321449"/>
        </c:manualLayout>
      </c:layout>
      <c:pieChart>
        <c:varyColors val="1"/>
        <c:ser>
          <c:idx val="0"/>
          <c:order val="0"/>
          <c:tx>
            <c:strRef>
              <c:f>'W&amp;R report - S4.6 (WA)'!$G$117</c:f>
              <c:strCache>
                <c:ptCount val="1"/>
                <c:pt idx="0">
                  <c:v>C&amp;D</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S4.6 (WA)'!$H$113:$J$114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S4.6 (WA)'!$H$117:$J$117</c:f>
              <c:numCache>
                <c:formatCode>#,##0</c:formatCode>
                <c:ptCount val="3"/>
                <c:pt idx="0">
                  <c:v>2070</c:v>
                </c:pt>
                <c:pt idx="1">
                  <c:v>840</c:v>
                </c:pt>
                <c:pt idx="2">
                  <c:v>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3886376557178026"/>
          <c:y val="2.2227849212300796E-2"/>
          <c:w val="0.86113623442821974"/>
          <c:h val="0.90266251445882961"/>
        </c:manualLayout>
      </c:layout>
      <c:barChart>
        <c:barDir val="col"/>
        <c:grouping val="stacked"/>
        <c:ser>
          <c:idx val="0"/>
          <c:order val="0"/>
          <c:tx>
            <c:strRef>
              <c:f>'W&amp;R report - S4.7 (Tas)'!$I$14</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dLblPos val="ctr"/>
            <c:showVal val="1"/>
          </c:dLbls>
          <c:cat>
            <c:strRef>
              <c:f>'W&amp;R report - S4.7 (Tas)'!$K$12:$M$12</c:f>
              <c:strCache>
                <c:ptCount val="3"/>
                <c:pt idx="0">
                  <c:v>2006-07</c:v>
                </c:pt>
                <c:pt idx="1">
                  <c:v>2008-09 Subtotal</c:v>
                </c:pt>
                <c:pt idx="2">
                  <c:v>2008-09 Total</c:v>
                </c:pt>
              </c:strCache>
            </c:strRef>
          </c:cat>
          <c:val>
            <c:numRef>
              <c:f>'W&amp;R report - S4.7 (Tas)'!$K$14:$M$14</c:f>
              <c:numCache>
                <c:formatCode>#,##0</c:formatCode>
                <c:ptCount val="3"/>
                <c:pt idx="0">
                  <c:v>640</c:v>
                </c:pt>
                <c:pt idx="1">
                  <c:v>440</c:v>
                </c:pt>
                <c:pt idx="2">
                  <c:v>440</c:v>
                </c:pt>
              </c:numCache>
            </c:numRef>
          </c:val>
        </c:ser>
        <c:ser>
          <c:idx val="1"/>
          <c:order val="1"/>
          <c:tx>
            <c:strRef>
              <c:f>'W&amp;R report - S4.7 (Tas)'!$I$15</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S4.7 (Tas)'!$K$12:$M$12</c:f>
              <c:strCache>
                <c:ptCount val="3"/>
                <c:pt idx="0">
                  <c:v>2006-07</c:v>
                </c:pt>
                <c:pt idx="1">
                  <c:v>2008-09 Subtotal</c:v>
                </c:pt>
                <c:pt idx="2">
                  <c:v>2008-09 Total</c:v>
                </c:pt>
              </c:strCache>
            </c:strRef>
          </c:cat>
          <c:val>
            <c:numRef>
              <c:f>'W&amp;R report - S4.7 (Tas)'!$K$15:$M$15</c:f>
              <c:numCache>
                <c:formatCode>#,##0</c:formatCode>
                <c:ptCount val="3"/>
                <c:pt idx="0">
                  <c:v>20</c:v>
                </c:pt>
                <c:pt idx="1">
                  <c:v>80</c:v>
                </c:pt>
                <c:pt idx="2">
                  <c:v>80</c:v>
                </c:pt>
              </c:numCache>
            </c:numRef>
          </c:val>
        </c:ser>
        <c:ser>
          <c:idx val="2"/>
          <c:order val="2"/>
          <c:tx>
            <c:strRef>
              <c:f>'W&amp;R report - S4.7 (Tas)'!$I$16</c:f>
              <c:strCache>
                <c:ptCount val="1"/>
                <c:pt idx="0">
                  <c:v>Energy recovery</c:v>
                </c:pt>
              </c:strCache>
            </c:strRef>
          </c:tx>
          <c:spPr>
            <a:solidFill>
              <a:srgbClr val="ED7906"/>
            </a:solidFill>
          </c:spPr>
          <c:dLbls>
            <c:dLbl>
              <c:idx val="0"/>
              <c:layout>
                <c:manualLayout>
                  <c:x val="0"/>
                  <c:y val="-3.5387343382270814E-2"/>
                </c:manualLayout>
              </c:layout>
              <c:dLblPos val="ctr"/>
              <c:showVal val="1"/>
            </c:dLbl>
            <c:dLbl>
              <c:idx val="1"/>
              <c:layout>
                <c:manualLayout>
                  <c:x val="0"/>
                  <c:y val="-1.7693671691135403E-2"/>
                </c:manualLayout>
              </c:layout>
              <c:dLblPos val="ctr"/>
              <c:showVal val="1"/>
            </c:dLbl>
            <c:dLbl>
              <c:idx val="2"/>
              <c:layout>
                <c:manualLayout>
                  <c:x val="0"/>
                  <c:y val="-2.2117089613919248E-2"/>
                </c:manualLayout>
              </c:layout>
              <c:dLblPos val="ctr"/>
              <c:showVal val="1"/>
            </c:dLbl>
            <c:dLbl>
              <c:idx val="5"/>
              <c:layout>
                <c:manualLayout>
                  <c:x val="9.0107493090490349E-17"/>
                  <c:y val="-4.0402175764336995E-2"/>
                </c:manualLayout>
              </c:layout>
              <c:dLblPos val="ctr"/>
              <c:showVal val="1"/>
            </c:dLbl>
            <c:dLbl>
              <c:idx val="7"/>
              <c:layout>
                <c:manualLayout>
                  <c:x val="0"/>
                  <c:y val="-4.7333009878154003E-2"/>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S4.7 (Tas)'!$K$12:$M$12</c:f>
              <c:strCache>
                <c:ptCount val="3"/>
                <c:pt idx="0">
                  <c:v>2006-07</c:v>
                </c:pt>
                <c:pt idx="1">
                  <c:v>2008-09 Subtotal</c:v>
                </c:pt>
                <c:pt idx="2">
                  <c:v>2008-09 Total</c:v>
                </c:pt>
              </c:strCache>
            </c:strRef>
          </c:cat>
          <c:val>
            <c:numRef>
              <c:f>'W&amp;R report - S4.7 (Tas)'!$K$16:$M$16</c:f>
              <c:numCache>
                <c:formatCode>#,##0</c:formatCode>
                <c:ptCount val="3"/>
                <c:pt idx="0">
                  <c:v>0</c:v>
                </c:pt>
                <c:pt idx="1">
                  <c:v>10</c:v>
                </c:pt>
                <c:pt idx="2">
                  <c:v>10</c:v>
                </c:pt>
              </c:numCache>
            </c:numRef>
          </c:val>
        </c:ser>
        <c:dLbls>
          <c:showVal val="1"/>
        </c:dLbls>
        <c:gapWidth val="100"/>
        <c:overlap val="100"/>
        <c:axId val="182910336"/>
        <c:axId val="182797440"/>
      </c:barChart>
      <c:catAx>
        <c:axId val="182910336"/>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82797440"/>
        <c:crosses val="autoZero"/>
        <c:auto val="1"/>
        <c:lblAlgn val="ctr"/>
        <c:lblOffset val="100"/>
      </c:catAx>
      <c:valAx>
        <c:axId val="182797440"/>
        <c:scaling>
          <c:orientation val="minMax"/>
          <c:max val="1000"/>
        </c:scaling>
        <c:axPos val="l"/>
        <c:title>
          <c:tx>
            <c:rich>
              <a:bodyPr/>
              <a:lstStyle/>
              <a:p>
                <a:pPr>
                  <a:defRPr sz="900" b="0" i="0" u="none" strike="noStrike" baseline="0">
                    <a:solidFill>
                      <a:srgbClr val="333333"/>
                    </a:solidFill>
                    <a:latin typeface="Arial"/>
                    <a:ea typeface="Arial"/>
                    <a:cs typeface="Arial"/>
                  </a:defRPr>
                </a:pPr>
                <a:r>
                  <a:rPr lang="en-AU" sz="900"/>
                  <a:t>'000</a:t>
                </a:r>
                <a:r>
                  <a:rPr lang="en-AU" sz="900" baseline="0"/>
                  <a:t> tonnes</a:t>
                </a:r>
                <a:endParaRPr lang="en-AU" sz="900"/>
              </a:p>
            </c:rich>
          </c:tx>
          <c:layout>
            <c:manualLayout>
              <c:xMode val="edge"/>
              <c:yMode val="edge"/>
              <c:x val="1.3535630539788161E-3"/>
              <c:y val="0.30461954600406888"/>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82910336"/>
        <c:crosses val="autoZero"/>
        <c:crossBetween val="between"/>
        <c:majorUnit val="200"/>
      </c:valAx>
      <c:spPr>
        <a:ln>
          <a:noFill/>
        </a:ln>
      </c:spPr>
    </c:plotArea>
    <c:legend>
      <c:legendPos val="t"/>
      <c:layout>
        <c:manualLayout>
          <c:xMode val="edge"/>
          <c:yMode val="edge"/>
          <c:x val="0.32149183353515837"/>
          <c:y val="0"/>
          <c:w val="0.43565650807435757"/>
          <c:h val="6.5668251318404938E-2"/>
        </c:manualLayout>
      </c:layout>
      <c:txPr>
        <a:bodyPr/>
        <a:lstStyle/>
        <a:p>
          <a:pPr>
            <a:defRPr sz="800"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27523564554286212"/>
          <c:y val="0"/>
        </c:manualLayout>
      </c:layout>
      <c:txPr>
        <a:bodyPr/>
        <a:lstStyle/>
        <a:p>
          <a:pPr>
            <a:defRPr sz="1100"/>
          </a:pPr>
          <a:endParaRPr lang="en-US"/>
        </a:p>
      </c:txPr>
    </c:title>
    <c:plotArea>
      <c:layout>
        <c:manualLayout>
          <c:layoutTarget val="inner"/>
          <c:xMode val="edge"/>
          <c:yMode val="edge"/>
          <c:x val="3.259742393433876E-2"/>
          <c:y val="0.18769835685580477"/>
          <c:w val="0.87494074507219954"/>
          <c:h val="0.51372640679289361"/>
        </c:manualLayout>
      </c:layout>
      <c:pieChart>
        <c:varyColors val="1"/>
        <c:ser>
          <c:idx val="0"/>
          <c:order val="0"/>
          <c:tx>
            <c:strRef>
              <c:f>'W&amp;R report - S4.7 (Tas)'!$G$115</c:f>
              <c:strCache>
                <c:ptCount val="1"/>
                <c:pt idx="0">
                  <c:v>Municipal</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S4.7 (Tas)'!$H$113:$J$114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S4.7 (Tas)'!$H$115:$J$115</c:f>
              <c:numCache>
                <c:formatCode>#,##0</c:formatCode>
                <c:ptCount val="3"/>
                <c:pt idx="0">
                  <c:v>200</c:v>
                </c:pt>
                <c:pt idx="1">
                  <c:v>40</c:v>
                </c:pt>
                <c:pt idx="2">
                  <c:v>10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sz="1100"/>
            </a:pPr>
            <a:r>
              <a:rPr lang="en-US"/>
              <a:t>C&amp;I and C&amp;D</a:t>
            </a:r>
          </a:p>
        </c:rich>
      </c:tx>
      <c:layout>
        <c:manualLayout>
          <c:xMode val="edge"/>
          <c:yMode val="edge"/>
          <c:x val="0.2355547864209285"/>
          <c:y val="0"/>
        </c:manualLayout>
      </c:layout>
    </c:title>
    <c:plotArea>
      <c:layout>
        <c:manualLayout>
          <c:layoutTarget val="inner"/>
          <c:xMode val="edge"/>
          <c:yMode val="edge"/>
          <c:x val="8.0786380545478098E-2"/>
          <c:y val="0.19262316375529134"/>
          <c:w val="0.84200854956630633"/>
          <c:h val="0.50011382529560267"/>
        </c:manualLayout>
      </c:layout>
      <c:pieChart>
        <c:varyColors val="1"/>
        <c:ser>
          <c:idx val="0"/>
          <c:order val="0"/>
          <c:tx>
            <c:strRef>
              <c:f>'W&amp;R report - S4.7 (Tas)'!$G$116</c:f>
              <c:strCache>
                <c:ptCount val="1"/>
                <c:pt idx="0">
                  <c:v>C&amp;I and C&amp;D</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strRef>
              <c:f>'W&amp;R report - S4.7 (Tas)'!$H$113:$J$113</c:f>
              <c:strCache>
                <c:ptCount val="3"/>
                <c:pt idx="0">
                  <c:v>Disposal</c:v>
                </c:pt>
                <c:pt idx="1">
                  <c:v>Recycling</c:v>
                </c:pt>
                <c:pt idx="2">
                  <c:v>Energy recovery</c:v>
                </c:pt>
              </c:strCache>
            </c:strRef>
          </c:cat>
          <c:val>
            <c:numRef>
              <c:f>'W&amp;R report - S4.7 (Tas)'!$H$116:$J$116</c:f>
              <c:numCache>
                <c:formatCode>#,##0</c:formatCode>
                <c:ptCount val="3"/>
                <c:pt idx="0">
                  <c:v>250</c:v>
                </c:pt>
                <c:pt idx="1">
                  <c:v>40</c:v>
                </c:pt>
                <c:pt idx="2">
                  <c:v>3</c:v>
                </c:pt>
              </c:numCache>
            </c:numRef>
          </c:val>
        </c:ser>
        <c:dLbls>
          <c:showVal val="1"/>
        </c:dLbls>
        <c:firstSliceAng val="0"/>
      </c:pieChart>
    </c:plotArea>
    <c:legend>
      <c:legendPos val="b"/>
      <c:layout>
        <c:manualLayout>
          <c:xMode val="edge"/>
          <c:yMode val="edge"/>
          <c:x val="4.8090911712958984E-2"/>
          <c:y val="0.76649576204242964"/>
          <c:w val="0.90795304433099711"/>
          <c:h val="0.15897018530272894"/>
        </c:manualLayout>
      </c:layout>
      <c:txPr>
        <a:bodyPr/>
        <a:lstStyle/>
        <a:p>
          <a:pPr>
            <a:defRPr sz="800"/>
          </a:pPr>
          <a:endParaRPr lang="en-US"/>
        </a:p>
      </c:txPr>
    </c:legend>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3886376557178026"/>
          <c:y val="2.2227849212300796E-2"/>
          <c:w val="0.86113623442821974"/>
          <c:h val="0.90266251445882961"/>
        </c:manualLayout>
      </c:layout>
      <c:barChart>
        <c:barDir val="col"/>
        <c:grouping val="stacked"/>
        <c:ser>
          <c:idx val="0"/>
          <c:order val="0"/>
          <c:tx>
            <c:strRef>
              <c:f>'W&amp;R report - S4.8 (ACT)'!$I$14</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dLblPos val="ctr"/>
            <c:showVal val="1"/>
          </c:dLbls>
          <c:cat>
            <c:strRef>
              <c:f>'W&amp;R report - S4.8 (ACT)'!$J$12:$M$12</c:f>
              <c:strCache>
                <c:ptCount val="4"/>
                <c:pt idx="0">
                  <c:v>2002-03</c:v>
                </c:pt>
                <c:pt idx="1">
                  <c:v>2006-07</c:v>
                </c:pt>
                <c:pt idx="2">
                  <c:v>2008-09 Subtotal</c:v>
                </c:pt>
                <c:pt idx="3">
                  <c:v>2008-09 Total</c:v>
                </c:pt>
              </c:strCache>
            </c:strRef>
          </c:cat>
          <c:val>
            <c:numRef>
              <c:f>'W&amp;R report - S4.8 (ACT)'!$J$14:$M$14</c:f>
              <c:numCache>
                <c:formatCode>#,##0</c:formatCode>
                <c:ptCount val="4"/>
                <c:pt idx="0">
                  <c:v>210</c:v>
                </c:pt>
                <c:pt idx="1">
                  <c:v>200</c:v>
                </c:pt>
                <c:pt idx="2">
                  <c:v>200</c:v>
                </c:pt>
                <c:pt idx="3">
                  <c:v>200</c:v>
                </c:pt>
              </c:numCache>
            </c:numRef>
          </c:val>
        </c:ser>
        <c:ser>
          <c:idx val="1"/>
          <c:order val="1"/>
          <c:tx>
            <c:strRef>
              <c:f>'W&amp;R report - S4.8 (ACT)'!$I$15</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S4.8 (ACT)'!$J$12:$M$12</c:f>
              <c:strCache>
                <c:ptCount val="4"/>
                <c:pt idx="0">
                  <c:v>2002-03</c:v>
                </c:pt>
                <c:pt idx="1">
                  <c:v>2006-07</c:v>
                </c:pt>
                <c:pt idx="2">
                  <c:v>2008-09 Subtotal</c:v>
                </c:pt>
                <c:pt idx="3">
                  <c:v>2008-09 Total</c:v>
                </c:pt>
              </c:strCache>
            </c:strRef>
          </c:cat>
          <c:val>
            <c:numRef>
              <c:f>'W&amp;R report - S4.8 (ACT)'!$J$15:$M$15</c:f>
              <c:numCache>
                <c:formatCode>#,##0</c:formatCode>
                <c:ptCount val="4"/>
                <c:pt idx="0">
                  <c:v>470</c:v>
                </c:pt>
                <c:pt idx="1">
                  <c:v>570</c:v>
                </c:pt>
                <c:pt idx="2">
                  <c:v>580</c:v>
                </c:pt>
                <c:pt idx="3">
                  <c:v>580</c:v>
                </c:pt>
              </c:numCache>
            </c:numRef>
          </c:val>
        </c:ser>
        <c:ser>
          <c:idx val="2"/>
          <c:order val="2"/>
          <c:tx>
            <c:strRef>
              <c:f>'W&amp;R report - S4.8 (ACT)'!$I$16</c:f>
              <c:strCache>
                <c:ptCount val="1"/>
                <c:pt idx="0">
                  <c:v>Energy recovery</c:v>
                </c:pt>
              </c:strCache>
            </c:strRef>
          </c:tx>
          <c:spPr>
            <a:solidFill>
              <a:srgbClr val="ED7906"/>
            </a:solidFill>
          </c:spPr>
          <c:dLbls>
            <c:dLbl>
              <c:idx val="5"/>
              <c:layout>
                <c:manualLayout>
                  <c:x val="9.0107493090490349E-17"/>
                  <c:y val="-4.0402175764336995E-2"/>
                </c:manualLayout>
              </c:layout>
              <c:dLblPos val="ctr"/>
              <c:showVal val="1"/>
            </c:dLbl>
            <c:dLbl>
              <c:idx val="7"/>
              <c:layout>
                <c:manualLayout>
                  <c:x val="0"/>
                  <c:y val="-4.7333009878154003E-2"/>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S4.8 (ACT)'!$J$12:$M$12</c:f>
              <c:strCache>
                <c:ptCount val="4"/>
                <c:pt idx="0">
                  <c:v>2002-03</c:v>
                </c:pt>
                <c:pt idx="1">
                  <c:v>2006-07</c:v>
                </c:pt>
                <c:pt idx="2">
                  <c:v>2008-09 Subtotal</c:v>
                </c:pt>
                <c:pt idx="3">
                  <c:v>2008-09 Total</c:v>
                </c:pt>
              </c:strCache>
            </c:strRef>
          </c:cat>
          <c:val>
            <c:numRef>
              <c:f>'W&amp;R report - S4.8 (ACT)'!$J$16:$M$16</c:f>
              <c:numCache>
                <c:formatCode>#,##0</c:formatCode>
                <c:ptCount val="4"/>
                <c:pt idx="0">
                  <c:v>0</c:v>
                </c:pt>
                <c:pt idx="1">
                  <c:v>0</c:v>
                </c:pt>
                <c:pt idx="2">
                  <c:v>10</c:v>
                </c:pt>
                <c:pt idx="3">
                  <c:v>10</c:v>
                </c:pt>
              </c:numCache>
            </c:numRef>
          </c:val>
        </c:ser>
        <c:dLbls>
          <c:showVal val="1"/>
        </c:dLbls>
        <c:gapWidth val="100"/>
        <c:overlap val="100"/>
        <c:axId val="182171904"/>
        <c:axId val="182648832"/>
      </c:barChart>
      <c:catAx>
        <c:axId val="182171904"/>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82648832"/>
        <c:crosses val="autoZero"/>
        <c:auto val="1"/>
        <c:lblAlgn val="ctr"/>
        <c:lblOffset val="100"/>
      </c:catAx>
      <c:valAx>
        <c:axId val="182648832"/>
        <c:scaling>
          <c:orientation val="minMax"/>
          <c:max val="1000"/>
        </c:scaling>
        <c:axPos val="l"/>
        <c:title>
          <c:tx>
            <c:rich>
              <a:bodyPr/>
              <a:lstStyle/>
              <a:p>
                <a:pPr>
                  <a:defRPr sz="900" b="0" i="0" u="none" strike="noStrike" baseline="0">
                    <a:solidFill>
                      <a:srgbClr val="333333"/>
                    </a:solidFill>
                    <a:latin typeface="Arial"/>
                    <a:ea typeface="Arial"/>
                    <a:cs typeface="Arial"/>
                  </a:defRPr>
                </a:pPr>
                <a:r>
                  <a:rPr lang="en-AU" sz="900"/>
                  <a:t>'000</a:t>
                </a:r>
                <a:r>
                  <a:rPr lang="en-AU" sz="900" baseline="0"/>
                  <a:t> tonnes</a:t>
                </a:r>
                <a:endParaRPr lang="en-AU" sz="900"/>
              </a:p>
            </c:rich>
          </c:tx>
          <c:layout>
            <c:manualLayout>
              <c:xMode val="edge"/>
              <c:yMode val="edge"/>
              <c:x val="1.3535630539788161E-3"/>
              <c:y val="0.30461954600406888"/>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82171904"/>
        <c:crosses val="autoZero"/>
        <c:crossBetween val="between"/>
        <c:majorUnit val="200"/>
      </c:valAx>
      <c:spPr>
        <a:ln>
          <a:noFill/>
        </a:ln>
      </c:spPr>
    </c:plotArea>
    <c:legend>
      <c:legendPos val="t"/>
      <c:layout>
        <c:manualLayout>
          <c:xMode val="edge"/>
          <c:yMode val="edge"/>
          <c:x val="0.32149183353515837"/>
          <c:y val="0"/>
          <c:w val="0.43565650807435757"/>
          <c:h val="6.5668251318404938E-2"/>
        </c:manualLayout>
      </c:layout>
      <c:txPr>
        <a:bodyPr/>
        <a:lstStyle/>
        <a:p>
          <a:pPr>
            <a:defRPr sz="800"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2621214555292537"/>
          <c:y val="2.1232558363917232E-2"/>
          <c:w val="0.69833921992734249"/>
          <c:h val="0.90702097071964349"/>
        </c:manualLayout>
      </c:layout>
      <c:lineChart>
        <c:grouping val="standard"/>
        <c:ser>
          <c:idx val="0"/>
          <c:order val="0"/>
          <c:tx>
            <c:strRef>
              <c:f>'W&amp;R report - S4.1'!$B$58</c:f>
              <c:strCache>
                <c:ptCount val="1"/>
                <c:pt idx="0">
                  <c:v>NSW</c:v>
                </c:pt>
              </c:strCache>
            </c:strRef>
          </c:tx>
          <c:spPr>
            <a:ln>
              <a:solidFill>
                <a:srgbClr val="00519E"/>
              </a:solidFill>
            </a:ln>
          </c:spPr>
          <c:marker>
            <c:symbol val="none"/>
          </c:marker>
          <c:cat>
            <c:strRef>
              <c:f>'W&amp;R report - S4.1'!$F$55:$L$55</c:f>
              <c:strCache>
                <c:ptCount val="7"/>
                <c:pt idx="0">
                  <c:v>02-03</c:v>
                </c:pt>
                <c:pt idx="1">
                  <c:v>03-04</c:v>
                </c:pt>
                <c:pt idx="2">
                  <c:v>04-05</c:v>
                </c:pt>
                <c:pt idx="3">
                  <c:v>05-06</c:v>
                </c:pt>
                <c:pt idx="4">
                  <c:v>06-07</c:v>
                </c:pt>
                <c:pt idx="5">
                  <c:v>07-08</c:v>
                </c:pt>
                <c:pt idx="6">
                  <c:v>08-09</c:v>
                </c:pt>
              </c:strCache>
            </c:strRef>
          </c:cat>
          <c:val>
            <c:numRef>
              <c:f>'W&amp;R report - S4.1'!$F$58:$L$58</c:f>
              <c:numCache>
                <c:formatCode>#,##0</c:formatCode>
                <c:ptCount val="7"/>
                <c:pt idx="0">
                  <c:v>1823.8081029263506</c:v>
                </c:pt>
                <c:pt idx="1">
                  <c:v>1923.9614000200668</c:v>
                </c:pt>
                <c:pt idx="2">
                  <c:v>2024.114697113783</c:v>
                </c:pt>
                <c:pt idx="3">
                  <c:v>2124.2679942074992</c:v>
                </c:pt>
                <c:pt idx="4">
                  <c:v>2224.4212913012161</c:v>
                </c:pt>
                <c:pt idx="5">
                  <c:v>2259.4145773234627</c:v>
                </c:pt>
                <c:pt idx="6">
                  <c:v>2294.4078633456988</c:v>
                </c:pt>
              </c:numCache>
            </c:numRef>
          </c:val>
        </c:ser>
        <c:ser>
          <c:idx val="1"/>
          <c:order val="1"/>
          <c:tx>
            <c:strRef>
              <c:f>'W&amp;R report - S4.1'!$B$59</c:f>
              <c:strCache>
                <c:ptCount val="1"/>
                <c:pt idx="0">
                  <c:v>Vic</c:v>
                </c:pt>
              </c:strCache>
            </c:strRef>
          </c:tx>
          <c:spPr>
            <a:ln>
              <a:solidFill>
                <a:srgbClr val="009EE0"/>
              </a:solidFill>
            </a:ln>
          </c:spPr>
          <c:marker>
            <c:symbol val="none"/>
          </c:marker>
          <c:cat>
            <c:strRef>
              <c:f>'W&amp;R report - S4.1'!$F$55:$L$55</c:f>
              <c:strCache>
                <c:ptCount val="7"/>
                <c:pt idx="0">
                  <c:v>02-03</c:v>
                </c:pt>
                <c:pt idx="1">
                  <c:v>03-04</c:v>
                </c:pt>
                <c:pt idx="2">
                  <c:v>04-05</c:v>
                </c:pt>
                <c:pt idx="3">
                  <c:v>05-06</c:v>
                </c:pt>
                <c:pt idx="4">
                  <c:v>06-07</c:v>
                </c:pt>
                <c:pt idx="5">
                  <c:v>07-08</c:v>
                </c:pt>
                <c:pt idx="6">
                  <c:v>08-09</c:v>
                </c:pt>
              </c:strCache>
            </c:strRef>
          </c:cat>
          <c:val>
            <c:numRef>
              <c:f>'W&amp;R report - S4.1'!$F$59:$L$59</c:f>
              <c:numCache>
                <c:formatCode>#,##0</c:formatCode>
                <c:ptCount val="7"/>
                <c:pt idx="0">
                  <c:v>1748.6187292131478</c:v>
                </c:pt>
                <c:pt idx="1">
                  <c:v>1803.8413430290318</c:v>
                </c:pt>
                <c:pt idx="2">
                  <c:v>1859.0639568449199</c:v>
                </c:pt>
                <c:pt idx="3">
                  <c:v>1914.2865706608065</c:v>
                </c:pt>
                <c:pt idx="4">
                  <c:v>1969.509184476693</c:v>
                </c:pt>
                <c:pt idx="5">
                  <c:v>1932.9312685201667</c:v>
                </c:pt>
                <c:pt idx="6">
                  <c:v>1896.3533525636406</c:v>
                </c:pt>
              </c:numCache>
            </c:numRef>
          </c:val>
        </c:ser>
        <c:ser>
          <c:idx val="2"/>
          <c:order val="2"/>
          <c:tx>
            <c:strRef>
              <c:f>'W&amp;R report - S4.1'!$B$60</c:f>
              <c:strCache>
                <c:ptCount val="1"/>
                <c:pt idx="0">
                  <c:v>Qld</c:v>
                </c:pt>
              </c:strCache>
            </c:strRef>
          </c:tx>
          <c:spPr>
            <a:ln>
              <a:solidFill>
                <a:srgbClr val="26A232"/>
              </a:solidFill>
            </a:ln>
          </c:spPr>
          <c:marker>
            <c:symbol val="none"/>
          </c:marker>
          <c:cat>
            <c:strRef>
              <c:f>'W&amp;R report - S4.1'!$F$55:$L$55</c:f>
              <c:strCache>
                <c:ptCount val="7"/>
                <c:pt idx="0">
                  <c:v>02-03</c:v>
                </c:pt>
                <c:pt idx="1">
                  <c:v>03-04</c:v>
                </c:pt>
                <c:pt idx="2">
                  <c:v>04-05</c:v>
                </c:pt>
                <c:pt idx="3">
                  <c:v>05-06</c:v>
                </c:pt>
                <c:pt idx="4">
                  <c:v>06-07</c:v>
                </c:pt>
                <c:pt idx="5">
                  <c:v>07-08</c:v>
                </c:pt>
                <c:pt idx="6">
                  <c:v>08-09</c:v>
                </c:pt>
              </c:strCache>
            </c:strRef>
          </c:cat>
          <c:val>
            <c:numRef>
              <c:f>'W&amp;R report - S4.1'!$F$60:$L$60</c:f>
              <c:numCache>
                <c:formatCode>#,##0</c:formatCode>
                <c:ptCount val="7"/>
                <c:pt idx="0">
                  <c:v>1042.8510973654932</c:v>
                </c:pt>
                <c:pt idx="1">
                  <c:v>1104.278466464516</c:v>
                </c:pt>
                <c:pt idx="2">
                  <c:v>1165.7058355635411</c:v>
                </c:pt>
                <c:pt idx="3">
                  <c:v>1227.1332046625598</c:v>
                </c:pt>
                <c:pt idx="4">
                  <c:v>1288.5605737615883</c:v>
                </c:pt>
                <c:pt idx="5">
                  <c:v>1693.2481659461112</c:v>
                </c:pt>
                <c:pt idx="6">
                  <c:v>2097.9357581306326</c:v>
                </c:pt>
              </c:numCache>
            </c:numRef>
          </c:val>
        </c:ser>
        <c:ser>
          <c:idx val="3"/>
          <c:order val="3"/>
          <c:tx>
            <c:strRef>
              <c:f>'W&amp;R report - S4.1'!$B$61</c:f>
              <c:strCache>
                <c:ptCount val="1"/>
                <c:pt idx="0">
                  <c:v>SA</c:v>
                </c:pt>
              </c:strCache>
            </c:strRef>
          </c:tx>
          <c:spPr>
            <a:ln>
              <a:solidFill>
                <a:srgbClr val="F9B204"/>
              </a:solidFill>
            </a:ln>
          </c:spPr>
          <c:marker>
            <c:symbol val="none"/>
          </c:marker>
          <c:cat>
            <c:strRef>
              <c:f>'W&amp;R report - S4.1'!$F$55:$L$55</c:f>
              <c:strCache>
                <c:ptCount val="7"/>
                <c:pt idx="0">
                  <c:v>02-03</c:v>
                </c:pt>
                <c:pt idx="1">
                  <c:v>03-04</c:v>
                </c:pt>
                <c:pt idx="2">
                  <c:v>04-05</c:v>
                </c:pt>
                <c:pt idx="3">
                  <c:v>05-06</c:v>
                </c:pt>
                <c:pt idx="4">
                  <c:v>06-07</c:v>
                </c:pt>
                <c:pt idx="5">
                  <c:v>07-08</c:v>
                </c:pt>
                <c:pt idx="6">
                  <c:v>08-09</c:v>
                </c:pt>
              </c:strCache>
            </c:strRef>
          </c:cat>
          <c:val>
            <c:numRef>
              <c:f>'W&amp;R report - S4.1'!$F$61:$L$61</c:f>
              <c:numCache>
                <c:formatCode>#,##0</c:formatCode>
                <c:ptCount val="7"/>
                <c:pt idx="0">
                  <c:v>2241.7536201786997</c:v>
                </c:pt>
                <c:pt idx="1">
                  <c:v>2245.4737190128412</c:v>
                </c:pt>
                <c:pt idx="2">
                  <c:v>2249.1938178469836</c:v>
                </c:pt>
                <c:pt idx="3">
                  <c:v>2252.9139166811296</c:v>
                </c:pt>
                <c:pt idx="4">
                  <c:v>2256.6340155152561</c:v>
                </c:pt>
                <c:pt idx="5">
                  <c:v>2154.9291509943282</c:v>
                </c:pt>
                <c:pt idx="6">
                  <c:v>2053.2242864733889</c:v>
                </c:pt>
              </c:numCache>
            </c:numRef>
          </c:val>
        </c:ser>
        <c:ser>
          <c:idx val="4"/>
          <c:order val="4"/>
          <c:tx>
            <c:strRef>
              <c:f>'W&amp;R report - S4.1'!$B$62</c:f>
              <c:strCache>
                <c:ptCount val="1"/>
                <c:pt idx="0">
                  <c:v>WA</c:v>
                </c:pt>
              </c:strCache>
            </c:strRef>
          </c:tx>
          <c:spPr>
            <a:ln>
              <a:solidFill>
                <a:srgbClr val="ED7906"/>
              </a:solidFill>
            </a:ln>
          </c:spPr>
          <c:marker>
            <c:symbol val="none"/>
          </c:marker>
          <c:cat>
            <c:strRef>
              <c:f>'W&amp;R report - S4.1'!$F$55:$L$55</c:f>
              <c:strCache>
                <c:ptCount val="7"/>
                <c:pt idx="0">
                  <c:v>02-03</c:v>
                </c:pt>
                <c:pt idx="1">
                  <c:v>03-04</c:v>
                </c:pt>
                <c:pt idx="2">
                  <c:v>04-05</c:v>
                </c:pt>
                <c:pt idx="3">
                  <c:v>05-06</c:v>
                </c:pt>
                <c:pt idx="4">
                  <c:v>06-07</c:v>
                </c:pt>
                <c:pt idx="5">
                  <c:v>07-08</c:v>
                </c:pt>
                <c:pt idx="6">
                  <c:v>08-09</c:v>
                </c:pt>
              </c:strCache>
            </c:strRef>
          </c:cat>
          <c:val>
            <c:numRef>
              <c:f>'W&amp;R report - S4.1'!$F$62:$L$62</c:f>
              <c:numCache>
                <c:formatCode>#,##0</c:formatCode>
                <c:ptCount val="7"/>
                <c:pt idx="0">
                  <c:v>1803.1181678076055</c:v>
                </c:pt>
                <c:pt idx="1">
                  <c:v>1973.2066935700841</c:v>
                </c:pt>
                <c:pt idx="2">
                  <c:v>2143.2952193325627</c:v>
                </c:pt>
                <c:pt idx="3">
                  <c:v>2313.3837450950332</c:v>
                </c:pt>
                <c:pt idx="4">
                  <c:v>2483.4722708575141</c:v>
                </c:pt>
                <c:pt idx="5">
                  <c:v>2577.7537753304005</c:v>
                </c:pt>
                <c:pt idx="6">
                  <c:v>2672.0352798032868</c:v>
                </c:pt>
              </c:numCache>
            </c:numRef>
          </c:val>
        </c:ser>
        <c:ser>
          <c:idx val="5"/>
          <c:order val="5"/>
          <c:tx>
            <c:strRef>
              <c:f>'W&amp;R report - S4.1'!$B$63</c:f>
              <c:strCache>
                <c:ptCount val="1"/>
                <c:pt idx="0">
                  <c:v>Tas</c:v>
                </c:pt>
              </c:strCache>
            </c:strRef>
          </c:tx>
          <c:spPr>
            <a:ln>
              <a:solidFill>
                <a:srgbClr val="AA072A"/>
              </a:solidFill>
            </a:ln>
          </c:spPr>
          <c:marker>
            <c:symbol val="none"/>
          </c:marker>
          <c:cat>
            <c:strRef>
              <c:f>'W&amp;R report - S4.1'!$F$55:$L$55</c:f>
              <c:strCache>
                <c:ptCount val="7"/>
                <c:pt idx="0">
                  <c:v>02-03</c:v>
                </c:pt>
                <c:pt idx="1">
                  <c:v>03-04</c:v>
                </c:pt>
                <c:pt idx="2">
                  <c:v>04-05</c:v>
                </c:pt>
                <c:pt idx="3">
                  <c:v>05-06</c:v>
                </c:pt>
                <c:pt idx="4">
                  <c:v>06-07</c:v>
                </c:pt>
                <c:pt idx="5">
                  <c:v>07-08</c:v>
                </c:pt>
                <c:pt idx="6">
                  <c:v>08-09</c:v>
                </c:pt>
              </c:strCache>
            </c:strRef>
          </c:cat>
          <c:val>
            <c:numRef>
              <c:f>'W&amp;R report - S4.1'!$F$63:$L$63</c:f>
              <c:numCache>
                <c:formatCode>General</c:formatCode>
                <c:ptCount val="7"/>
                <c:pt idx="4" formatCode="#,##0">
                  <c:v>1333.525571568767</c:v>
                </c:pt>
                <c:pt idx="5" formatCode="#,##0">
                  <c:v>1198.5627089878699</c:v>
                </c:pt>
                <c:pt idx="6" formatCode="#,##0">
                  <c:v>1063.5998464069778</c:v>
                </c:pt>
              </c:numCache>
            </c:numRef>
          </c:val>
        </c:ser>
        <c:ser>
          <c:idx val="6"/>
          <c:order val="6"/>
          <c:tx>
            <c:strRef>
              <c:f>'W&amp;R report - S4.1'!$B$64</c:f>
              <c:strCache>
                <c:ptCount val="1"/>
                <c:pt idx="0">
                  <c:v>ACT</c:v>
                </c:pt>
              </c:strCache>
            </c:strRef>
          </c:tx>
          <c:spPr>
            <a:ln>
              <a:solidFill>
                <a:srgbClr val="620038"/>
              </a:solidFill>
            </a:ln>
          </c:spPr>
          <c:marker>
            <c:symbol val="none"/>
          </c:marker>
          <c:cat>
            <c:strRef>
              <c:f>'W&amp;R report - S4.1'!$F$55:$L$55</c:f>
              <c:strCache>
                <c:ptCount val="7"/>
                <c:pt idx="0">
                  <c:v>02-03</c:v>
                </c:pt>
                <c:pt idx="1">
                  <c:v>03-04</c:v>
                </c:pt>
                <c:pt idx="2">
                  <c:v>04-05</c:v>
                </c:pt>
                <c:pt idx="3">
                  <c:v>05-06</c:v>
                </c:pt>
                <c:pt idx="4">
                  <c:v>06-07</c:v>
                </c:pt>
                <c:pt idx="5">
                  <c:v>07-08</c:v>
                </c:pt>
                <c:pt idx="6">
                  <c:v>08-09</c:v>
                </c:pt>
              </c:strCache>
            </c:strRef>
          </c:cat>
          <c:val>
            <c:numRef>
              <c:f>'W&amp;R report - S4.1'!$F$64:$L$64</c:f>
              <c:numCache>
                <c:formatCode>#,##0</c:formatCode>
                <c:ptCount val="7"/>
                <c:pt idx="0">
                  <c:v>2068.6265779445512</c:v>
                </c:pt>
                <c:pt idx="1">
                  <c:v>2111.6282302383952</c:v>
                </c:pt>
                <c:pt idx="2">
                  <c:v>2154.6298825322392</c:v>
                </c:pt>
                <c:pt idx="3">
                  <c:v>2197.63153482609</c:v>
                </c:pt>
                <c:pt idx="4">
                  <c:v>2240.6331871199286</c:v>
                </c:pt>
                <c:pt idx="5">
                  <c:v>2248.4472649703062</c:v>
                </c:pt>
                <c:pt idx="6">
                  <c:v>2256.2613428206841</c:v>
                </c:pt>
              </c:numCache>
            </c:numRef>
          </c:val>
        </c:ser>
        <c:ser>
          <c:idx val="7"/>
          <c:order val="7"/>
          <c:tx>
            <c:strRef>
              <c:f>'W&amp;R report - S4.1'!$B$65</c:f>
              <c:strCache>
                <c:ptCount val="1"/>
                <c:pt idx="0">
                  <c:v>NT</c:v>
                </c:pt>
              </c:strCache>
            </c:strRef>
          </c:tx>
          <c:spPr>
            <a:ln>
              <a:solidFill>
                <a:srgbClr val="495F70"/>
              </a:solidFill>
            </a:ln>
          </c:spPr>
          <c:marker>
            <c:symbol val="none"/>
          </c:marker>
          <c:cat>
            <c:strRef>
              <c:f>'W&amp;R report - S4.1'!$F$55:$L$55</c:f>
              <c:strCache>
                <c:ptCount val="7"/>
                <c:pt idx="0">
                  <c:v>02-03</c:v>
                </c:pt>
                <c:pt idx="1">
                  <c:v>03-04</c:v>
                </c:pt>
                <c:pt idx="2">
                  <c:v>04-05</c:v>
                </c:pt>
                <c:pt idx="3">
                  <c:v>05-06</c:v>
                </c:pt>
                <c:pt idx="4">
                  <c:v>06-07</c:v>
                </c:pt>
                <c:pt idx="5">
                  <c:v>07-08</c:v>
                </c:pt>
                <c:pt idx="6">
                  <c:v>08-09</c:v>
                </c:pt>
              </c:strCache>
            </c:strRef>
          </c:cat>
          <c:val>
            <c:numRef>
              <c:f>'W&amp;R report - S4.1'!$F$65:$L$65</c:f>
              <c:numCache>
                <c:formatCode>General</c:formatCode>
                <c:ptCount val="7"/>
                <c:pt idx="4" formatCode="#,##0">
                  <c:v>1741.1221392525242</c:v>
                </c:pt>
                <c:pt idx="5" formatCode="#,##0">
                  <c:v>1717.4624872231393</c:v>
                </c:pt>
                <c:pt idx="6" formatCode="#,##0">
                  <c:v>1693.802835193751</c:v>
                </c:pt>
              </c:numCache>
            </c:numRef>
          </c:val>
        </c:ser>
        <c:ser>
          <c:idx val="8"/>
          <c:order val="8"/>
          <c:tx>
            <c:strRef>
              <c:f>'W&amp;R report - S4.1'!$B$66</c:f>
              <c:strCache>
                <c:ptCount val="1"/>
                <c:pt idx="0">
                  <c:v>National</c:v>
                </c:pt>
              </c:strCache>
            </c:strRef>
          </c:tx>
          <c:spPr>
            <a:ln>
              <a:solidFill>
                <a:schemeClr val="tx1"/>
              </a:solidFill>
              <a:prstDash val="sysDash"/>
            </a:ln>
          </c:spPr>
          <c:marker>
            <c:symbol val="none"/>
          </c:marker>
          <c:cat>
            <c:strRef>
              <c:f>'W&amp;R report - S4.1'!$F$55:$L$55</c:f>
              <c:strCache>
                <c:ptCount val="7"/>
                <c:pt idx="0">
                  <c:v>02-03</c:v>
                </c:pt>
                <c:pt idx="1">
                  <c:v>03-04</c:v>
                </c:pt>
                <c:pt idx="2">
                  <c:v>04-05</c:v>
                </c:pt>
                <c:pt idx="3">
                  <c:v>05-06</c:v>
                </c:pt>
                <c:pt idx="4">
                  <c:v>06-07</c:v>
                </c:pt>
                <c:pt idx="5">
                  <c:v>07-08</c:v>
                </c:pt>
                <c:pt idx="6">
                  <c:v>08-09</c:v>
                </c:pt>
              </c:strCache>
            </c:strRef>
          </c:cat>
          <c:val>
            <c:numRef>
              <c:f>'W&amp;R report - S4.1'!$F$66:$L$66</c:f>
              <c:numCache>
                <c:formatCode>#,##0</c:formatCode>
                <c:ptCount val="7"/>
                <c:pt idx="0">
                  <c:v>1685.0791483967048</c:v>
                </c:pt>
                <c:pt idx="1">
                  <c:v>1758.2506477562567</c:v>
                </c:pt>
                <c:pt idx="2">
                  <c:v>1831.4221471158048</c:v>
                </c:pt>
                <c:pt idx="3">
                  <c:v>1904.5936464753547</c:v>
                </c:pt>
                <c:pt idx="4">
                  <c:v>1977.7651458349078</c:v>
                </c:pt>
                <c:pt idx="5">
                  <c:v>2059.7333803362362</c:v>
                </c:pt>
                <c:pt idx="6">
                  <c:v>2141.7016148375665</c:v>
                </c:pt>
              </c:numCache>
            </c:numRef>
          </c:val>
        </c:ser>
        <c:marker val="1"/>
        <c:axId val="181298304"/>
        <c:axId val="181299840"/>
      </c:lineChart>
      <c:catAx>
        <c:axId val="181298304"/>
        <c:scaling>
          <c:orientation val="minMax"/>
        </c:scaling>
        <c:axPos val="b"/>
        <c:numFmt formatCode="@"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81299840"/>
        <c:crosses val="autoZero"/>
        <c:auto val="1"/>
        <c:lblAlgn val="ctr"/>
        <c:lblOffset val="100"/>
      </c:catAx>
      <c:valAx>
        <c:axId val="181299840"/>
        <c:scaling>
          <c:orientation val="minMax"/>
        </c:scaling>
        <c:axPos val="l"/>
        <c:majorGridlines/>
        <c:title>
          <c:tx>
            <c:rich>
              <a:bodyPr/>
              <a:lstStyle/>
              <a:p>
                <a:pPr>
                  <a:defRPr sz="800" b="0" i="0" u="none" strike="noStrike" baseline="0">
                    <a:solidFill>
                      <a:srgbClr val="333333"/>
                    </a:solidFill>
                    <a:latin typeface="Arial"/>
                    <a:ea typeface="Arial"/>
                    <a:cs typeface="Arial"/>
                  </a:defRPr>
                </a:pPr>
                <a:r>
                  <a:rPr lang="en-AU"/>
                  <a:t>kg per capita</a:t>
                </a:r>
              </a:p>
            </c:rich>
          </c:tx>
          <c:layout>
            <c:manualLayout>
              <c:xMode val="edge"/>
              <c:yMode val="edge"/>
              <c:x val="6.5520856858367136E-4"/>
              <c:y val="0.33564962452593716"/>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81298304"/>
        <c:crosses val="autoZero"/>
        <c:crossBetween val="between"/>
      </c:valAx>
    </c:plotArea>
    <c:legend>
      <c:legendPos val="r"/>
      <c:layout>
        <c:manualLayout>
          <c:xMode val="edge"/>
          <c:yMode val="edge"/>
          <c:x val="0.84111686965132859"/>
          <c:y val="0.23127844834441091"/>
          <c:w val="0.15888313034867121"/>
          <c:h val="0.5374427706063245"/>
        </c:manualLayout>
      </c:layout>
      <c:txPr>
        <a:bodyPr/>
        <a:lstStyle/>
        <a:p>
          <a:pPr>
            <a:defRPr sz="735"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27523564554286212"/>
          <c:y val="0"/>
        </c:manualLayout>
      </c:layout>
      <c:txPr>
        <a:bodyPr/>
        <a:lstStyle/>
        <a:p>
          <a:pPr>
            <a:defRPr sz="1100"/>
          </a:pPr>
          <a:endParaRPr lang="en-US"/>
        </a:p>
      </c:txPr>
    </c:title>
    <c:plotArea>
      <c:layout>
        <c:manualLayout>
          <c:layoutTarget val="inner"/>
          <c:xMode val="edge"/>
          <c:yMode val="edge"/>
          <c:x val="3.259742393433876E-2"/>
          <c:y val="0.18769835685580477"/>
          <c:w val="0.87494074507219954"/>
          <c:h val="0.51372640679289361"/>
        </c:manualLayout>
      </c:layout>
      <c:pieChart>
        <c:varyColors val="1"/>
        <c:ser>
          <c:idx val="0"/>
          <c:order val="0"/>
          <c:tx>
            <c:strRef>
              <c:f>'W&amp;R report - S4.8 (ACT)'!$G$115</c:f>
              <c:strCache>
                <c:ptCount val="1"/>
                <c:pt idx="0">
                  <c:v>Municipal</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S4.8 (ACT)'!$H$113:$J$114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S4.8 (ACT)'!$H$115:$J$115</c:f>
              <c:numCache>
                <c:formatCode>#,##0</c:formatCode>
                <c:ptCount val="3"/>
                <c:pt idx="0">
                  <c:v>80</c:v>
                </c:pt>
                <c:pt idx="1">
                  <c:v>110</c:v>
                </c:pt>
                <c:pt idx="2">
                  <c:v>10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sz="1100"/>
            </a:pPr>
            <a:r>
              <a:rPr lang="en-US"/>
              <a:t>C&amp;I and C&amp;D</a:t>
            </a:r>
          </a:p>
        </c:rich>
      </c:tx>
      <c:layout>
        <c:manualLayout>
          <c:xMode val="edge"/>
          <c:yMode val="edge"/>
          <c:x val="0.2355547864209285"/>
          <c:y val="0"/>
        </c:manualLayout>
      </c:layout>
    </c:title>
    <c:plotArea>
      <c:layout>
        <c:manualLayout>
          <c:layoutTarget val="inner"/>
          <c:xMode val="edge"/>
          <c:yMode val="edge"/>
          <c:x val="8.0786380545478098E-2"/>
          <c:y val="0.19262316375529134"/>
          <c:w val="0.84200854956630633"/>
          <c:h val="0.50011382529560267"/>
        </c:manualLayout>
      </c:layout>
      <c:pieChart>
        <c:varyColors val="1"/>
        <c:ser>
          <c:idx val="0"/>
          <c:order val="0"/>
          <c:tx>
            <c:strRef>
              <c:f>'W&amp;R report - S4.8 (ACT)'!$G$116</c:f>
              <c:strCache>
                <c:ptCount val="1"/>
                <c:pt idx="0">
                  <c:v>C&amp;I and C&amp;D</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strRef>
              <c:f>'W&amp;R report - S4.8 (ACT)'!$H$113:$J$113</c:f>
              <c:strCache>
                <c:ptCount val="3"/>
                <c:pt idx="0">
                  <c:v>Disposal</c:v>
                </c:pt>
                <c:pt idx="1">
                  <c:v>Recycling</c:v>
                </c:pt>
                <c:pt idx="2">
                  <c:v>Energy recovery</c:v>
                </c:pt>
              </c:strCache>
            </c:strRef>
          </c:cat>
          <c:val>
            <c:numRef>
              <c:f>'W&amp;R report - S4.8 (ACT)'!$H$116:$J$116</c:f>
              <c:numCache>
                <c:formatCode>#,##0</c:formatCode>
                <c:ptCount val="3"/>
                <c:pt idx="0">
                  <c:v>120</c:v>
                </c:pt>
                <c:pt idx="1">
                  <c:v>460</c:v>
                </c:pt>
                <c:pt idx="2">
                  <c:v>3</c:v>
                </c:pt>
              </c:numCache>
            </c:numRef>
          </c:val>
        </c:ser>
        <c:dLbls>
          <c:showVal val="1"/>
        </c:dLbls>
        <c:firstSliceAng val="0"/>
      </c:pieChart>
    </c:plotArea>
    <c:legend>
      <c:legendPos val="b"/>
      <c:layout>
        <c:manualLayout>
          <c:xMode val="edge"/>
          <c:yMode val="edge"/>
          <c:x val="4.8090911712958984E-2"/>
          <c:y val="0.76649576204242964"/>
          <c:w val="0.90795304433099711"/>
          <c:h val="0.15897018530272894"/>
        </c:manualLayout>
      </c:layout>
      <c:txPr>
        <a:bodyPr/>
        <a:lstStyle/>
        <a:p>
          <a:pPr>
            <a:defRPr sz="800"/>
          </a:pPr>
          <a:endParaRPr lang="en-US"/>
        </a:p>
      </c:txPr>
    </c:legend>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3886376557178026"/>
          <c:y val="2.2227849212300796E-2"/>
          <c:w val="0.86113623442821974"/>
          <c:h val="0.90266251445882961"/>
        </c:manualLayout>
      </c:layout>
      <c:barChart>
        <c:barDir val="col"/>
        <c:grouping val="stacked"/>
        <c:ser>
          <c:idx val="0"/>
          <c:order val="0"/>
          <c:tx>
            <c:strRef>
              <c:f>'W&amp;R report - S4.9 (NT)'!$I$14</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dLblPos val="ctr"/>
            <c:showVal val="1"/>
          </c:dLbls>
          <c:cat>
            <c:strRef>
              <c:f>'W&amp;R report - S4.9 (NT)'!$K$12:$M$12</c:f>
              <c:strCache>
                <c:ptCount val="3"/>
                <c:pt idx="0">
                  <c:v>2006-07</c:v>
                </c:pt>
                <c:pt idx="1">
                  <c:v>2008-09 Subtotal</c:v>
                </c:pt>
                <c:pt idx="2">
                  <c:v>2008-09 Total</c:v>
                </c:pt>
              </c:strCache>
            </c:strRef>
          </c:cat>
          <c:val>
            <c:numRef>
              <c:f>'W&amp;R report - S4.9 (NT)'!$K$14:$M$14</c:f>
              <c:numCache>
                <c:formatCode>#,##0</c:formatCode>
                <c:ptCount val="3"/>
                <c:pt idx="0">
                  <c:v>360</c:v>
                </c:pt>
                <c:pt idx="1">
                  <c:v>360</c:v>
                </c:pt>
                <c:pt idx="2">
                  <c:v>360</c:v>
                </c:pt>
              </c:numCache>
            </c:numRef>
          </c:val>
        </c:ser>
        <c:ser>
          <c:idx val="1"/>
          <c:order val="1"/>
          <c:tx>
            <c:strRef>
              <c:f>'W&amp;R report - S4.9 (NT)'!$I$15</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S4.9 (NT)'!$K$12:$M$12</c:f>
              <c:strCache>
                <c:ptCount val="3"/>
                <c:pt idx="0">
                  <c:v>2006-07</c:v>
                </c:pt>
                <c:pt idx="1">
                  <c:v>2008-09 Subtotal</c:v>
                </c:pt>
                <c:pt idx="2">
                  <c:v>2008-09 Total</c:v>
                </c:pt>
              </c:strCache>
            </c:strRef>
          </c:cat>
          <c:val>
            <c:numRef>
              <c:f>'W&amp;R report - S4.9 (NT)'!$K$15:$M$15</c:f>
              <c:numCache>
                <c:formatCode>#,##0</c:formatCode>
                <c:ptCount val="3"/>
                <c:pt idx="0">
                  <c:v>10</c:v>
                </c:pt>
                <c:pt idx="1">
                  <c:v>20</c:v>
                </c:pt>
                <c:pt idx="2">
                  <c:v>20</c:v>
                </c:pt>
              </c:numCache>
            </c:numRef>
          </c:val>
        </c:ser>
        <c:ser>
          <c:idx val="2"/>
          <c:order val="2"/>
          <c:tx>
            <c:strRef>
              <c:f>'W&amp;R report - S4.9 (NT)'!$I$16</c:f>
              <c:strCache>
                <c:ptCount val="1"/>
                <c:pt idx="0">
                  <c:v>Energy recovery</c:v>
                </c:pt>
              </c:strCache>
            </c:strRef>
          </c:tx>
          <c:spPr>
            <a:solidFill>
              <a:srgbClr val="ED7906"/>
            </a:solidFill>
          </c:spPr>
          <c:dLbls>
            <c:dLbl>
              <c:idx val="0"/>
              <c:delete val="1"/>
            </c:dLbl>
            <c:dLbl>
              <c:idx val="1"/>
              <c:layout>
                <c:manualLayout>
                  <c:x val="0"/>
                  <c:y val="-3.9810761305054551E-2"/>
                </c:manualLayout>
              </c:layout>
              <c:dLblPos val="ctr"/>
              <c:showVal val="1"/>
            </c:dLbl>
            <c:dLbl>
              <c:idx val="2"/>
              <c:layout>
                <c:manualLayout>
                  <c:x val="0"/>
                  <c:y val="-3.9810761305054551E-2"/>
                </c:manualLayout>
              </c:layout>
              <c:dLblPos val="ctr"/>
              <c:showVal val="1"/>
            </c:dLbl>
            <c:dLbl>
              <c:idx val="5"/>
              <c:layout>
                <c:manualLayout>
                  <c:x val="9.0107493090490349E-17"/>
                  <c:y val="-4.0402175764336995E-2"/>
                </c:manualLayout>
              </c:layout>
              <c:dLblPos val="ctr"/>
              <c:showVal val="1"/>
            </c:dLbl>
            <c:dLbl>
              <c:idx val="7"/>
              <c:layout>
                <c:manualLayout>
                  <c:x val="0"/>
                  <c:y val="-4.7333009878154003E-2"/>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S4.9 (NT)'!$K$12:$M$12</c:f>
              <c:strCache>
                <c:ptCount val="3"/>
                <c:pt idx="0">
                  <c:v>2006-07</c:v>
                </c:pt>
                <c:pt idx="1">
                  <c:v>2008-09 Subtotal</c:v>
                </c:pt>
                <c:pt idx="2">
                  <c:v>2008-09 Total</c:v>
                </c:pt>
              </c:strCache>
            </c:strRef>
          </c:cat>
          <c:val>
            <c:numRef>
              <c:f>'W&amp;R report - S4.9 (NT)'!$K$16:$M$16</c:f>
              <c:numCache>
                <c:formatCode>#,##0</c:formatCode>
                <c:ptCount val="3"/>
                <c:pt idx="0">
                  <c:v>0</c:v>
                </c:pt>
                <c:pt idx="1">
                  <c:v>2</c:v>
                </c:pt>
                <c:pt idx="2">
                  <c:v>2</c:v>
                </c:pt>
              </c:numCache>
            </c:numRef>
          </c:val>
        </c:ser>
        <c:dLbls>
          <c:showVal val="1"/>
        </c:dLbls>
        <c:gapWidth val="100"/>
        <c:overlap val="100"/>
        <c:axId val="183133312"/>
        <c:axId val="183134848"/>
      </c:barChart>
      <c:catAx>
        <c:axId val="183133312"/>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83134848"/>
        <c:crosses val="autoZero"/>
        <c:auto val="1"/>
        <c:lblAlgn val="ctr"/>
        <c:lblOffset val="100"/>
      </c:catAx>
      <c:valAx>
        <c:axId val="183134848"/>
        <c:scaling>
          <c:orientation val="minMax"/>
          <c:max val="500"/>
        </c:scaling>
        <c:axPos val="l"/>
        <c:title>
          <c:tx>
            <c:rich>
              <a:bodyPr/>
              <a:lstStyle/>
              <a:p>
                <a:pPr>
                  <a:defRPr sz="900" b="0" i="0" u="none" strike="noStrike" baseline="0">
                    <a:solidFill>
                      <a:srgbClr val="333333"/>
                    </a:solidFill>
                    <a:latin typeface="Arial"/>
                    <a:ea typeface="Arial"/>
                    <a:cs typeface="Arial"/>
                  </a:defRPr>
                </a:pPr>
                <a:r>
                  <a:rPr lang="en-AU" sz="900"/>
                  <a:t>'000</a:t>
                </a:r>
                <a:r>
                  <a:rPr lang="en-AU" sz="900" baseline="0"/>
                  <a:t> tonnes</a:t>
                </a:r>
                <a:endParaRPr lang="en-AU" sz="900"/>
              </a:p>
            </c:rich>
          </c:tx>
          <c:layout>
            <c:manualLayout>
              <c:xMode val="edge"/>
              <c:yMode val="edge"/>
              <c:x val="1.3535630539788161E-3"/>
              <c:y val="0.30461954600406888"/>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83133312"/>
        <c:crosses val="autoZero"/>
        <c:crossBetween val="between"/>
        <c:majorUnit val="100"/>
      </c:valAx>
      <c:spPr>
        <a:ln>
          <a:noFill/>
        </a:ln>
      </c:spPr>
    </c:plotArea>
    <c:legend>
      <c:legendPos val="t"/>
      <c:layout>
        <c:manualLayout>
          <c:xMode val="edge"/>
          <c:yMode val="edge"/>
          <c:x val="0.32149183353515837"/>
          <c:y val="0"/>
          <c:w val="0.43565650807435757"/>
          <c:h val="6.5668251318404938E-2"/>
        </c:manualLayout>
      </c:layout>
      <c:txPr>
        <a:bodyPr/>
        <a:lstStyle/>
        <a:p>
          <a:pPr>
            <a:defRPr sz="800"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AU"/>
  <c:chart>
    <c:title>
      <c:layout>
        <c:manualLayout>
          <c:xMode val="edge"/>
          <c:yMode val="edge"/>
          <c:x val="0.27523564554286212"/>
          <c:y val="0"/>
        </c:manualLayout>
      </c:layout>
      <c:txPr>
        <a:bodyPr/>
        <a:lstStyle/>
        <a:p>
          <a:pPr>
            <a:defRPr sz="1100"/>
          </a:pPr>
          <a:endParaRPr lang="en-US"/>
        </a:p>
      </c:txPr>
    </c:title>
    <c:plotArea>
      <c:layout>
        <c:manualLayout>
          <c:layoutTarget val="inner"/>
          <c:xMode val="edge"/>
          <c:yMode val="edge"/>
          <c:x val="3.259742393433876E-2"/>
          <c:y val="0.18769835685580477"/>
          <c:w val="0.87494074507219954"/>
          <c:h val="0.51372640679289361"/>
        </c:manualLayout>
      </c:layout>
      <c:pieChart>
        <c:varyColors val="1"/>
        <c:ser>
          <c:idx val="0"/>
          <c:order val="0"/>
          <c:tx>
            <c:strRef>
              <c:f>'W&amp;R report - S4.9 (NT)'!$G$115</c:f>
              <c:strCache>
                <c:ptCount val="1"/>
                <c:pt idx="0">
                  <c:v>Municipal</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S4.9 (NT)'!$H$113:$J$114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S4.9 (NT)'!$H$115:$J$115</c:f>
              <c:numCache>
                <c:formatCode>#,##0</c:formatCode>
                <c:ptCount val="3"/>
                <c:pt idx="0">
                  <c:v>100</c:v>
                </c:pt>
                <c:pt idx="1">
                  <c:v>20</c:v>
                </c:pt>
                <c:pt idx="2">
                  <c:v>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sz="1100"/>
            </a:pPr>
            <a:r>
              <a:rPr lang="en-US"/>
              <a:t>C&amp;I and C&amp;D</a:t>
            </a:r>
          </a:p>
        </c:rich>
      </c:tx>
      <c:layout>
        <c:manualLayout>
          <c:xMode val="edge"/>
          <c:yMode val="edge"/>
          <c:x val="0.2355547864209285"/>
          <c:y val="0"/>
        </c:manualLayout>
      </c:layout>
    </c:title>
    <c:plotArea>
      <c:layout>
        <c:manualLayout>
          <c:layoutTarget val="inner"/>
          <c:xMode val="edge"/>
          <c:yMode val="edge"/>
          <c:x val="8.0786380545478098E-2"/>
          <c:y val="0.19262316375529134"/>
          <c:w val="0.84200854956630633"/>
          <c:h val="0.50011382529560267"/>
        </c:manualLayout>
      </c:layout>
      <c:pieChart>
        <c:varyColors val="1"/>
        <c:ser>
          <c:idx val="0"/>
          <c:order val="0"/>
          <c:tx>
            <c:strRef>
              <c:f>'W&amp;R report - S4.9 (NT)'!$G$116</c:f>
              <c:strCache>
                <c:ptCount val="1"/>
                <c:pt idx="0">
                  <c:v>C&amp;I and C&amp;D</c:v>
                </c:pt>
              </c:strCache>
            </c:strRef>
          </c:tx>
          <c:dPt>
            <c:idx val="0"/>
            <c:spPr>
              <a:solidFill>
                <a:srgbClr val="AA072A"/>
              </a:solidFill>
            </c:spPr>
          </c:dPt>
          <c:dPt>
            <c:idx val="1"/>
            <c:spPr>
              <a:solidFill>
                <a:srgbClr val="F9B200"/>
              </a:solidFill>
            </c:spPr>
          </c:dPt>
          <c:dPt>
            <c:idx val="2"/>
            <c:spPr>
              <a:solidFill>
                <a:srgbClr val="ED7906"/>
              </a:solidFill>
            </c:spPr>
          </c:dPt>
          <c:dLbls>
            <c:dLbl>
              <c:idx val="1"/>
              <c:layout>
                <c:manualLayout>
                  <c:x val="-8.5354042283176612E-2"/>
                  <c:y val="-3.9423419156346404E-3"/>
                </c:manualLayout>
              </c:layout>
              <c:showVal val="1"/>
              <c:showPercent val="1"/>
              <c:separator>
</c:separator>
            </c:dLbl>
            <c:dLbl>
              <c:idx val="2"/>
              <c:layout>
                <c:manualLayout>
                  <c:x val="0.10294655475757852"/>
                  <c:y val="-3.8855457560188441E-3"/>
                </c:manualLayout>
              </c:layout>
              <c:showVal val="1"/>
              <c:showPercent val="1"/>
              <c:separator>
</c:separator>
            </c:dLbl>
            <c:numFmt formatCode="General" sourceLinked="0"/>
            <c:txPr>
              <a:bodyPr/>
              <a:lstStyle/>
              <a:p>
                <a:pPr>
                  <a:defRPr sz="800"/>
                </a:pPr>
                <a:endParaRPr lang="en-US"/>
              </a:p>
            </c:txPr>
            <c:showVal val="1"/>
            <c:showPercent val="1"/>
            <c:separator>
</c:separator>
            <c:showLeaderLines val="1"/>
          </c:dLbls>
          <c:cat>
            <c:strRef>
              <c:f>'W&amp;R report - S4.9 (NT)'!$H$113:$J$113</c:f>
              <c:strCache>
                <c:ptCount val="3"/>
                <c:pt idx="0">
                  <c:v>Disposal</c:v>
                </c:pt>
                <c:pt idx="1">
                  <c:v>Recycling</c:v>
                </c:pt>
                <c:pt idx="2">
                  <c:v>Energy recovery</c:v>
                </c:pt>
              </c:strCache>
            </c:strRef>
          </c:cat>
          <c:val>
            <c:numRef>
              <c:f>'W&amp;R report - S4.9 (NT)'!$H$116:$J$116</c:f>
              <c:numCache>
                <c:formatCode>#,##0</c:formatCode>
                <c:ptCount val="3"/>
                <c:pt idx="0">
                  <c:v>260</c:v>
                </c:pt>
                <c:pt idx="1">
                  <c:v>0</c:v>
                </c:pt>
                <c:pt idx="2">
                  <c:v>1</c:v>
                </c:pt>
              </c:numCache>
            </c:numRef>
          </c:val>
        </c:ser>
        <c:dLbls>
          <c:showVal val="1"/>
        </c:dLbls>
        <c:firstSliceAng val="0"/>
      </c:pieChart>
    </c:plotArea>
    <c:legend>
      <c:legendPos val="b"/>
      <c:layout>
        <c:manualLayout>
          <c:xMode val="edge"/>
          <c:yMode val="edge"/>
          <c:x val="4.8090911712958984E-2"/>
          <c:y val="0.76649576204242964"/>
          <c:w val="0.90795304433099711"/>
          <c:h val="0.15897018530272894"/>
        </c:manualLayout>
      </c:layout>
      <c:txPr>
        <a:bodyPr/>
        <a:lstStyle/>
        <a:p>
          <a:pPr>
            <a:defRPr sz="800"/>
          </a:pPr>
          <a:endParaRPr lang="en-US"/>
        </a:p>
      </c:txPr>
    </c:legend>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stacked"/>
        <c:ser>
          <c:idx val="0"/>
          <c:order val="0"/>
          <c:tx>
            <c:strRef>
              <c:f>Sheet1!$B$12</c:f>
              <c:strCache>
                <c:ptCount val="1"/>
                <c:pt idx="0">
                  <c:v>Food</c:v>
                </c:pt>
              </c:strCache>
            </c:strRef>
          </c:tx>
          <c:cat>
            <c:strRef>
              <c:f>Sheet1!$A$13:$A$15</c:f>
              <c:strCache>
                <c:ptCount val="3"/>
                <c:pt idx="0">
                  <c:v>MSW</c:v>
                </c:pt>
                <c:pt idx="1">
                  <c:v>C&amp;I</c:v>
                </c:pt>
                <c:pt idx="2">
                  <c:v>C&amp;D</c:v>
                </c:pt>
              </c:strCache>
            </c:strRef>
          </c:cat>
          <c:val>
            <c:numRef>
              <c:f>Sheet1!$B$13:$B$15</c:f>
              <c:numCache>
                <c:formatCode>General</c:formatCode>
                <c:ptCount val="3"/>
                <c:pt idx="0">
                  <c:v>0.56399999999999995</c:v>
                </c:pt>
                <c:pt idx="1">
                  <c:v>0.35200000000000031</c:v>
                </c:pt>
                <c:pt idx="2">
                  <c:v>0</c:v>
                </c:pt>
              </c:numCache>
            </c:numRef>
          </c:val>
        </c:ser>
        <c:ser>
          <c:idx val="1"/>
          <c:order val="1"/>
          <c:tx>
            <c:strRef>
              <c:f>Sheet1!$C$12</c:f>
              <c:strCache>
                <c:ptCount val="1"/>
                <c:pt idx="0">
                  <c:v>Garden &amp; park</c:v>
                </c:pt>
              </c:strCache>
            </c:strRef>
          </c:tx>
          <c:cat>
            <c:strRef>
              <c:f>Sheet1!$A$13:$A$15</c:f>
              <c:strCache>
                <c:ptCount val="3"/>
                <c:pt idx="0">
                  <c:v>MSW</c:v>
                </c:pt>
                <c:pt idx="1">
                  <c:v>C&amp;I</c:v>
                </c:pt>
                <c:pt idx="2">
                  <c:v>C&amp;D</c:v>
                </c:pt>
              </c:strCache>
            </c:strRef>
          </c:cat>
          <c:val>
            <c:numRef>
              <c:f>Sheet1!$C$13:$C$15</c:f>
              <c:numCache>
                <c:formatCode>General</c:formatCode>
                <c:ptCount val="3"/>
                <c:pt idx="0">
                  <c:v>0.192</c:v>
                </c:pt>
                <c:pt idx="1">
                  <c:v>4.4000000000000032E-2</c:v>
                </c:pt>
                <c:pt idx="2">
                  <c:v>2.8000000000000004E-2</c:v>
                </c:pt>
              </c:numCache>
            </c:numRef>
          </c:val>
        </c:ser>
        <c:ser>
          <c:idx val="2"/>
          <c:order val="2"/>
          <c:tx>
            <c:strRef>
              <c:f>Sheet1!$D$12</c:f>
              <c:strCache>
                <c:ptCount val="1"/>
                <c:pt idx="0">
                  <c:v>Paper &amp; paperboard</c:v>
                </c:pt>
              </c:strCache>
            </c:strRef>
          </c:tx>
          <c:cat>
            <c:strRef>
              <c:f>Sheet1!$A$13:$A$15</c:f>
              <c:strCache>
                <c:ptCount val="3"/>
                <c:pt idx="0">
                  <c:v>MSW</c:v>
                </c:pt>
                <c:pt idx="1">
                  <c:v>C&amp;I</c:v>
                </c:pt>
                <c:pt idx="2">
                  <c:v>C&amp;D</c:v>
                </c:pt>
              </c:strCache>
            </c:strRef>
          </c:cat>
          <c:val>
            <c:numRef>
              <c:f>Sheet1!$D$13:$D$15</c:f>
              <c:numCache>
                <c:formatCode>General</c:formatCode>
                <c:ptCount val="3"/>
                <c:pt idx="0">
                  <c:v>0.32400000000000073</c:v>
                </c:pt>
                <c:pt idx="1">
                  <c:v>0.38500000000000073</c:v>
                </c:pt>
                <c:pt idx="2">
                  <c:v>8.6000000000000007E-2</c:v>
                </c:pt>
              </c:numCache>
            </c:numRef>
          </c:val>
        </c:ser>
        <c:ser>
          <c:idx val="3"/>
          <c:order val="3"/>
          <c:tx>
            <c:strRef>
              <c:f>Sheet1!$E$12</c:f>
              <c:strCache>
                <c:ptCount val="1"/>
                <c:pt idx="0">
                  <c:v>Wood &amp; wood waste</c:v>
                </c:pt>
              </c:strCache>
            </c:strRef>
          </c:tx>
          <c:cat>
            <c:strRef>
              <c:f>Sheet1!$A$13:$A$15</c:f>
              <c:strCache>
                <c:ptCount val="3"/>
                <c:pt idx="0">
                  <c:v>MSW</c:v>
                </c:pt>
                <c:pt idx="1">
                  <c:v>C&amp;I</c:v>
                </c:pt>
                <c:pt idx="2">
                  <c:v>C&amp;D</c:v>
                </c:pt>
              </c:strCache>
            </c:strRef>
          </c:cat>
          <c:val>
            <c:numRef>
              <c:f>Sheet1!$E$13:$E$15</c:f>
              <c:numCache>
                <c:formatCode>General</c:formatCode>
                <c:ptCount val="3"/>
                <c:pt idx="0">
                  <c:v>1.2E-2</c:v>
                </c:pt>
                <c:pt idx="1">
                  <c:v>0.15400000000000036</c:v>
                </c:pt>
                <c:pt idx="2">
                  <c:v>8.6000000000000007E-2</c:v>
                </c:pt>
              </c:numCache>
            </c:numRef>
          </c:val>
        </c:ser>
        <c:ser>
          <c:idx val="4"/>
          <c:order val="4"/>
          <c:tx>
            <c:strRef>
              <c:f>Sheet1!$F$12</c:f>
              <c:strCache>
                <c:ptCount val="1"/>
                <c:pt idx="0">
                  <c:v>Textiles</c:v>
                </c:pt>
              </c:strCache>
            </c:strRef>
          </c:tx>
          <c:cat>
            <c:strRef>
              <c:f>Sheet1!$A$13:$A$15</c:f>
              <c:strCache>
                <c:ptCount val="3"/>
                <c:pt idx="0">
                  <c:v>MSW</c:v>
                </c:pt>
                <c:pt idx="1">
                  <c:v>C&amp;I</c:v>
                </c:pt>
                <c:pt idx="2">
                  <c:v>C&amp;D</c:v>
                </c:pt>
              </c:strCache>
            </c:strRef>
          </c:cat>
          <c:val>
            <c:numRef>
              <c:f>Sheet1!$F$13:$F$15</c:f>
              <c:numCache>
                <c:formatCode>General</c:formatCode>
                <c:ptCount val="3"/>
                <c:pt idx="0">
                  <c:v>2.4E-2</c:v>
                </c:pt>
                <c:pt idx="1">
                  <c:v>6.6000000000000003E-2</c:v>
                </c:pt>
                <c:pt idx="2">
                  <c:v>0</c:v>
                </c:pt>
              </c:numCache>
            </c:numRef>
          </c:val>
        </c:ser>
        <c:ser>
          <c:idx val="5"/>
          <c:order val="5"/>
          <c:tx>
            <c:strRef>
              <c:f>Sheet1!$G$12</c:f>
              <c:strCache>
                <c:ptCount val="1"/>
                <c:pt idx="0">
                  <c:v>Nappies</c:v>
                </c:pt>
              </c:strCache>
            </c:strRef>
          </c:tx>
          <c:cat>
            <c:strRef>
              <c:f>Sheet1!$A$13:$A$15</c:f>
              <c:strCache>
                <c:ptCount val="3"/>
                <c:pt idx="0">
                  <c:v>MSW</c:v>
                </c:pt>
                <c:pt idx="1">
                  <c:v>C&amp;I</c:v>
                </c:pt>
                <c:pt idx="2">
                  <c:v>C&amp;D</c:v>
                </c:pt>
              </c:strCache>
            </c:strRef>
          </c:cat>
          <c:val>
            <c:numRef>
              <c:f>Sheet1!$G$13:$G$15</c:f>
              <c:numCache>
                <c:formatCode>General</c:formatCode>
                <c:ptCount val="3"/>
                <c:pt idx="0">
                  <c:v>6.0000000000000032E-2</c:v>
                </c:pt>
                <c:pt idx="1">
                  <c:v>0</c:v>
                </c:pt>
                <c:pt idx="2">
                  <c:v>0</c:v>
                </c:pt>
              </c:numCache>
            </c:numRef>
          </c:val>
        </c:ser>
        <c:ser>
          <c:idx val="7"/>
          <c:order val="6"/>
          <c:tx>
            <c:strRef>
              <c:f>Sheet1!$I$12</c:f>
              <c:strCache>
                <c:ptCount val="1"/>
                <c:pt idx="0">
                  <c:v>Rubber &amp; leather</c:v>
                </c:pt>
              </c:strCache>
            </c:strRef>
          </c:tx>
          <c:cat>
            <c:strRef>
              <c:f>Sheet1!$A$13:$A$15</c:f>
              <c:strCache>
                <c:ptCount val="3"/>
                <c:pt idx="0">
                  <c:v>MSW</c:v>
                </c:pt>
                <c:pt idx="1">
                  <c:v>C&amp;I</c:v>
                </c:pt>
                <c:pt idx="2">
                  <c:v>C&amp;D</c:v>
                </c:pt>
              </c:strCache>
            </c:strRef>
          </c:cat>
          <c:val>
            <c:numRef>
              <c:f>Sheet1!$I$13:$I$15</c:f>
              <c:numCache>
                <c:formatCode>General</c:formatCode>
                <c:ptCount val="3"/>
                <c:pt idx="0">
                  <c:v>2.4E-2</c:v>
                </c:pt>
                <c:pt idx="1">
                  <c:v>8.8000000000000064E-2</c:v>
                </c:pt>
                <c:pt idx="2">
                  <c:v>0</c:v>
                </c:pt>
              </c:numCache>
            </c:numRef>
          </c:val>
        </c:ser>
        <c:gapWidth val="75"/>
        <c:overlap val="100"/>
        <c:axId val="183018624"/>
        <c:axId val="183020160"/>
      </c:barChart>
      <c:catAx>
        <c:axId val="183018624"/>
        <c:scaling>
          <c:orientation val="minMax"/>
        </c:scaling>
        <c:axPos val="b"/>
        <c:majorTickMark val="none"/>
        <c:tickLblPos val="nextTo"/>
        <c:txPr>
          <a:bodyPr/>
          <a:lstStyle/>
          <a:p>
            <a:pPr>
              <a:defRPr b="1"/>
            </a:pPr>
            <a:endParaRPr lang="en-US"/>
          </a:p>
        </c:txPr>
        <c:crossAx val="183020160"/>
        <c:crosses val="autoZero"/>
        <c:auto val="1"/>
        <c:lblAlgn val="ctr"/>
        <c:lblOffset val="100"/>
      </c:catAx>
      <c:valAx>
        <c:axId val="183020160"/>
        <c:scaling>
          <c:orientation val="minMax"/>
        </c:scaling>
        <c:axPos val="l"/>
        <c:majorGridlines/>
        <c:minorGridlines>
          <c:spPr>
            <a:ln>
              <a:noFill/>
            </a:ln>
          </c:spPr>
        </c:minorGridlines>
        <c:title>
          <c:tx>
            <c:rich>
              <a:bodyPr/>
              <a:lstStyle/>
              <a:p>
                <a:pPr>
                  <a:defRPr/>
                </a:pPr>
                <a:r>
                  <a:rPr lang="en-AU"/>
                  <a:t>Lifetime</a:t>
                </a:r>
                <a:r>
                  <a:rPr lang="en-AU" baseline="0"/>
                  <a:t> eimssions per tonne of waste (t CO</a:t>
                </a:r>
                <a:r>
                  <a:rPr lang="en-AU" sz="600" baseline="0"/>
                  <a:t>2</a:t>
                </a:r>
                <a:r>
                  <a:rPr lang="en-AU" baseline="0"/>
                  <a:t>-</a:t>
                </a:r>
                <a:r>
                  <a:rPr lang="en-AU" sz="600" baseline="0"/>
                  <a:t>e</a:t>
                </a:r>
                <a:r>
                  <a:rPr lang="en-AU" baseline="0"/>
                  <a:t>)</a:t>
                </a:r>
                <a:endParaRPr lang="en-AU"/>
              </a:p>
            </c:rich>
          </c:tx>
          <c:layout>
            <c:manualLayout>
              <c:xMode val="edge"/>
              <c:yMode val="edge"/>
              <c:x val="2.3228803716608595E-2"/>
              <c:y val="9.0714943203210746E-2"/>
            </c:manualLayout>
          </c:layout>
        </c:title>
        <c:numFmt formatCode="General" sourceLinked="1"/>
        <c:tickLblPos val="nextTo"/>
        <c:crossAx val="183018624"/>
        <c:crosses val="autoZero"/>
        <c:crossBetween val="between"/>
      </c:valAx>
    </c:plotArea>
    <c:legend>
      <c:legendPos val="r"/>
      <c:layout/>
    </c:legend>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srgbClr val="00519E"/>
            </a:solidFill>
          </c:spPr>
          <c:dLbls>
            <c:txPr>
              <a:bodyPr/>
              <a:lstStyle/>
              <a:p>
                <a:pPr>
                  <a:defRPr sz="800">
                    <a:latin typeface="Arial" pitchFamily="34" charset="0"/>
                    <a:cs typeface="Arial" pitchFamily="34" charset="0"/>
                  </a:defRPr>
                </a:pPr>
                <a:endParaRPr lang="en-US"/>
              </a:p>
            </c:txPr>
            <c:dLblPos val="outEnd"/>
            <c:showVal val="1"/>
          </c:dLbls>
          <c:cat>
            <c:strRef>
              <c:f>Sheet1!$A$1:$A$6</c:f>
              <c:strCache>
                <c:ptCount val="6"/>
                <c:pt idx="0">
                  <c:v>Paper &amp; cardboard</c:v>
                </c:pt>
                <c:pt idx="1">
                  <c:v>Glass</c:v>
                </c:pt>
                <c:pt idx="2">
                  <c:v>Ferrous</c:v>
                </c:pt>
                <c:pt idx="3">
                  <c:v>Aluminium</c:v>
                </c:pt>
                <c:pt idx="4">
                  <c:v>PET</c:v>
                </c:pt>
                <c:pt idx="5">
                  <c:v>HDPE</c:v>
                </c:pt>
              </c:strCache>
            </c:strRef>
          </c:cat>
          <c:val>
            <c:numRef>
              <c:f>Sheet1!$B$1:$B$6</c:f>
              <c:numCache>
                <c:formatCode>General</c:formatCode>
                <c:ptCount val="6"/>
                <c:pt idx="0">
                  <c:v>1.22</c:v>
                </c:pt>
                <c:pt idx="1">
                  <c:v>0.52</c:v>
                </c:pt>
                <c:pt idx="2">
                  <c:v>2.11</c:v>
                </c:pt>
                <c:pt idx="3">
                  <c:v>4.9300000000000024</c:v>
                </c:pt>
                <c:pt idx="4">
                  <c:v>4.0000000000000022E-2</c:v>
                </c:pt>
                <c:pt idx="5">
                  <c:v>2.0000000000000011E-2</c:v>
                </c:pt>
              </c:numCache>
            </c:numRef>
          </c:val>
        </c:ser>
        <c:gapWidth val="100"/>
        <c:axId val="183033216"/>
        <c:axId val="182916224"/>
      </c:barChart>
      <c:catAx>
        <c:axId val="183033216"/>
        <c:scaling>
          <c:orientation val="minMax"/>
        </c:scaling>
        <c:axPos val="b"/>
        <c:tickLblPos val="nextTo"/>
        <c:txPr>
          <a:bodyPr/>
          <a:lstStyle/>
          <a:p>
            <a:pPr>
              <a:defRPr sz="900">
                <a:latin typeface="Arial" pitchFamily="34" charset="0"/>
                <a:cs typeface="Arial" pitchFamily="34" charset="0"/>
              </a:defRPr>
            </a:pPr>
            <a:endParaRPr lang="en-US"/>
          </a:p>
        </c:txPr>
        <c:crossAx val="182916224"/>
        <c:crosses val="autoZero"/>
        <c:auto val="1"/>
        <c:lblAlgn val="ctr"/>
        <c:lblOffset val="100"/>
      </c:catAx>
      <c:valAx>
        <c:axId val="182916224"/>
        <c:scaling>
          <c:orientation val="minMax"/>
        </c:scaling>
        <c:axPos val="l"/>
        <c:majorGridlines/>
        <c:title>
          <c:tx>
            <c:rich>
              <a:bodyPr rot="-5400000" vert="horz"/>
              <a:lstStyle/>
              <a:p>
                <a:pPr>
                  <a:defRPr sz="800" b="0">
                    <a:latin typeface="Arial" pitchFamily="34" charset="0"/>
                    <a:cs typeface="Arial" pitchFamily="34" charset="0"/>
                  </a:defRPr>
                </a:pPr>
                <a:r>
                  <a:rPr lang="en-AU" sz="800" b="0">
                    <a:latin typeface="Arial" pitchFamily="34" charset="0"/>
                    <a:cs typeface="Arial" pitchFamily="34" charset="0"/>
                  </a:rPr>
                  <a:t>MT CO2-e save per annum from recycling</a:t>
                </a:r>
              </a:p>
            </c:rich>
          </c:tx>
          <c:layout>
            <c:manualLayout>
              <c:xMode val="edge"/>
              <c:yMode val="edge"/>
              <c:x val="3.0555555555555582E-2"/>
              <c:y val="3.7411052785069086E-2"/>
            </c:manualLayout>
          </c:layout>
        </c:title>
        <c:numFmt formatCode="General" sourceLinked="1"/>
        <c:tickLblPos val="nextTo"/>
        <c:txPr>
          <a:bodyPr/>
          <a:lstStyle/>
          <a:p>
            <a:pPr>
              <a:defRPr sz="900">
                <a:latin typeface="Arial" pitchFamily="34" charset="0"/>
                <a:cs typeface="Arial" pitchFamily="34" charset="0"/>
              </a:defRPr>
            </a:pPr>
            <a:endParaRPr lang="en-US"/>
          </a:p>
        </c:txPr>
        <c:crossAx val="183033216"/>
        <c:crosses val="autoZero"/>
        <c:crossBetween val="between"/>
      </c:valAx>
    </c:plotArea>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n-AU"/>
  <c:style val="1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9508037864722"/>
          <c:y val="4.7873140632233871E-2"/>
          <c:w val="0.88260491962135301"/>
          <c:h val="0.6483065005008346"/>
        </c:manualLayout>
      </c:layout>
      <c:barChart>
        <c:barDir val="col"/>
        <c:grouping val="clustered"/>
        <c:ser>
          <c:idx val="1"/>
          <c:order val="0"/>
          <c:tx>
            <c:strRef>
              <c:f>'[WCRAQ (V2).xlsx]Chart tables'!$C$2</c:f>
              <c:strCache>
                <c:ptCount val="1"/>
                <c:pt idx="0">
                  <c:v>2006-07</c:v>
                </c:pt>
              </c:strCache>
            </c:strRef>
          </c:tx>
          <c:spPr>
            <a:solidFill>
              <a:srgbClr val="00519E"/>
            </a:solidFill>
            <a:ln>
              <a:noFill/>
            </a:ln>
          </c:spPr>
          <c:cat>
            <c:multiLvlStrRef>
              <c:f>'[WCRAQ (V2).xlsx]Chart tables'!$A$3:$B$8</c:f>
              <c:multiLvlStrCache>
                <c:ptCount val="6"/>
                <c:lvl>
                  <c:pt idx="0">
                    <c:v>ACT</c:v>
                  </c:pt>
                  <c:pt idx="1">
                    <c:v>SA</c:v>
                  </c:pt>
                  <c:pt idx="2">
                    <c:v>Vic</c:v>
                  </c:pt>
                  <c:pt idx="3">
                    <c:v>NSW</c:v>
                  </c:pt>
                  <c:pt idx="4">
                    <c:v>Qld</c:v>
                  </c:pt>
                  <c:pt idx="5">
                    <c:v>WA</c:v>
                  </c:pt>
                </c:lvl>
                <c:lvl>
                  <c:pt idx="0">
                    <c:v>Directly
hypothecated</c:v>
                  </c:pt>
                  <c:pt idx="2">
                    <c:v>Partially
hypothecated</c:v>
                  </c:pt>
                  <c:pt idx="3">
                    <c:v>Central
revenue</c:v>
                  </c:pt>
                  <c:pt idx="4">
                    <c:v>No levy in reporting periods</c:v>
                  </c:pt>
                  <c:pt idx="5">
                    <c:v>Partially
hypothecated</c:v>
                  </c:pt>
                </c:lvl>
              </c:multiLvlStrCache>
            </c:multiLvlStrRef>
          </c:cat>
          <c:val>
            <c:numRef>
              <c:f>'[WCRAQ (V2).xlsx]Chart tables'!$C$3:$C$8</c:f>
              <c:numCache>
                <c:formatCode>General</c:formatCode>
                <c:ptCount val="6"/>
                <c:pt idx="0" formatCode="0">
                  <c:v>1661.5667900097931</c:v>
                </c:pt>
                <c:pt idx="1">
                  <c:v>1536</c:v>
                </c:pt>
                <c:pt idx="2">
                  <c:v>1220</c:v>
                </c:pt>
                <c:pt idx="3">
                  <c:v>1160</c:v>
                </c:pt>
                <c:pt idx="4">
                  <c:v>900</c:v>
                </c:pt>
                <c:pt idx="5">
                  <c:v>810</c:v>
                </c:pt>
              </c:numCache>
            </c:numRef>
          </c:val>
        </c:ser>
        <c:ser>
          <c:idx val="0"/>
          <c:order val="1"/>
          <c:tx>
            <c:strRef>
              <c:f>'[WCRAQ (V2).xlsx]Chart tables'!$D$2</c:f>
              <c:strCache>
                <c:ptCount val="1"/>
                <c:pt idx="0">
                  <c:v>2007-08</c:v>
                </c:pt>
              </c:strCache>
            </c:strRef>
          </c:tx>
          <c:spPr>
            <a:solidFill>
              <a:srgbClr val="009EE0"/>
            </a:solidFill>
            <a:ln>
              <a:noFill/>
            </a:ln>
          </c:spPr>
          <c:cat>
            <c:multiLvlStrRef>
              <c:f>'[WCRAQ (V2).xlsx]Chart tables'!$A$3:$B$8</c:f>
              <c:multiLvlStrCache>
                <c:ptCount val="6"/>
                <c:lvl>
                  <c:pt idx="0">
                    <c:v>ACT</c:v>
                  </c:pt>
                  <c:pt idx="1">
                    <c:v>SA</c:v>
                  </c:pt>
                  <c:pt idx="2">
                    <c:v>Vic</c:v>
                  </c:pt>
                  <c:pt idx="3">
                    <c:v>NSW</c:v>
                  </c:pt>
                  <c:pt idx="4">
                    <c:v>Qld</c:v>
                  </c:pt>
                  <c:pt idx="5">
                    <c:v>WA</c:v>
                  </c:pt>
                </c:lvl>
                <c:lvl>
                  <c:pt idx="0">
                    <c:v>Directly
hypothecated</c:v>
                  </c:pt>
                  <c:pt idx="2">
                    <c:v>Partially
hypothecated</c:v>
                  </c:pt>
                  <c:pt idx="3">
                    <c:v>Central
revenue</c:v>
                  </c:pt>
                  <c:pt idx="4">
                    <c:v>No levy in reporting periods</c:v>
                  </c:pt>
                  <c:pt idx="5">
                    <c:v>Partially
hypothecated</c:v>
                  </c:pt>
                </c:lvl>
              </c:multiLvlStrCache>
            </c:multiLvlStrRef>
          </c:cat>
          <c:val>
            <c:numRef>
              <c:f>'[WCRAQ (V2).xlsx]Chart tables'!$D$3:$D$8</c:f>
              <c:numCache>
                <c:formatCode>General</c:formatCode>
                <c:ptCount val="6"/>
                <c:pt idx="0" formatCode="0">
                  <c:v>1704.0202833430553</c:v>
                </c:pt>
                <c:pt idx="1">
                  <c:v>1630</c:v>
                </c:pt>
                <c:pt idx="2" formatCode="0">
                  <c:v>1178.9048124471331</c:v>
                </c:pt>
                <c:pt idx="3">
                  <c:v>1160</c:v>
                </c:pt>
                <c:pt idx="4">
                  <c:v>1253</c:v>
                </c:pt>
                <c:pt idx="5">
                  <c:v>919</c:v>
                </c:pt>
              </c:numCache>
            </c:numRef>
          </c:val>
        </c:ser>
        <c:ser>
          <c:idx val="2"/>
          <c:order val="2"/>
          <c:tx>
            <c:strRef>
              <c:f>'[WCRAQ (V2).xlsx]Chart tables'!$E$2</c:f>
              <c:strCache>
                <c:ptCount val="1"/>
                <c:pt idx="0">
                  <c:v>2008-09</c:v>
                </c:pt>
              </c:strCache>
            </c:strRef>
          </c:tx>
          <c:spPr>
            <a:solidFill>
              <a:srgbClr val="26A232"/>
            </a:solidFill>
            <a:ln>
              <a:noFill/>
            </a:ln>
          </c:spPr>
          <c:cat>
            <c:multiLvlStrRef>
              <c:f>'[WCRAQ (V2).xlsx]Chart tables'!$A$3:$B$8</c:f>
              <c:multiLvlStrCache>
                <c:ptCount val="6"/>
                <c:lvl>
                  <c:pt idx="0">
                    <c:v>ACT</c:v>
                  </c:pt>
                  <c:pt idx="1">
                    <c:v>SA</c:v>
                  </c:pt>
                  <c:pt idx="2">
                    <c:v>Vic</c:v>
                  </c:pt>
                  <c:pt idx="3">
                    <c:v>NSW</c:v>
                  </c:pt>
                  <c:pt idx="4">
                    <c:v>Qld</c:v>
                  </c:pt>
                  <c:pt idx="5">
                    <c:v>WA</c:v>
                  </c:pt>
                </c:lvl>
                <c:lvl>
                  <c:pt idx="0">
                    <c:v>Directly
hypothecated</c:v>
                  </c:pt>
                  <c:pt idx="2">
                    <c:v>Partially
hypothecated</c:v>
                  </c:pt>
                  <c:pt idx="3">
                    <c:v>Central
revenue</c:v>
                  </c:pt>
                  <c:pt idx="4">
                    <c:v>No levy in reporting periods</c:v>
                  </c:pt>
                  <c:pt idx="5">
                    <c:v>Partially
hypothecated</c:v>
                  </c:pt>
                </c:lvl>
              </c:multiLvlStrCache>
            </c:multiLvlStrRef>
          </c:cat>
          <c:val>
            <c:numRef>
              <c:f>'[WCRAQ (V2).xlsx]Chart tables'!$E$3:$E$8</c:f>
              <c:numCache>
                <c:formatCode>General</c:formatCode>
                <c:ptCount val="6"/>
                <c:pt idx="0" formatCode="0">
                  <c:v>1701</c:v>
                </c:pt>
                <c:pt idx="1">
                  <c:v>1481</c:v>
                </c:pt>
                <c:pt idx="2">
                  <c:v>1237</c:v>
                </c:pt>
                <c:pt idx="3">
                  <c:v>1261</c:v>
                </c:pt>
                <c:pt idx="5">
                  <c:v>860</c:v>
                </c:pt>
              </c:numCache>
            </c:numRef>
          </c:val>
        </c:ser>
        <c:axId val="182966144"/>
        <c:axId val="182967680"/>
      </c:barChart>
      <c:catAx>
        <c:axId val="182966144"/>
        <c:scaling>
          <c:orientation val="minMax"/>
        </c:scaling>
        <c:axPos val="b"/>
        <c:majorTickMark val="none"/>
        <c:tickLblPos val="nextTo"/>
        <c:txPr>
          <a:bodyPr/>
          <a:lstStyle/>
          <a:p>
            <a:pPr>
              <a:defRPr sz="900">
                <a:latin typeface="Arial" pitchFamily="34" charset="0"/>
                <a:cs typeface="Arial" pitchFamily="34" charset="0"/>
              </a:defRPr>
            </a:pPr>
            <a:endParaRPr lang="en-US"/>
          </a:p>
        </c:txPr>
        <c:crossAx val="182967680"/>
        <c:crosses val="autoZero"/>
        <c:auto val="1"/>
        <c:lblAlgn val="ctr"/>
        <c:lblOffset val="100"/>
      </c:catAx>
      <c:valAx>
        <c:axId val="182967680"/>
        <c:scaling>
          <c:orientation val="minMax"/>
        </c:scaling>
        <c:axPos val="l"/>
        <c:majorGridlines/>
        <c:title>
          <c:tx>
            <c:rich>
              <a:bodyPr rot="-5400000" vert="horz"/>
              <a:lstStyle/>
              <a:p>
                <a:pPr>
                  <a:defRPr sz="800" b="0">
                    <a:latin typeface="Arial" pitchFamily="34" charset="0"/>
                    <a:cs typeface="Arial" pitchFamily="34" charset="0"/>
                  </a:defRPr>
                </a:pPr>
                <a:r>
                  <a:rPr lang="en-US" sz="800" b="0">
                    <a:latin typeface="Arial" pitchFamily="34" charset="0"/>
                    <a:cs typeface="Arial" pitchFamily="34" charset="0"/>
                  </a:rPr>
                  <a:t>Recycled per capita (kg)</a:t>
                </a:r>
              </a:p>
            </c:rich>
          </c:tx>
          <c:layout/>
        </c:title>
        <c:numFmt formatCode="0" sourceLinked="1"/>
        <c:majorTickMark val="none"/>
        <c:tickLblPos val="nextTo"/>
        <c:txPr>
          <a:bodyPr/>
          <a:lstStyle/>
          <a:p>
            <a:pPr>
              <a:defRPr sz="900">
                <a:latin typeface="Arial" pitchFamily="34" charset="0"/>
                <a:cs typeface="Arial" pitchFamily="34" charset="0"/>
              </a:defRPr>
            </a:pPr>
            <a:endParaRPr lang="en-US"/>
          </a:p>
        </c:txPr>
        <c:crossAx val="182966144"/>
        <c:crosses val="autoZero"/>
        <c:crossBetween val="between"/>
      </c:valAx>
    </c:plotArea>
    <c:legend>
      <c:legendPos val="r"/>
      <c:layout>
        <c:manualLayout>
          <c:xMode val="edge"/>
          <c:yMode val="edge"/>
          <c:x val="0.82945247101456798"/>
          <c:y val="2.445265442343365E-2"/>
          <c:w val="0.13442891460264797"/>
          <c:h val="0.19382864842506964"/>
        </c:manualLayout>
      </c:layout>
      <c:spPr>
        <a:solidFill>
          <a:sysClr val="window" lastClr="FFFFFF"/>
        </a:solidFill>
      </c:spPr>
      <c:txPr>
        <a:bodyPr/>
        <a:lstStyle/>
        <a:p>
          <a:pPr>
            <a:defRPr sz="800">
              <a:latin typeface="Arial" pitchFamily="34" charset="0"/>
              <a:cs typeface="Arial" pitchFamily="34" charset="0"/>
            </a:defRPr>
          </a:pPr>
          <a:endParaRPr lang="en-US"/>
        </a:p>
      </c:txPr>
    </c:legend>
    <c:plotVisOnly val="1"/>
    <c:dispBlanksAs val="gap"/>
  </c:chart>
  <c:spPr>
    <a:ln>
      <a:noFill/>
    </a:ln>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1830603494771742"/>
          <c:y val="1.9479543232570461E-2"/>
          <c:w val="0.8487675706925627"/>
          <c:h val="0.80948818897636265"/>
        </c:manualLayout>
      </c:layout>
      <c:scatterChart>
        <c:scatterStyle val="smoothMarker"/>
        <c:ser>
          <c:idx val="0"/>
          <c:order val="0"/>
          <c:tx>
            <c:strRef>
              <c:f>'Calculations for projections'!$A$15</c:f>
              <c:strCache>
                <c:ptCount val="1"/>
                <c:pt idx="0">
                  <c:v>MSW</c:v>
                </c:pt>
              </c:strCache>
            </c:strRef>
          </c:tx>
          <c:spPr>
            <a:ln w="28575">
              <a:solidFill>
                <a:srgbClr val="00519E"/>
              </a:solidFill>
              <a:prstDash val="solid"/>
            </a:ln>
          </c:spPr>
          <c:marker>
            <c:symbol val="none"/>
          </c:marker>
          <c:xVal>
            <c:numRef>
              <c:f>'Calculations for projections'!$B$14:$J$14</c:f>
              <c:numCache>
                <c:formatCode>"$"#,##0</c:formatCode>
                <c:ptCount val="9"/>
                <c:pt idx="0">
                  <c:v>0</c:v>
                </c:pt>
                <c:pt idx="1">
                  <c:v>10</c:v>
                </c:pt>
                <c:pt idx="2">
                  <c:v>20</c:v>
                </c:pt>
                <c:pt idx="3">
                  <c:v>21</c:v>
                </c:pt>
                <c:pt idx="4">
                  <c:v>30</c:v>
                </c:pt>
                <c:pt idx="5">
                  <c:v>31</c:v>
                </c:pt>
                <c:pt idx="6">
                  <c:v>40</c:v>
                </c:pt>
                <c:pt idx="7">
                  <c:v>50</c:v>
                </c:pt>
                <c:pt idx="8">
                  <c:v>60</c:v>
                </c:pt>
              </c:numCache>
            </c:numRef>
          </c:xVal>
          <c:yVal>
            <c:numRef>
              <c:f>'Calculations for projections'!$B$15:$J$15</c:f>
              <c:numCache>
                <c:formatCode>0%</c:formatCode>
                <c:ptCount val="9"/>
                <c:pt idx="0">
                  <c:v>1</c:v>
                </c:pt>
                <c:pt idx="1">
                  <c:v>0.99990000000000001</c:v>
                </c:pt>
                <c:pt idx="2">
                  <c:v>0.996</c:v>
                </c:pt>
                <c:pt idx="3">
                  <c:v>0.9</c:v>
                </c:pt>
                <c:pt idx="4">
                  <c:v>0.8</c:v>
                </c:pt>
                <c:pt idx="5">
                  <c:v>0.79699999999999993</c:v>
                </c:pt>
                <c:pt idx="6">
                  <c:v>0.77000000000000823</c:v>
                </c:pt>
                <c:pt idx="7">
                  <c:v>0.75000000000000744</c:v>
                </c:pt>
                <c:pt idx="8">
                  <c:v>0.5</c:v>
                </c:pt>
              </c:numCache>
            </c:numRef>
          </c:yVal>
          <c:smooth val="1"/>
        </c:ser>
        <c:ser>
          <c:idx val="1"/>
          <c:order val="1"/>
          <c:tx>
            <c:strRef>
              <c:f>'Calculations for projections'!$A$16</c:f>
              <c:strCache>
                <c:ptCount val="1"/>
                <c:pt idx="0">
                  <c:v>C&amp;I</c:v>
                </c:pt>
              </c:strCache>
            </c:strRef>
          </c:tx>
          <c:spPr>
            <a:ln w="28575">
              <a:solidFill>
                <a:srgbClr val="009EE0"/>
              </a:solidFill>
              <a:prstDash val="sysDash"/>
            </a:ln>
          </c:spPr>
          <c:marker>
            <c:symbol val="none"/>
          </c:marker>
          <c:xVal>
            <c:numRef>
              <c:f>'Calculations for projections'!$B$14:$J$14</c:f>
              <c:numCache>
                <c:formatCode>"$"#,##0</c:formatCode>
                <c:ptCount val="9"/>
                <c:pt idx="0">
                  <c:v>0</c:v>
                </c:pt>
                <c:pt idx="1">
                  <c:v>10</c:v>
                </c:pt>
                <c:pt idx="2">
                  <c:v>20</c:v>
                </c:pt>
                <c:pt idx="3">
                  <c:v>21</c:v>
                </c:pt>
                <c:pt idx="4">
                  <c:v>30</c:v>
                </c:pt>
                <c:pt idx="5">
                  <c:v>31</c:v>
                </c:pt>
                <c:pt idx="6">
                  <c:v>40</c:v>
                </c:pt>
                <c:pt idx="7">
                  <c:v>50</c:v>
                </c:pt>
                <c:pt idx="8">
                  <c:v>60</c:v>
                </c:pt>
              </c:numCache>
            </c:numRef>
          </c:xVal>
          <c:yVal>
            <c:numRef>
              <c:f>'Calculations for projections'!$B$16:$J$16</c:f>
              <c:numCache>
                <c:formatCode>0%</c:formatCode>
                <c:ptCount val="9"/>
                <c:pt idx="0">
                  <c:v>1</c:v>
                </c:pt>
                <c:pt idx="1">
                  <c:v>0.95000000000000062</c:v>
                </c:pt>
                <c:pt idx="2">
                  <c:v>0.9</c:v>
                </c:pt>
                <c:pt idx="3">
                  <c:v>0.9</c:v>
                </c:pt>
                <c:pt idx="4">
                  <c:v>0.8</c:v>
                </c:pt>
                <c:pt idx="5">
                  <c:v>0.8</c:v>
                </c:pt>
                <c:pt idx="6">
                  <c:v>0.70000000000000062</c:v>
                </c:pt>
                <c:pt idx="7">
                  <c:v>0.70000000000000062</c:v>
                </c:pt>
                <c:pt idx="8">
                  <c:v>0.70000000000000062</c:v>
                </c:pt>
              </c:numCache>
            </c:numRef>
          </c:yVal>
          <c:smooth val="1"/>
        </c:ser>
        <c:ser>
          <c:idx val="2"/>
          <c:order val="2"/>
          <c:tx>
            <c:strRef>
              <c:f>'Calculations for projections'!$A$17</c:f>
              <c:strCache>
                <c:ptCount val="1"/>
                <c:pt idx="0">
                  <c:v>C&amp;D</c:v>
                </c:pt>
              </c:strCache>
            </c:strRef>
          </c:tx>
          <c:spPr>
            <a:ln w="28575">
              <a:solidFill>
                <a:srgbClr val="26A232"/>
              </a:solidFill>
              <a:prstDash val="lgDashDot"/>
            </a:ln>
          </c:spPr>
          <c:marker>
            <c:symbol val="none"/>
          </c:marker>
          <c:xVal>
            <c:numRef>
              <c:f>'Calculations for projections'!$B$14:$J$14</c:f>
              <c:numCache>
                <c:formatCode>"$"#,##0</c:formatCode>
                <c:ptCount val="9"/>
                <c:pt idx="0">
                  <c:v>0</c:v>
                </c:pt>
                <c:pt idx="1">
                  <c:v>10</c:v>
                </c:pt>
                <c:pt idx="2">
                  <c:v>20</c:v>
                </c:pt>
                <c:pt idx="3">
                  <c:v>21</c:v>
                </c:pt>
                <c:pt idx="4">
                  <c:v>30</c:v>
                </c:pt>
                <c:pt idx="5">
                  <c:v>31</c:v>
                </c:pt>
                <c:pt idx="6">
                  <c:v>40</c:v>
                </c:pt>
                <c:pt idx="7">
                  <c:v>50</c:v>
                </c:pt>
                <c:pt idx="8">
                  <c:v>60</c:v>
                </c:pt>
              </c:numCache>
            </c:numRef>
          </c:xVal>
          <c:yVal>
            <c:numRef>
              <c:f>'Calculations for projections'!$B$17:$J$17</c:f>
              <c:numCache>
                <c:formatCode>0%</c:formatCode>
                <c:ptCount val="9"/>
                <c:pt idx="0">
                  <c:v>1</c:v>
                </c:pt>
                <c:pt idx="1">
                  <c:v>0.98</c:v>
                </c:pt>
                <c:pt idx="2">
                  <c:v>0.96000000000000063</c:v>
                </c:pt>
                <c:pt idx="3">
                  <c:v>0.95800000000000063</c:v>
                </c:pt>
                <c:pt idx="4">
                  <c:v>0.94000000000000061</c:v>
                </c:pt>
                <c:pt idx="5">
                  <c:v>0.70000000000000062</c:v>
                </c:pt>
                <c:pt idx="6">
                  <c:v>0.60000000000000064</c:v>
                </c:pt>
                <c:pt idx="7">
                  <c:v>0.5</c:v>
                </c:pt>
                <c:pt idx="8">
                  <c:v>0.5</c:v>
                </c:pt>
              </c:numCache>
            </c:numRef>
          </c:yVal>
          <c:smooth val="1"/>
        </c:ser>
        <c:axId val="183280384"/>
        <c:axId val="183282304"/>
      </c:scatterChart>
      <c:valAx>
        <c:axId val="183280384"/>
        <c:scaling>
          <c:orientation val="minMax"/>
          <c:max val="60"/>
        </c:scaling>
        <c:axPos val="b"/>
        <c:title>
          <c:tx>
            <c:rich>
              <a:bodyPr/>
              <a:lstStyle/>
              <a:p>
                <a:pPr>
                  <a:defRPr sz="900" b="0" i="0" u="none" strike="noStrike" baseline="0">
                    <a:solidFill>
                      <a:srgbClr val="000000"/>
                    </a:solidFill>
                    <a:latin typeface="Arial"/>
                    <a:ea typeface="Arial"/>
                    <a:cs typeface="Arial"/>
                  </a:defRPr>
                </a:pPr>
                <a:r>
                  <a:rPr lang="en-AU" sz="900"/>
                  <a:t>Increase in landfill price</a:t>
                </a:r>
              </a:p>
            </c:rich>
          </c:tx>
          <c:layout>
            <c:manualLayout>
              <c:xMode val="edge"/>
              <c:yMode val="edge"/>
              <c:x val="0.36804489766312481"/>
              <c:y val="0.94594175441323858"/>
            </c:manualLayout>
          </c:layout>
          <c:spPr>
            <a:noFill/>
            <a:ln w="25400">
              <a:noFill/>
            </a:ln>
          </c:spPr>
        </c:title>
        <c:numFmt formatCode="&quot;$&quot;#,##0" sourceLinked="1"/>
        <c:tickLblPos val="nextTo"/>
        <c:spPr>
          <a:ln w="3175">
            <a:solidFill>
              <a:srgbClr val="80808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83282304"/>
        <c:crosses val="autoZero"/>
        <c:crossBetween val="midCat"/>
      </c:valAx>
      <c:valAx>
        <c:axId val="183282304"/>
        <c:scaling>
          <c:orientation val="minMax"/>
          <c:max val="1.1000000000000001"/>
          <c:min val="0.4"/>
        </c:scaling>
        <c:axPos val="l"/>
        <c:majorGridlines>
          <c:spPr>
            <a:ln w="3175">
              <a:solidFill>
                <a:schemeClr val="bg1">
                  <a:lumMod val="50000"/>
                </a:schemeClr>
              </a:solidFill>
              <a:prstDash val="solid"/>
            </a:ln>
          </c:spPr>
        </c:majorGridlines>
        <c:title>
          <c:tx>
            <c:rich>
              <a:bodyPr/>
              <a:lstStyle/>
              <a:p>
                <a:pPr>
                  <a:defRPr sz="900" b="0" i="0" u="none" strike="noStrike" baseline="0">
                    <a:solidFill>
                      <a:srgbClr val="000000"/>
                    </a:solidFill>
                    <a:latin typeface="Arial"/>
                    <a:ea typeface="Arial"/>
                    <a:cs typeface="Arial"/>
                  </a:defRPr>
                </a:pPr>
                <a:r>
                  <a:rPr lang="en-AU" sz="900"/>
                  <a:t>Proportion of current landfilled material to landfill</a:t>
                </a:r>
              </a:p>
            </c:rich>
          </c:tx>
          <c:layout>
            <c:manualLayout>
              <c:xMode val="edge"/>
              <c:yMode val="edge"/>
              <c:x val="4.4223039205337831E-4"/>
              <c:y val="0.16421624380286265"/>
            </c:manualLayout>
          </c:layout>
          <c:spPr>
            <a:noFill/>
            <a:ln w="25400">
              <a:noFill/>
            </a:ln>
          </c:spPr>
        </c:title>
        <c:numFmt formatCode="0%" sourceLinked="1"/>
        <c:tickLblPos val="nextTo"/>
        <c:spPr>
          <a:ln w="9525">
            <a:noFill/>
          </a:ln>
        </c:spPr>
        <c:txPr>
          <a:bodyPr rot="0" vert="horz"/>
          <a:lstStyle/>
          <a:p>
            <a:pPr>
              <a:defRPr sz="900" b="0" i="0" u="none" strike="noStrike" baseline="0">
                <a:solidFill>
                  <a:srgbClr val="000000"/>
                </a:solidFill>
                <a:latin typeface="Arial"/>
                <a:ea typeface="Arial"/>
                <a:cs typeface="Arial"/>
              </a:defRPr>
            </a:pPr>
            <a:endParaRPr lang="en-US"/>
          </a:p>
        </c:txPr>
        <c:crossAx val="183280384"/>
        <c:crosses val="autoZero"/>
        <c:crossBetween val="midCat"/>
        <c:majorUnit val="0.2"/>
      </c:valAx>
      <c:spPr>
        <a:noFill/>
        <a:ln w="25400">
          <a:noFill/>
        </a:ln>
      </c:spPr>
    </c:plotArea>
    <c:legend>
      <c:legendPos val="r"/>
      <c:layout>
        <c:manualLayout>
          <c:xMode val="edge"/>
          <c:yMode val="edge"/>
          <c:x val="0.18952384022621541"/>
          <c:y val="0.453147355801231"/>
          <c:w val="0.20601870774341541"/>
          <c:h val="0.25393714154731423"/>
        </c:manualLayout>
      </c:layout>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2621214555292537"/>
          <c:y val="2.1232558363917232E-2"/>
          <c:w val="0.69833921992734249"/>
          <c:h val="0.90702097071964349"/>
        </c:manualLayout>
      </c:layout>
      <c:lineChart>
        <c:grouping val="standard"/>
        <c:ser>
          <c:idx val="0"/>
          <c:order val="0"/>
          <c:tx>
            <c:strRef>
              <c:f>'W&amp;R report - S4.1'!$B$81</c:f>
              <c:strCache>
                <c:ptCount val="1"/>
                <c:pt idx="0">
                  <c:v>NSW</c:v>
                </c:pt>
              </c:strCache>
            </c:strRef>
          </c:tx>
          <c:spPr>
            <a:ln>
              <a:solidFill>
                <a:srgbClr val="00519E"/>
              </a:solidFill>
            </a:ln>
          </c:spPr>
          <c:marker>
            <c:symbol val="none"/>
          </c:marker>
          <c:cat>
            <c:strRef>
              <c:f>'W&amp;R report - S4.1'!$F$78:$L$78</c:f>
              <c:strCache>
                <c:ptCount val="7"/>
                <c:pt idx="0">
                  <c:v>02-03</c:v>
                </c:pt>
                <c:pt idx="1">
                  <c:v>03-04</c:v>
                </c:pt>
                <c:pt idx="2">
                  <c:v>04-05</c:v>
                </c:pt>
                <c:pt idx="3">
                  <c:v>05-06</c:v>
                </c:pt>
                <c:pt idx="4">
                  <c:v>06-07</c:v>
                </c:pt>
                <c:pt idx="5">
                  <c:v>07-08</c:v>
                </c:pt>
                <c:pt idx="6">
                  <c:v>08-09</c:v>
                </c:pt>
              </c:strCache>
            </c:strRef>
          </c:cat>
          <c:val>
            <c:numRef>
              <c:f>'W&amp;R report - S4.1'!$F$81:$L$81</c:f>
              <c:numCache>
                <c:formatCode>#,##0</c:formatCode>
                <c:ptCount val="7"/>
                <c:pt idx="0">
                  <c:v>950.30750488154536</c:v>
                </c:pt>
                <c:pt idx="1">
                  <c:v>979.3693636425694</c:v>
                </c:pt>
                <c:pt idx="2">
                  <c:v>1008.4312224035892</c:v>
                </c:pt>
                <c:pt idx="3">
                  <c:v>1037.4930811646161</c:v>
                </c:pt>
                <c:pt idx="4">
                  <c:v>1066.5549399256358</c:v>
                </c:pt>
                <c:pt idx="5">
                  <c:v>1000.8164774893754</c:v>
                </c:pt>
                <c:pt idx="6">
                  <c:v>935.0780150531167</c:v>
                </c:pt>
              </c:numCache>
            </c:numRef>
          </c:val>
        </c:ser>
        <c:ser>
          <c:idx val="1"/>
          <c:order val="1"/>
          <c:tx>
            <c:strRef>
              <c:f>'W&amp;R report - S4.1'!$B$82</c:f>
              <c:strCache>
                <c:ptCount val="1"/>
                <c:pt idx="0">
                  <c:v>Vic</c:v>
                </c:pt>
              </c:strCache>
            </c:strRef>
          </c:tx>
          <c:spPr>
            <a:ln>
              <a:solidFill>
                <a:srgbClr val="009EE0"/>
              </a:solidFill>
            </a:ln>
          </c:spPr>
          <c:marker>
            <c:symbol val="none"/>
          </c:marker>
          <c:cat>
            <c:strRef>
              <c:f>'W&amp;R report - S4.1'!$F$78:$L$78</c:f>
              <c:strCache>
                <c:ptCount val="7"/>
                <c:pt idx="0">
                  <c:v>02-03</c:v>
                </c:pt>
                <c:pt idx="1">
                  <c:v>03-04</c:v>
                </c:pt>
                <c:pt idx="2">
                  <c:v>04-05</c:v>
                </c:pt>
                <c:pt idx="3">
                  <c:v>05-06</c:v>
                </c:pt>
                <c:pt idx="4">
                  <c:v>06-07</c:v>
                </c:pt>
                <c:pt idx="5">
                  <c:v>07-08</c:v>
                </c:pt>
                <c:pt idx="6">
                  <c:v>08-09</c:v>
                </c:pt>
              </c:strCache>
            </c:strRef>
          </c:cat>
          <c:val>
            <c:numRef>
              <c:f>'W&amp;R report - S4.1'!$F$82:$L$82</c:f>
              <c:numCache>
                <c:formatCode>#,##0</c:formatCode>
                <c:ptCount val="7"/>
                <c:pt idx="0">
                  <c:v>849.1239437106035</c:v>
                </c:pt>
                <c:pt idx="1">
                  <c:v>824.77438686875894</c:v>
                </c:pt>
                <c:pt idx="2">
                  <c:v>800.42483002690994</c:v>
                </c:pt>
                <c:pt idx="3">
                  <c:v>776.07527318506288</c:v>
                </c:pt>
                <c:pt idx="4">
                  <c:v>751.7257163432165</c:v>
                </c:pt>
                <c:pt idx="5">
                  <c:v>812.1242675125369</c:v>
                </c:pt>
                <c:pt idx="6">
                  <c:v>872.5228186818573</c:v>
                </c:pt>
              </c:numCache>
            </c:numRef>
          </c:val>
        </c:ser>
        <c:ser>
          <c:idx val="2"/>
          <c:order val="2"/>
          <c:tx>
            <c:strRef>
              <c:f>'W&amp;R report - S4.1'!$B$83</c:f>
              <c:strCache>
                <c:ptCount val="1"/>
                <c:pt idx="0">
                  <c:v>Qld</c:v>
                </c:pt>
              </c:strCache>
            </c:strRef>
          </c:tx>
          <c:spPr>
            <a:ln>
              <a:solidFill>
                <a:srgbClr val="26A232"/>
              </a:solidFill>
            </a:ln>
          </c:spPr>
          <c:marker>
            <c:symbol val="none"/>
          </c:marker>
          <c:cat>
            <c:strRef>
              <c:f>'W&amp;R report - S4.1'!$F$78:$L$78</c:f>
              <c:strCache>
                <c:ptCount val="7"/>
                <c:pt idx="0">
                  <c:v>02-03</c:v>
                </c:pt>
                <c:pt idx="1">
                  <c:v>03-04</c:v>
                </c:pt>
                <c:pt idx="2">
                  <c:v>04-05</c:v>
                </c:pt>
                <c:pt idx="3">
                  <c:v>05-06</c:v>
                </c:pt>
                <c:pt idx="4">
                  <c:v>06-07</c:v>
                </c:pt>
                <c:pt idx="5">
                  <c:v>07-08</c:v>
                </c:pt>
                <c:pt idx="6">
                  <c:v>08-09</c:v>
                </c:pt>
              </c:strCache>
            </c:strRef>
          </c:cat>
          <c:val>
            <c:numRef>
              <c:f>'W&amp;R report - S4.1'!$F$83:$L$83</c:f>
              <c:numCache>
                <c:formatCode>#,##0</c:formatCode>
                <c:ptCount val="7"/>
                <c:pt idx="0">
                  <c:v>714.56736219072752</c:v>
                </c:pt>
                <c:pt idx="1">
                  <c:v>789.38234139509132</c:v>
                </c:pt>
                <c:pt idx="2">
                  <c:v>864.1973205994525</c:v>
                </c:pt>
                <c:pt idx="3">
                  <c:v>939.01229980381186</c:v>
                </c:pt>
                <c:pt idx="4">
                  <c:v>1013.8272790081744</c:v>
                </c:pt>
                <c:pt idx="5">
                  <c:v>1086.3897267236662</c:v>
                </c:pt>
                <c:pt idx="6">
                  <c:v>1158.9521744391577</c:v>
                </c:pt>
              </c:numCache>
            </c:numRef>
          </c:val>
        </c:ser>
        <c:ser>
          <c:idx val="3"/>
          <c:order val="3"/>
          <c:tx>
            <c:strRef>
              <c:f>'W&amp;R report - S4.1'!$B$84</c:f>
              <c:strCache>
                <c:ptCount val="1"/>
                <c:pt idx="0">
                  <c:v>SA</c:v>
                </c:pt>
              </c:strCache>
            </c:strRef>
          </c:tx>
          <c:spPr>
            <a:ln>
              <a:solidFill>
                <a:srgbClr val="F9B204"/>
              </a:solidFill>
            </a:ln>
          </c:spPr>
          <c:marker>
            <c:symbol val="none"/>
          </c:marker>
          <c:cat>
            <c:strRef>
              <c:f>'W&amp;R report - S4.1'!$F$78:$L$78</c:f>
              <c:strCache>
                <c:ptCount val="7"/>
                <c:pt idx="0">
                  <c:v>02-03</c:v>
                </c:pt>
                <c:pt idx="1">
                  <c:v>03-04</c:v>
                </c:pt>
                <c:pt idx="2">
                  <c:v>04-05</c:v>
                </c:pt>
                <c:pt idx="3">
                  <c:v>05-06</c:v>
                </c:pt>
                <c:pt idx="4">
                  <c:v>06-07</c:v>
                </c:pt>
                <c:pt idx="5">
                  <c:v>07-08</c:v>
                </c:pt>
                <c:pt idx="6">
                  <c:v>08-09</c:v>
                </c:pt>
              </c:strCache>
            </c:strRef>
          </c:cat>
          <c:val>
            <c:numRef>
              <c:f>'W&amp;R report - S4.1'!$F$84:$L$84</c:f>
              <c:numCache>
                <c:formatCode>#,##0</c:formatCode>
                <c:ptCount val="7"/>
                <c:pt idx="0">
                  <c:v>833.90344535740803</c:v>
                </c:pt>
                <c:pt idx="1">
                  <c:v>805.84650980538743</c:v>
                </c:pt>
                <c:pt idx="2">
                  <c:v>777.78957425337489</c:v>
                </c:pt>
                <c:pt idx="3">
                  <c:v>749.7326387013544</c:v>
                </c:pt>
                <c:pt idx="4">
                  <c:v>721.67570314933914</c:v>
                </c:pt>
                <c:pt idx="5">
                  <c:v>684.30087764094856</c:v>
                </c:pt>
                <c:pt idx="6">
                  <c:v>646.92605213255843</c:v>
                </c:pt>
              </c:numCache>
            </c:numRef>
          </c:val>
        </c:ser>
        <c:ser>
          <c:idx val="4"/>
          <c:order val="4"/>
          <c:tx>
            <c:strRef>
              <c:f>'W&amp;R report - S4.1'!$B$85</c:f>
              <c:strCache>
                <c:ptCount val="1"/>
                <c:pt idx="0">
                  <c:v>WA</c:v>
                </c:pt>
              </c:strCache>
            </c:strRef>
          </c:tx>
          <c:spPr>
            <a:ln>
              <a:solidFill>
                <a:srgbClr val="ED7906"/>
              </a:solidFill>
            </a:ln>
          </c:spPr>
          <c:marker>
            <c:symbol val="none"/>
          </c:marker>
          <c:cat>
            <c:strRef>
              <c:f>'W&amp;R report - S4.1'!$F$78:$L$78</c:f>
              <c:strCache>
                <c:ptCount val="7"/>
                <c:pt idx="0">
                  <c:v>02-03</c:v>
                </c:pt>
                <c:pt idx="1">
                  <c:v>03-04</c:v>
                </c:pt>
                <c:pt idx="2">
                  <c:v>04-05</c:v>
                </c:pt>
                <c:pt idx="3">
                  <c:v>05-06</c:v>
                </c:pt>
                <c:pt idx="4">
                  <c:v>06-07</c:v>
                </c:pt>
                <c:pt idx="5">
                  <c:v>07-08</c:v>
                </c:pt>
                <c:pt idx="6">
                  <c:v>08-09</c:v>
                </c:pt>
              </c:strCache>
            </c:strRef>
          </c:cat>
          <c:val>
            <c:numRef>
              <c:f>'W&amp;R report - S4.1'!$F$85:$L$85</c:f>
              <c:numCache>
                <c:formatCode>#,##0</c:formatCode>
                <c:ptCount val="7"/>
                <c:pt idx="0">
                  <c:v>1380.1942582703073</c:v>
                </c:pt>
                <c:pt idx="1">
                  <c:v>1453.89276284023</c:v>
                </c:pt>
                <c:pt idx="2">
                  <c:v>1527.5912674101455</c:v>
                </c:pt>
                <c:pt idx="3">
                  <c:v>1601.2897719800656</c:v>
                </c:pt>
                <c:pt idx="4">
                  <c:v>1674.9882765499779</c:v>
                </c:pt>
                <c:pt idx="5">
                  <c:v>1751.1425540863358</c:v>
                </c:pt>
                <c:pt idx="6">
                  <c:v>1827.2968316226961</c:v>
                </c:pt>
              </c:numCache>
            </c:numRef>
          </c:val>
        </c:ser>
        <c:ser>
          <c:idx val="5"/>
          <c:order val="5"/>
          <c:tx>
            <c:strRef>
              <c:f>'W&amp;R report - S4.1'!$B$86</c:f>
              <c:strCache>
                <c:ptCount val="1"/>
                <c:pt idx="0">
                  <c:v>Tas</c:v>
                </c:pt>
              </c:strCache>
            </c:strRef>
          </c:tx>
          <c:spPr>
            <a:ln>
              <a:solidFill>
                <a:srgbClr val="AA072A"/>
              </a:solidFill>
            </a:ln>
          </c:spPr>
          <c:marker>
            <c:symbol val="none"/>
          </c:marker>
          <c:cat>
            <c:strRef>
              <c:f>'W&amp;R report - S4.1'!$F$78:$L$78</c:f>
              <c:strCache>
                <c:ptCount val="7"/>
                <c:pt idx="0">
                  <c:v>02-03</c:v>
                </c:pt>
                <c:pt idx="1">
                  <c:v>03-04</c:v>
                </c:pt>
                <c:pt idx="2">
                  <c:v>04-05</c:v>
                </c:pt>
                <c:pt idx="3">
                  <c:v>05-06</c:v>
                </c:pt>
                <c:pt idx="4">
                  <c:v>06-07</c:v>
                </c:pt>
                <c:pt idx="5">
                  <c:v>07-08</c:v>
                </c:pt>
                <c:pt idx="6">
                  <c:v>08-09</c:v>
                </c:pt>
              </c:strCache>
            </c:strRef>
          </c:cat>
          <c:val>
            <c:numRef>
              <c:f>'W&amp;R report - S4.1'!$F$86:$L$86</c:f>
              <c:numCache>
                <c:formatCode>General</c:formatCode>
                <c:ptCount val="7"/>
                <c:pt idx="4" formatCode="#,##0">
                  <c:v>1299.2412875807981</c:v>
                </c:pt>
                <c:pt idx="5" formatCode="#,##0">
                  <c:v>1095.7468090187933</c:v>
                </c:pt>
                <c:pt idx="6" formatCode="#,##0">
                  <c:v>892.25233045678863</c:v>
                </c:pt>
              </c:numCache>
            </c:numRef>
          </c:val>
        </c:ser>
        <c:ser>
          <c:idx val="6"/>
          <c:order val="6"/>
          <c:tx>
            <c:strRef>
              <c:f>'W&amp;R report - S4.1'!$B$87</c:f>
              <c:strCache>
                <c:ptCount val="1"/>
                <c:pt idx="0">
                  <c:v>ACT</c:v>
                </c:pt>
              </c:strCache>
            </c:strRef>
          </c:tx>
          <c:spPr>
            <a:ln>
              <a:solidFill>
                <a:srgbClr val="620038"/>
              </a:solidFill>
            </a:ln>
          </c:spPr>
          <c:marker>
            <c:symbol val="none"/>
          </c:marker>
          <c:cat>
            <c:strRef>
              <c:f>'W&amp;R report - S4.1'!$F$78:$L$78</c:f>
              <c:strCache>
                <c:ptCount val="7"/>
                <c:pt idx="0">
                  <c:v>02-03</c:v>
                </c:pt>
                <c:pt idx="1">
                  <c:v>03-04</c:v>
                </c:pt>
                <c:pt idx="2">
                  <c:v>04-05</c:v>
                </c:pt>
                <c:pt idx="3">
                  <c:v>05-06</c:v>
                </c:pt>
                <c:pt idx="4">
                  <c:v>06-07</c:v>
                </c:pt>
                <c:pt idx="5">
                  <c:v>07-08</c:v>
                </c:pt>
                <c:pt idx="6">
                  <c:v>08-09</c:v>
                </c:pt>
              </c:strCache>
            </c:strRef>
          </c:cat>
          <c:val>
            <c:numRef>
              <c:f>'W&amp;R report - S4.1'!$F$87:$L$87</c:f>
              <c:numCache>
                <c:formatCode>#,##0</c:formatCode>
                <c:ptCount val="7"/>
                <c:pt idx="0">
                  <c:v>635.83603808868759</c:v>
                </c:pt>
                <c:pt idx="1">
                  <c:v>621.59384760397052</c:v>
                </c:pt>
                <c:pt idx="2">
                  <c:v>607.35165711925094</c:v>
                </c:pt>
                <c:pt idx="3">
                  <c:v>593.10946663453524</c:v>
                </c:pt>
                <c:pt idx="4">
                  <c:v>578.86727614981749</c:v>
                </c:pt>
                <c:pt idx="5">
                  <c:v>580.7142189499591</c:v>
                </c:pt>
                <c:pt idx="6">
                  <c:v>582.56116175009947</c:v>
                </c:pt>
              </c:numCache>
            </c:numRef>
          </c:val>
        </c:ser>
        <c:ser>
          <c:idx val="7"/>
          <c:order val="7"/>
          <c:tx>
            <c:strRef>
              <c:f>'W&amp;R report - S4.1'!$B$88</c:f>
              <c:strCache>
                <c:ptCount val="1"/>
                <c:pt idx="0">
                  <c:v>NT</c:v>
                </c:pt>
              </c:strCache>
            </c:strRef>
          </c:tx>
          <c:spPr>
            <a:ln>
              <a:solidFill>
                <a:srgbClr val="495F70"/>
              </a:solidFill>
            </a:ln>
          </c:spPr>
          <c:marker>
            <c:symbol val="none"/>
          </c:marker>
          <c:cat>
            <c:strRef>
              <c:f>'W&amp;R report - S4.1'!$F$78:$L$78</c:f>
              <c:strCache>
                <c:ptCount val="7"/>
                <c:pt idx="0">
                  <c:v>02-03</c:v>
                </c:pt>
                <c:pt idx="1">
                  <c:v>03-04</c:v>
                </c:pt>
                <c:pt idx="2">
                  <c:v>04-05</c:v>
                </c:pt>
                <c:pt idx="3">
                  <c:v>05-06</c:v>
                </c:pt>
                <c:pt idx="4">
                  <c:v>06-07</c:v>
                </c:pt>
                <c:pt idx="5">
                  <c:v>07-08</c:v>
                </c:pt>
                <c:pt idx="6">
                  <c:v>08-09</c:v>
                </c:pt>
              </c:strCache>
            </c:strRef>
          </c:cat>
          <c:val>
            <c:numRef>
              <c:f>'W&amp;R report - S4.1'!$F$88:$L$88</c:f>
              <c:numCache>
                <c:formatCode>General</c:formatCode>
                <c:ptCount val="7"/>
                <c:pt idx="4" formatCode="#,##0">
                  <c:v>1680.6018509897401</c:v>
                </c:pt>
                <c:pt idx="5" formatCode="#,##0">
                  <c:v>1646.2784550188608</c:v>
                </c:pt>
                <c:pt idx="6" formatCode="#,##0">
                  <c:v>1611.9550590479867</c:v>
                </c:pt>
              </c:numCache>
            </c:numRef>
          </c:val>
        </c:ser>
        <c:ser>
          <c:idx val="8"/>
          <c:order val="8"/>
          <c:tx>
            <c:strRef>
              <c:f>'W&amp;R report - S4.1'!$B$89</c:f>
              <c:strCache>
                <c:ptCount val="1"/>
                <c:pt idx="0">
                  <c:v>National</c:v>
                </c:pt>
              </c:strCache>
            </c:strRef>
          </c:tx>
          <c:spPr>
            <a:ln>
              <a:solidFill>
                <a:schemeClr val="tx1"/>
              </a:solidFill>
              <a:prstDash val="sysDash"/>
            </a:ln>
          </c:spPr>
          <c:marker>
            <c:symbol val="none"/>
          </c:marker>
          <c:cat>
            <c:strRef>
              <c:f>'W&amp;R report - S4.1'!$F$78:$L$78</c:f>
              <c:strCache>
                <c:ptCount val="7"/>
                <c:pt idx="0">
                  <c:v>02-03</c:v>
                </c:pt>
                <c:pt idx="1">
                  <c:v>03-04</c:v>
                </c:pt>
                <c:pt idx="2">
                  <c:v>04-05</c:v>
                </c:pt>
                <c:pt idx="3">
                  <c:v>05-06</c:v>
                </c:pt>
                <c:pt idx="4">
                  <c:v>06-07</c:v>
                </c:pt>
                <c:pt idx="5">
                  <c:v>07-08</c:v>
                </c:pt>
                <c:pt idx="6">
                  <c:v>08-09</c:v>
                </c:pt>
              </c:strCache>
            </c:strRef>
          </c:cat>
          <c:val>
            <c:numRef>
              <c:f>'W&amp;R report - S4.1'!$F$89:$L$89</c:f>
              <c:numCache>
                <c:formatCode>#,##0</c:formatCode>
                <c:ptCount val="7"/>
                <c:pt idx="0">
                  <c:v>906.73700650289595</c:v>
                </c:pt>
                <c:pt idx="1">
                  <c:v>934.28004494390302</c:v>
                </c:pt>
                <c:pt idx="2">
                  <c:v>961.82308338490748</c:v>
                </c:pt>
                <c:pt idx="3">
                  <c:v>989.36612182590989</c:v>
                </c:pt>
                <c:pt idx="4">
                  <c:v>1016.9091602669199</c:v>
                </c:pt>
                <c:pt idx="5">
                  <c:v>1025.8766459906701</c:v>
                </c:pt>
                <c:pt idx="6">
                  <c:v>1034.8441317144177</c:v>
                </c:pt>
              </c:numCache>
            </c:numRef>
          </c:val>
        </c:ser>
        <c:marker val="1"/>
        <c:axId val="181367552"/>
        <c:axId val="181369088"/>
      </c:lineChart>
      <c:catAx>
        <c:axId val="181367552"/>
        <c:scaling>
          <c:orientation val="minMax"/>
        </c:scaling>
        <c:axPos val="b"/>
        <c:numFmt formatCode="@"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81369088"/>
        <c:crosses val="autoZero"/>
        <c:auto val="1"/>
        <c:lblAlgn val="ctr"/>
        <c:lblOffset val="100"/>
      </c:catAx>
      <c:valAx>
        <c:axId val="181369088"/>
        <c:scaling>
          <c:orientation val="minMax"/>
        </c:scaling>
        <c:axPos val="l"/>
        <c:majorGridlines/>
        <c:title>
          <c:tx>
            <c:rich>
              <a:bodyPr/>
              <a:lstStyle/>
              <a:p>
                <a:pPr>
                  <a:defRPr sz="800" b="0" i="0" u="none" strike="noStrike" baseline="0">
                    <a:solidFill>
                      <a:srgbClr val="333333"/>
                    </a:solidFill>
                    <a:latin typeface="Arial"/>
                    <a:ea typeface="Arial"/>
                    <a:cs typeface="Arial"/>
                  </a:defRPr>
                </a:pPr>
                <a:r>
                  <a:rPr lang="en-AU"/>
                  <a:t>kg per capita</a:t>
                </a:r>
              </a:p>
            </c:rich>
          </c:tx>
          <c:layout>
            <c:manualLayout>
              <c:xMode val="edge"/>
              <c:yMode val="edge"/>
              <c:x val="6.5520856858367136E-4"/>
              <c:y val="0.33564962452593716"/>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81367552"/>
        <c:crosses val="autoZero"/>
        <c:crossBetween val="between"/>
      </c:valAx>
    </c:plotArea>
    <c:legend>
      <c:legendPos val="r"/>
      <c:layout>
        <c:manualLayout>
          <c:xMode val="edge"/>
          <c:yMode val="edge"/>
          <c:x val="0.84111686965132859"/>
          <c:y val="0.23127844834441091"/>
          <c:w val="0.15888313034867121"/>
          <c:h val="0.5374427706063245"/>
        </c:manualLayout>
      </c:layout>
      <c:txPr>
        <a:bodyPr/>
        <a:lstStyle/>
        <a:p>
          <a:pPr>
            <a:defRPr sz="735"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'W&amp;R report - S4.1'!$I$147:$I$148</c:f>
              <c:strCache>
                <c:ptCount val="1"/>
                <c:pt idx="0">
                  <c:v>Per tonne GSP $GSP/tonne</c:v>
                </c:pt>
              </c:strCache>
            </c:strRef>
          </c:tx>
          <c:dLbls>
            <c:dLbl>
              <c:idx val="1"/>
              <c:layout>
                <c:manualLayout>
                  <c:x val="4.9180324694699578E-3"/>
                  <c:y val="-1.2117129709580099E-2"/>
                </c:manualLayout>
              </c:layout>
              <c:dLblPos val="outEnd"/>
              <c:showVal val="1"/>
            </c:dLbl>
            <c:dLbl>
              <c:idx val="2"/>
              <c:layout>
                <c:manualLayout>
                  <c:x val="4.5081443518792526E-17"/>
                  <c:y val="1.2117129709580099E-2"/>
                </c:manualLayout>
              </c:layout>
              <c:dLblPos val="outEnd"/>
              <c:showVal val="1"/>
            </c:dLbl>
            <c:txPr>
              <a:bodyPr/>
              <a:lstStyle/>
              <a:p>
                <a:pPr>
                  <a:defRPr sz="900"/>
                </a:pPr>
                <a:endParaRPr lang="en-US"/>
              </a:p>
            </c:txPr>
            <c:dLblPos val="outEnd"/>
            <c:showVal val="1"/>
          </c:dLbls>
          <c:cat>
            <c:strRef>
              <c:f>'W&amp;R report - S4.1'!$F$149:$F$157</c:f>
              <c:strCache>
                <c:ptCount val="9"/>
                <c:pt idx="0">
                  <c:v>NSW</c:v>
                </c:pt>
                <c:pt idx="1">
                  <c:v>Vic</c:v>
                </c:pt>
                <c:pt idx="2">
                  <c:v>Qld</c:v>
                </c:pt>
                <c:pt idx="3">
                  <c:v>SA</c:v>
                </c:pt>
                <c:pt idx="4">
                  <c:v>WA</c:v>
                </c:pt>
                <c:pt idx="5">
                  <c:v>Tas</c:v>
                </c:pt>
                <c:pt idx="6">
                  <c:v>ACT</c:v>
                </c:pt>
                <c:pt idx="7">
                  <c:v>NT</c:v>
                </c:pt>
                <c:pt idx="8">
                  <c:v>National</c:v>
                </c:pt>
              </c:strCache>
            </c:strRef>
          </c:cat>
          <c:val>
            <c:numRef>
              <c:f>'W&amp;R report - S4.1'!$I$149:$I$157</c:f>
              <c:numCache>
                <c:formatCode>_-"$"* #,##0_-;\-"$"* #,##0_-;_-"$"* "-"??_-;_-@_-</c:formatCode>
                <c:ptCount val="9"/>
                <c:pt idx="0">
                  <c:v>24200</c:v>
                </c:pt>
                <c:pt idx="1">
                  <c:v>27900</c:v>
                </c:pt>
                <c:pt idx="2">
                  <c:v>27100</c:v>
                </c:pt>
                <c:pt idx="3">
                  <c:v>23200</c:v>
                </c:pt>
                <c:pt idx="4">
                  <c:v>30100</c:v>
                </c:pt>
                <c:pt idx="5">
                  <c:v>41600</c:v>
                </c:pt>
                <c:pt idx="6">
                  <c:v>32500</c:v>
                </c:pt>
                <c:pt idx="7">
                  <c:v>43700</c:v>
                </c:pt>
                <c:pt idx="8">
                  <c:v>26800</c:v>
                </c:pt>
              </c:numCache>
            </c:numRef>
          </c:val>
        </c:ser>
        <c:axId val="181389568"/>
        <c:axId val="169807872"/>
      </c:barChart>
      <c:catAx>
        <c:axId val="181389568"/>
        <c:scaling>
          <c:orientation val="minMax"/>
        </c:scaling>
        <c:axPos val="b"/>
        <c:majorTickMark val="none"/>
        <c:tickLblPos val="nextTo"/>
        <c:crossAx val="169807872"/>
        <c:crosses val="autoZero"/>
        <c:auto val="1"/>
        <c:lblAlgn val="ctr"/>
        <c:lblOffset val="100"/>
      </c:catAx>
      <c:valAx>
        <c:axId val="169807872"/>
        <c:scaling>
          <c:orientation val="minMax"/>
        </c:scaling>
        <c:axPos val="l"/>
        <c:majorGridlines/>
        <c:numFmt formatCode="_-&quot;$&quot;* #,##0_-;\-&quot;$&quot;* #,##0_-;_-&quot;$&quot;* &quot;-&quot;??_-;_-@_-" sourceLinked="1"/>
        <c:tickLblPos val="nextTo"/>
        <c:crossAx val="181389568"/>
        <c:crosses val="autoZero"/>
        <c:crossBetween val="between"/>
        <c:majorUnit val="10000"/>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3886376557178026"/>
          <c:y val="2.2227849212300796E-2"/>
          <c:w val="0.86113623442821974"/>
          <c:h val="0.90266251445882961"/>
        </c:manualLayout>
      </c:layout>
      <c:barChart>
        <c:barDir val="col"/>
        <c:grouping val="stacked"/>
        <c:ser>
          <c:idx val="0"/>
          <c:order val="0"/>
          <c:tx>
            <c:strRef>
              <c:f>'W&amp;R report - S4.2 (NSW)'!$I$14</c:f>
              <c:strCache>
                <c:ptCount val="1"/>
                <c:pt idx="0">
                  <c:v>Disposal</c:v>
                </c:pt>
              </c:strCache>
            </c:strRef>
          </c:tx>
          <c:spPr>
            <a:solidFill>
              <a:srgbClr val="AA072A"/>
            </a:solidFill>
          </c:spPr>
          <c:dLbls>
            <c:txPr>
              <a:bodyPr/>
              <a:lstStyle/>
              <a:p>
                <a:pPr>
                  <a:defRPr sz="800" b="0" i="0" u="none" strike="noStrike" baseline="0">
                    <a:solidFill>
                      <a:srgbClr val="FFFFFF"/>
                    </a:solidFill>
                    <a:latin typeface="Arial"/>
                    <a:ea typeface="Arial"/>
                    <a:cs typeface="Arial"/>
                  </a:defRPr>
                </a:pPr>
                <a:endParaRPr lang="en-US"/>
              </a:p>
            </c:txPr>
            <c:dLblPos val="ctr"/>
            <c:showVal val="1"/>
          </c:dLbls>
          <c:cat>
            <c:strRef>
              <c:f>'W&amp;R report - S4.2 (NSW)'!$J$12:$M$12</c:f>
              <c:strCache>
                <c:ptCount val="4"/>
                <c:pt idx="0">
                  <c:v>2002-03</c:v>
                </c:pt>
                <c:pt idx="1">
                  <c:v>2006-07</c:v>
                </c:pt>
                <c:pt idx="2">
                  <c:v>2008-09 Subtotal</c:v>
                </c:pt>
                <c:pt idx="3">
                  <c:v>2008-09 Total</c:v>
                </c:pt>
              </c:strCache>
            </c:strRef>
          </c:cat>
          <c:val>
            <c:numRef>
              <c:f>'W&amp;R report - S4.2 (NSW)'!$J$14:$M$14</c:f>
              <c:numCache>
                <c:formatCode>#,##0</c:formatCode>
                <c:ptCount val="4"/>
                <c:pt idx="0">
                  <c:v>6340</c:v>
                </c:pt>
                <c:pt idx="1">
                  <c:v>7360</c:v>
                </c:pt>
                <c:pt idx="2">
                  <c:v>6640</c:v>
                </c:pt>
                <c:pt idx="3">
                  <c:v>10410</c:v>
                </c:pt>
              </c:numCache>
            </c:numRef>
          </c:val>
        </c:ser>
        <c:ser>
          <c:idx val="1"/>
          <c:order val="1"/>
          <c:tx>
            <c:strRef>
              <c:f>'W&amp;R report - S4.2 (NSW)'!$I$15</c:f>
              <c:strCache>
                <c:ptCount val="1"/>
                <c:pt idx="0">
                  <c:v>Recycling</c:v>
                </c:pt>
              </c:strCache>
            </c:strRef>
          </c:tx>
          <c:spPr>
            <a:solidFill>
              <a:srgbClr val="F9B204"/>
            </a:solidFill>
          </c:spPr>
          <c:dLbls>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S4.2 (NSW)'!$J$12:$M$12</c:f>
              <c:strCache>
                <c:ptCount val="4"/>
                <c:pt idx="0">
                  <c:v>2002-03</c:v>
                </c:pt>
                <c:pt idx="1">
                  <c:v>2006-07</c:v>
                </c:pt>
                <c:pt idx="2">
                  <c:v>2008-09 Subtotal</c:v>
                </c:pt>
                <c:pt idx="3">
                  <c:v>2008-09 Total</c:v>
                </c:pt>
              </c:strCache>
            </c:strRef>
          </c:cat>
          <c:val>
            <c:numRef>
              <c:f>'W&amp;R report - S4.2 (NSW)'!$J$15:$M$15</c:f>
              <c:numCache>
                <c:formatCode>#,##0</c:formatCode>
                <c:ptCount val="4"/>
                <c:pt idx="0">
                  <c:v>5830</c:v>
                </c:pt>
                <c:pt idx="1">
                  <c:v>8000</c:v>
                </c:pt>
                <c:pt idx="2">
                  <c:v>9560</c:v>
                </c:pt>
                <c:pt idx="3">
                  <c:v>10260</c:v>
                </c:pt>
              </c:numCache>
            </c:numRef>
          </c:val>
        </c:ser>
        <c:ser>
          <c:idx val="2"/>
          <c:order val="2"/>
          <c:tx>
            <c:strRef>
              <c:f>'W&amp;R report - S4.2 (NSW)'!$I$16</c:f>
              <c:strCache>
                <c:ptCount val="1"/>
                <c:pt idx="0">
                  <c:v>Energy recovery</c:v>
                </c:pt>
              </c:strCache>
            </c:strRef>
          </c:tx>
          <c:spPr>
            <a:solidFill>
              <a:srgbClr val="ED7906"/>
            </a:solidFill>
          </c:spPr>
          <c:dLbls>
            <c:dLbl>
              <c:idx val="5"/>
              <c:layout>
                <c:manualLayout>
                  <c:x val="9.0107493090490349E-17"/>
                  <c:y val="-4.0402175764336995E-2"/>
                </c:manualLayout>
              </c:layout>
              <c:dLblPos val="ctr"/>
              <c:showVal val="1"/>
            </c:dLbl>
            <c:dLbl>
              <c:idx val="7"/>
              <c:layout>
                <c:manualLayout>
                  <c:x val="0"/>
                  <c:y val="-4.7333009878154003E-2"/>
                </c:manualLayout>
              </c:layout>
              <c:dLblPos val="ctr"/>
              <c:showVal val="1"/>
            </c:dLbl>
            <c:txPr>
              <a:bodyPr/>
              <a:lstStyle/>
              <a:p>
                <a:pPr>
                  <a:defRPr sz="800" b="0" i="0" u="none" strike="noStrike" baseline="0">
                    <a:solidFill>
                      <a:srgbClr val="333333"/>
                    </a:solidFill>
                    <a:latin typeface="Arial"/>
                    <a:ea typeface="Arial"/>
                    <a:cs typeface="Arial"/>
                  </a:defRPr>
                </a:pPr>
                <a:endParaRPr lang="en-US"/>
              </a:p>
            </c:txPr>
            <c:dLblPos val="ctr"/>
            <c:showVal val="1"/>
          </c:dLbls>
          <c:cat>
            <c:strRef>
              <c:f>'W&amp;R report - S4.2 (NSW)'!$J$12:$M$12</c:f>
              <c:strCache>
                <c:ptCount val="4"/>
                <c:pt idx="0">
                  <c:v>2002-03</c:v>
                </c:pt>
                <c:pt idx="1">
                  <c:v>2006-07</c:v>
                </c:pt>
                <c:pt idx="2">
                  <c:v>2008-09 Subtotal</c:v>
                </c:pt>
                <c:pt idx="3">
                  <c:v>2008-09 Total</c:v>
                </c:pt>
              </c:strCache>
            </c:strRef>
          </c:cat>
          <c:val>
            <c:numRef>
              <c:f>'W&amp;R report - S4.2 (NSW)'!$J$16:$M$16</c:f>
              <c:numCache>
                <c:formatCode>#,##0</c:formatCode>
                <c:ptCount val="4"/>
                <c:pt idx="0">
                  <c:v>0</c:v>
                </c:pt>
                <c:pt idx="1">
                  <c:v>0</c:v>
                </c:pt>
                <c:pt idx="2">
                  <c:v>90</c:v>
                </c:pt>
                <c:pt idx="3">
                  <c:v>90</c:v>
                </c:pt>
              </c:numCache>
            </c:numRef>
          </c:val>
        </c:ser>
        <c:dLbls>
          <c:showVal val="1"/>
        </c:dLbls>
        <c:gapWidth val="100"/>
        <c:overlap val="100"/>
        <c:axId val="169846272"/>
        <c:axId val="169847808"/>
      </c:barChart>
      <c:catAx>
        <c:axId val="169846272"/>
        <c:scaling>
          <c:orientation val="minMax"/>
        </c:scaling>
        <c:axPos val="b"/>
        <c:numFmt formatCode="General" sourceLinked="1"/>
        <c:majorTickMark val="none"/>
        <c:tickLblPos val="nextTo"/>
        <c:txPr>
          <a:bodyPr rot="0" vert="horz"/>
          <a:lstStyle/>
          <a:p>
            <a:pPr>
              <a:defRPr sz="900" b="0" i="0" u="none" strike="noStrike" baseline="0">
                <a:solidFill>
                  <a:srgbClr val="333333"/>
                </a:solidFill>
                <a:latin typeface="Arial"/>
                <a:ea typeface="Arial"/>
                <a:cs typeface="Arial"/>
              </a:defRPr>
            </a:pPr>
            <a:endParaRPr lang="en-US"/>
          </a:p>
        </c:txPr>
        <c:crossAx val="169847808"/>
        <c:crosses val="autoZero"/>
        <c:auto val="1"/>
        <c:lblAlgn val="ctr"/>
        <c:lblOffset val="100"/>
      </c:catAx>
      <c:valAx>
        <c:axId val="169847808"/>
        <c:scaling>
          <c:orientation val="minMax"/>
          <c:max val="25000"/>
        </c:scaling>
        <c:axPos val="l"/>
        <c:title>
          <c:tx>
            <c:rich>
              <a:bodyPr/>
              <a:lstStyle/>
              <a:p>
                <a:pPr>
                  <a:defRPr sz="900" b="0" i="0" u="none" strike="noStrike" baseline="0">
                    <a:solidFill>
                      <a:srgbClr val="333333"/>
                    </a:solidFill>
                    <a:latin typeface="Arial"/>
                    <a:ea typeface="Arial"/>
                    <a:cs typeface="Arial"/>
                  </a:defRPr>
                </a:pPr>
                <a:r>
                  <a:rPr lang="en-AU" sz="900"/>
                  <a:t>'000</a:t>
                </a:r>
                <a:r>
                  <a:rPr lang="en-AU" sz="900" baseline="0"/>
                  <a:t> tonnes</a:t>
                </a:r>
                <a:endParaRPr lang="en-AU" sz="900"/>
              </a:p>
            </c:rich>
          </c:tx>
          <c:layout>
            <c:manualLayout>
              <c:xMode val="edge"/>
              <c:yMode val="edge"/>
              <c:x val="1.3535630539788161E-3"/>
              <c:y val="0.30461954600406888"/>
            </c:manualLayout>
          </c:layout>
        </c:title>
        <c:numFmt formatCode="#,##0" sourceLinked="1"/>
        <c:tickLblPos val="nextTo"/>
        <c:txPr>
          <a:bodyPr rot="0" vert="horz"/>
          <a:lstStyle/>
          <a:p>
            <a:pPr>
              <a:defRPr sz="900" b="0" i="0" u="none" strike="noStrike" baseline="0">
                <a:solidFill>
                  <a:srgbClr val="333333"/>
                </a:solidFill>
                <a:latin typeface="Arial"/>
                <a:ea typeface="Arial"/>
                <a:cs typeface="Arial"/>
              </a:defRPr>
            </a:pPr>
            <a:endParaRPr lang="en-US"/>
          </a:p>
        </c:txPr>
        <c:crossAx val="169846272"/>
        <c:crosses val="autoZero"/>
        <c:crossBetween val="between"/>
        <c:majorUnit val="5000"/>
      </c:valAx>
      <c:spPr>
        <a:ln>
          <a:noFill/>
        </a:ln>
      </c:spPr>
    </c:plotArea>
    <c:legend>
      <c:legendPos val="t"/>
      <c:layout>
        <c:manualLayout>
          <c:xMode val="edge"/>
          <c:yMode val="edge"/>
          <c:x val="0.32149183353515837"/>
          <c:y val="0"/>
          <c:w val="0.43565650807435757"/>
          <c:h val="6.5668251318404938E-2"/>
        </c:manualLayout>
      </c:layout>
      <c:txPr>
        <a:bodyPr/>
        <a:lstStyle/>
        <a:p>
          <a:pPr>
            <a:defRPr sz="800" b="0" i="0" u="none" strike="noStrike" baseline="0">
              <a:solidFill>
                <a:srgbClr val="333333"/>
              </a:solidFill>
              <a:latin typeface="Arial"/>
              <a:ea typeface="Arial"/>
              <a:cs typeface="Arial"/>
            </a:defRPr>
          </a:pPr>
          <a:endParaRPr lang="en-US"/>
        </a:p>
      </c:txPr>
    </c:legend>
    <c:plotVisOnly val="1"/>
    <c:dispBlanksAs val="gap"/>
  </c:chart>
  <c:spPr>
    <a:ln>
      <a:noFill/>
    </a:ln>
  </c:spPr>
  <c:txPr>
    <a:bodyPr/>
    <a:lstStyle/>
    <a:p>
      <a:pPr>
        <a:defRPr sz="800" b="0" i="0" u="none" strike="noStrike" baseline="0">
          <a:solidFill>
            <a:srgbClr val="333333"/>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27523564554286212"/>
          <c:y val="0"/>
        </c:manualLayout>
      </c:layout>
      <c:txPr>
        <a:bodyPr/>
        <a:lstStyle/>
        <a:p>
          <a:pPr>
            <a:defRPr sz="1100"/>
          </a:pPr>
          <a:endParaRPr lang="en-US"/>
        </a:p>
      </c:txPr>
    </c:title>
    <c:plotArea>
      <c:layout>
        <c:manualLayout>
          <c:layoutTarget val="inner"/>
          <c:xMode val="edge"/>
          <c:yMode val="edge"/>
          <c:x val="3.259742393433876E-2"/>
          <c:y val="0.18769835685580477"/>
          <c:w val="0.87494074507219954"/>
          <c:h val="0.51372640679289361"/>
        </c:manualLayout>
      </c:layout>
      <c:pieChart>
        <c:varyColors val="1"/>
        <c:ser>
          <c:idx val="0"/>
          <c:order val="0"/>
          <c:tx>
            <c:strRef>
              <c:f>'W&amp;R report - S4.2 (NSW)'!$G$115</c:f>
              <c:strCache>
                <c:ptCount val="1"/>
                <c:pt idx="0">
                  <c:v>Municipal</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S4.2 (NSW)'!$H$113:$J$114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S4.2 (NSW)'!$H$115:$J$115</c:f>
              <c:numCache>
                <c:formatCode>#,##0</c:formatCode>
                <c:ptCount val="3"/>
                <c:pt idx="0">
                  <c:v>2350</c:v>
                </c:pt>
                <c:pt idx="1">
                  <c:v>1860</c:v>
                </c:pt>
                <c:pt idx="2">
                  <c:v>60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4113789622451054"/>
          <c:y val="0"/>
        </c:manualLayout>
      </c:layout>
      <c:txPr>
        <a:bodyPr/>
        <a:lstStyle/>
        <a:p>
          <a:pPr>
            <a:defRPr sz="1100"/>
          </a:pPr>
          <a:endParaRPr lang="en-US"/>
        </a:p>
      </c:txPr>
    </c:title>
    <c:plotArea>
      <c:layout>
        <c:manualLayout>
          <c:layoutTarget val="inner"/>
          <c:xMode val="edge"/>
          <c:yMode val="edge"/>
          <c:x val="8.0786380545478098E-2"/>
          <c:y val="0.19262316375529134"/>
          <c:w val="0.84200854956630633"/>
          <c:h val="0.50011382529560267"/>
        </c:manualLayout>
      </c:layout>
      <c:pieChart>
        <c:varyColors val="1"/>
        <c:ser>
          <c:idx val="0"/>
          <c:order val="0"/>
          <c:tx>
            <c:strRef>
              <c:f>'W&amp;R report - S4.2 (NSW)'!$G$116</c:f>
              <c:strCache>
                <c:ptCount val="1"/>
                <c:pt idx="0">
                  <c:v>C&amp;I</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strRef>
              <c:f>'W&amp;R report - S4.2 (NSW)'!$H$113:$J$113</c:f>
              <c:strCache>
                <c:ptCount val="3"/>
                <c:pt idx="0">
                  <c:v>Disposal</c:v>
                </c:pt>
                <c:pt idx="1">
                  <c:v>Recycling</c:v>
                </c:pt>
                <c:pt idx="2">
                  <c:v>Energy recovery</c:v>
                </c:pt>
              </c:strCache>
            </c:strRef>
          </c:cat>
          <c:val>
            <c:numRef>
              <c:f>'W&amp;R report - S4.2 (NSW)'!$H$116:$J$116</c:f>
              <c:numCache>
                <c:formatCode>#,##0</c:formatCode>
                <c:ptCount val="3"/>
                <c:pt idx="0">
                  <c:v>2550</c:v>
                </c:pt>
                <c:pt idx="1">
                  <c:v>2860</c:v>
                </c:pt>
                <c:pt idx="2">
                  <c:v>30</c:v>
                </c:pt>
              </c:numCache>
            </c:numRef>
          </c:val>
        </c:ser>
        <c:dLbls>
          <c:showVal val="1"/>
        </c:dLbls>
        <c:firstSliceAng val="0"/>
      </c:pieChart>
    </c:plotArea>
    <c:legend>
      <c:legendPos val="b"/>
      <c:layout>
        <c:manualLayout>
          <c:xMode val="edge"/>
          <c:yMode val="edge"/>
          <c:x val="4.8090911712958984E-2"/>
          <c:y val="0.76649576204242964"/>
          <c:w val="0.90795304433099711"/>
          <c:h val="0.15897018530272894"/>
        </c:manualLayout>
      </c:layout>
      <c:txPr>
        <a:bodyPr/>
        <a:lstStyle/>
        <a:p>
          <a:pPr>
            <a:defRPr sz="800"/>
          </a:pPr>
          <a:endParaRPr lang="en-US"/>
        </a:p>
      </c:txPr>
    </c:legend>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title>
      <c:layout>
        <c:manualLayout>
          <c:xMode val="edge"/>
          <c:yMode val="edge"/>
          <c:x val="0.36983874500612701"/>
          <c:y val="0"/>
        </c:manualLayout>
      </c:layout>
      <c:txPr>
        <a:bodyPr/>
        <a:lstStyle/>
        <a:p>
          <a:pPr>
            <a:defRPr sz="1100"/>
          </a:pPr>
          <a:endParaRPr lang="en-US"/>
        </a:p>
      </c:txPr>
    </c:title>
    <c:plotArea>
      <c:layout>
        <c:manualLayout>
          <c:layoutTarget val="inner"/>
          <c:xMode val="edge"/>
          <c:yMode val="edge"/>
          <c:x val="8.3584233899466745E-2"/>
          <c:y val="0.18917729947606238"/>
          <c:w val="0.82583555819651866"/>
          <c:h val="0.51163376557321449"/>
        </c:manualLayout>
      </c:layout>
      <c:pieChart>
        <c:varyColors val="1"/>
        <c:ser>
          <c:idx val="0"/>
          <c:order val="0"/>
          <c:tx>
            <c:strRef>
              <c:f>'W&amp;R report - S4.2 (NSW)'!$G$117</c:f>
              <c:strCache>
                <c:ptCount val="1"/>
                <c:pt idx="0">
                  <c:v>C&amp;D</c:v>
                </c:pt>
              </c:strCache>
            </c:strRef>
          </c:tx>
          <c:dPt>
            <c:idx val="0"/>
            <c:spPr>
              <a:solidFill>
                <a:srgbClr val="AA072A"/>
              </a:solidFill>
            </c:spPr>
          </c:dPt>
          <c:dPt>
            <c:idx val="1"/>
            <c:spPr>
              <a:solidFill>
                <a:srgbClr val="F9B200"/>
              </a:solidFill>
            </c:spPr>
          </c:dPt>
          <c:dPt>
            <c:idx val="2"/>
            <c:spPr>
              <a:solidFill>
                <a:srgbClr val="ED7906"/>
              </a:solidFill>
            </c:spPr>
          </c:dPt>
          <c:dLbls>
            <c:numFmt formatCode="General" sourceLinked="0"/>
            <c:txPr>
              <a:bodyPr/>
              <a:lstStyle/>
              <a:p>
                <a:pPr>
                  <a:defRPr sz="800"/>
                </a:pPr>
                <a:endParaRPr lang="en-US"/>
              </a:p>
            </c:txPr>
            <c:showVal val="1"/>
            <c:showPercent val="1"/>
            <c:separator>
</c:separator>
            <c:showLeaderLines val="1"/>
          </c:dLbls>
          <c:cat>
            <c:multiLvlStrRef>
              <c:f>'W&amp;R report - S4.2 (NSW)'!$H$113:$J$114</c:f>
              <c:multiLvlStrCache>
                <c:ptCount val="3"/>
                <c:lvl>
                  <c:pt idx="0">
                    <c:v>('000 tonnes)</c:v>
                  </c:pt>
                  <c:pt idx="1">
                    <c:v>('000 tonnes)</c:v>
                  </c:pt>
                  <c:pt idx="2">
                    <c:v>('000 tonnes)</c:v>
                  </c:pt>
                </c:lvl>
                <c:lvl>
                  <c:pt idx="0">
                    <c:v>Disposal</c:v>
                  </c:pt>
                  <c:pt idx="1">
                    <c:v>Recycling</c:v>
                  </c:pt>
                  <c:pt idx="2">
                    <c:v>Energy recovery</c:v>
                  </c:pt>
                </c:lvl>
              </c:multiLvlStrCache>
            </c:multiLvlStrRef>
          </c:cat>
          <c:val>
            <c:numRef>
              <c:f>'W&amp;R report - S4.2 (NSW)'!$H$117:$J$117</c:f>
              <c:numCache>
                <c:formatCode>#,##0</c:formatCode>
                <c:ptCount val="3"/>
                <c:pt idx="0">
                  <c:v>1730</c:v>
                </c:pt>
                <c:pt idx="1">
                  <c:v>4830</c:v>
                </c:pt>
                <c:pt idx="2">
                  <c:v>10</c:v>
                </c:pt>
              </c:numCache>
            </c:numRef>
          </c:val>
        </c:ser>
        <c:dLbls>
          <c:showVal val="1"/>
        </c:dLbls>
        <c:firstSliceAng val="0"/>
      </c:pie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Date_x003a_ xmlns="9c61834d-447e-4b40-85f3-412776ef6271">2011-01-24T22:03:00+00:00</Date_x003a_>
    <Description_x003a_ xmlns="a3934a9c-4d1f-4be5-b4f5-15e24c61f397">Ylva's tracked changes version</Description_x003a_>
    <Delivery_x003a_ xmlns="9c61834d-447e-4b40-85f3-412776ef6271" xsi:nil="true"/>
    <Type_x003a_ xmlns="68634ea0-c470-4a73-a052-d03ca6a8cd88">(none)</Type_x003a_>
    <Discipline_x003a_ xmlns="68634ea0-c470-4a73-a052-d03ca6a8cd88">(none)</Discipline_x003a_>
    <Recipient_x003a_ xmlns="9c61834d-447e-4b40-85f3-412776ef6271" xsi:nil="true"/>
    <Other_x0020_companies_x003a_ xmlns="9c61834d-447e-4b40-85f3-412776ef6271" xsi:nil="true"/>
    <Sender_x003a_ xmlns="9c61834d-447e-4b40-85f3-412776ef6271">
      <UserInfo>
        <DisplayName/>
        <AccountId xsi:nil="true"/>
        <AccountType/>
      </UserInfo>
    </Sender_x003a_>
    <Reason_x003a_ xmlns="9c61834d-447e-4b40-85f3-412776ef6271" xsi:nil="true"/>
    <Companies_x003a_ xmlns="9c61834d-447e-4b40-85f3-412776ef6271" xsi:nil="true"/>
    <Status_x003a_ xmlns="9c61834d-447e-4b40-85f3-412776ef62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ew Word Document" ma:contentTypeID="0x0101009FE383B1B63F78449CDA2294A0A95AB8" ma:contentTypeVersion="17" ma:contentTypeDescription="Create a new document." ma:contentTypeScope="" ma:versionID="b85183de214a67494dea8c4e5071e600">
  <xsd:schema xmlns:xsd="http://www.w3.org/2001/XMLSchema" xmlns:p="http://schemas.microsoft.com/office/2006/metadata/properties" xmlns:ns2="a3934a9c-4d1f-4be5-b4f5-15e24c61f397" xmlns:ns3="68634ea0-c470-4a73-a052-d03ca6a8cd88" xmlns:ns4="9c61834d-447e-4b40-85f3-412776ef6271" targetNamespace="http://schemas.microsoft.com/office/2006/metadata/properties" ma:root="true" ma:fieldsID="098441636e0a787863c48e470df4f460" ns2:_="" ns3:_="" ns4:_="">
    <xsd:import namespace="a3934a9c-4d1f-4be5-b4f5-15e24c61f397"/>
    <xsd:import namespace="68634ea0-c470-4a73-a052-d03ca6a8cd88"/>
    <xsd:import namespace="9c61834d-447e-4b40-85f3-412776ef6271"/>
    <xsd:element name="properties">
      <xsd:complexType>
        <xsd:sequence>
          <xsd:element name="documentManagement">
            <xsd:complexType>
              <xsd:all>
                <xsd:element ref="ns2:Description_x003a_" minOccurs="0"/>
                <xsd:element ref="ns3:Discipline_x003a_" minOccurs="0"/>
                <xsd:element ref="ns3:Type_x003a_" minOccurs="0"/>
                <xsd:element ref="ns4:Recipient_x003a_" minOccurs="0"/>
                <xsd:element ref="ns4:Companies_x003a_" minOccurs="0"/>
                <xsd:element ref="ns4:Other_x0020_companies_x003a_" minOccurs="0"/>
                <xsd:element ref="ns4:Sender_x003a_" minOccurs="0"/>
                <xsd:element ref="ns4:Date_x003a_" minOccurs="0"/>
                <xsd:element ref="ns4:Status_x003a_" minOccurs="0"/>
                <xsd:element ref="ns4:Reason_x003a_" minOccurs="0"/>
                <xsd:element ref="ns4:Delivery_x003a_" minOccurs="0"/>
              </xsd:all>
            </xsd:complexType>
          </xsd:element>
        </xsd:sequence>
      </xsd:complexType>
    </xsd:element>
  </xsd:schema>
  <xsd:schema xmlns:xsd="http://www.w3.org/2001/XMLSchema" xmlns:dms="http://schemas.microsoft.com/office/2006/documentManagement/types" targetNamespace="a3934a9c-4d1f-4be5-b4f5-15e24c61f397" elementFormDefault="qualified">
    <xsd:import namespace="http://schemas.microsoft.com/office/2006/documentManagement/types"/>
    <xsd:element name="Description_x003a_" ma:index="8" nillable="true" ma:displayName="Description:" ma:description="Title, subject, contents or keywords" ma:internalName="Description_x003a_">
      <xsd:simpleType>
        <xsd:restriction base="dms:Text">
          <xsd:maxLength value="255"/>
        </xsd:restriction>
      </xsd:simpleType>
    </xsd:element>
  </xsd:schema>
  <xsd:schema xmlns:xsd="http://www.w3.org/2001/XMLSchema" xmlns:dms="http://schemas.microsoft.com/office/2006/documentManagement/types" targetNamespace="68634ea0-c470-4a73-a052-d03ca6a8cd88" elementFormDefault="qualified">
    <xsd:import namespace="http://schemas.microsoft.com/office/2006/documentManagement/types"/>
    <xsd:element name="Discipline_x003a_" ma:index="9" nillable="true" ma:displayName="Discipline:" ma:default="(none)" ma:format="Dropdown" ma:internalName="Discipline_x003a_">
      <xsd:simpleType>
        <xsd:restriction base="dms:Choice">
          <xsd:enumeration value="(none)"/>
          <xsd:enumeration value="Acoustics"/>
          <xsd:enumeration value="Advisory"/>
          <xsd:enumeration value="All"/>
          <xsd:enumeration value="BIT"/>
          <xsd:enumeration value="Bridges"/>
          <xsd:enumeration value="Building Structures"/>
          <xsd:enumeration value="Civil"/>
          <xsd:enumeration value="Clean Water"/>
          <xsd:enumeration value="Drainage"/>
          <xsd:enumeration value="Environment"/>
          <xsd:enumeration value="Facades"/>
          <xsd:enumeration value="Geotech"/>
          <xsd:enumeration value="GIS"/>
          <xsd:enumeration value="Highways"/>
          <xsd:enumeration value="IT"/>
          <xsd:enumeration value="Land Development"/>
          <xsd:enumeration value="Project Management"/>
          <xsd:enumeration value="Rail"/>
          <xsd:enumeration value="Sewage Treatment"/>
          <xsd:enumeration value="Sewerage"/>
          <xsd:enumeration value="Technology"/>
          <xsd:enumeration value="TLE"/>
          <xsd:enumeration value="Traffic"/>
          <xsd:enumeration value="Transport"/>
          <xsd:enumeration value="Tunnels"/>
          <xsd:enumeration value="Utilities"/>
        </xsd:restriction>
      </xsd:simpleType>
    </xsd:element>
    <xsd:element name="Type_x003a_" ma:index="10" nillable="true" ma:displayName="Type:" ma:default="(none)" ma:format="Dropdown" ma:internalName="Type_x003a_">
      <xsd:simpleType>
        <xsd:restriction base="dms:Choice">
          <xsd:enumeration value="(none)"/>
          <xsd:enumeration value="Agenda"/>
          <xsd:enumeration value="Agreement"/>
          <xsd:enumeration value="BOQ"/>
          <xsd:enumeration value="CAD"/>
          <xsd:enumeration value="Contract"/>
          <xsd:enumeration value="Deed"/>
          <xsd:enumeration value="Design"/>
          <xsd:enumeration value="Drawing"/>
          <xsd:enumeration value="Email"/>
          <xsd:enumeration value="Estimate"/>
          <xsd:enumeration value="Fax"/>
          <xsd:enumeration value="Information"/>
          <xsd:enumeration value="Invoice"/>
          <xsd:enumeration value="Letter"/>
          <xsd:enumeration value="Memo"/>
          <xsd:enumeration value="Minutes"/>
          <xsd:enumeration value="Other"/>
          <xsd:enumeration value="Programme"/>
          <xsd:enumeration value="Progress Claim"/>
          <xsd:enumeration value="QA"/>
          <xsd:enumeration value="RFI"/>
          <xsd:enumeration value="Schedule"/>
          <xsd:enumeration value="Site Diary"/>
          <xsd:enumeration value="Sketch"/>
          <xsd:enumeration value="Specification"/>
          <xsd:enumeration value="Submission"/>
          <xsd:enumeration value="Tender"/>
          <xsd:enumeration value="Xref"/>
        </xsd:restriction>
      </xsd:simpleType>
    </xsd:element>
  </xsd:schema>
  <xsd:schema xmlns:xsd="http://www.w3.org/2001/XMLSchema" xmlns:dms="http://schemas.microsoft.com/office/2006/documentManagement/types" targetNamespace="9c61834d-447e-4b40-85f3-412776ef6271" elementFormDefault="qualified">
    <xsd:import namespace="http://schemas.microsoft.com/office/2006/documentManagement/types"/>
    <xsd:element name="Recipient_x003a_" ma:index="11" nillable="true" ma:displayName="Recipient:" ma:internalName="Recipient_x003a_">
      <xsd:simpleType>
        <xsd:restriction base="dms:Text">
          <xsd:maxLength value="255"/>
        </xsd:restriction>
      </xsd:simpleType>
    </xsd:element>
    <xsd:element name="Companies_x003a_" ma:index="12" nillable="true" ma:displayName="Companies:" ma:list="{A3856036-CD36-44CB-ACDB-276759BDDC76}" ma:internalName="Companies_x003a_" ma:showField="Title">
      <xsd:simpleType>
        <xsd:restriction base="dms:Lookup"/>
      </xsd:simpleType>
    </xsd:element>
    <xsd:element name="Other_x0020_companies_x003a_" ma:index="13" nillable="true" ma:displayName="Other companies:" ma:description="One-off, not in Companies lookup" ma:internalName="Other_x0020_companies_x003a_">
      <xsd:simpleType>
        <xsd:restriction base="dms:Text">
          <xsd:maxLength value="255"/>
        </xsd:restriction>
      </xsd:simpleType>
    </xsd:element>
    <xsd:element name="Sender_x003a_" ma:index="14" nillable="true" ma:displayName="Sender:" ma:list="UserInfo" ma:internalName="Sender_x003a_"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3a_" ma:index="15" nillable="true" ma:displayName="Date:" ma:default="[today]" ma:format="DateTime" ma:internalName="Date_x003a_">
      <xsd:simpleType>
        <xsd:restriction base="dms:DateTime"/>
      </xsd:simpleType>
    </xsd:element>
    <xsd:element name="Status_x003a_" ma:index="16" nillable="true" ma:displayName="Status:" ma:list="{211DD655-B506-42C7-9E00-463EBA5B0553}" ma:internalName="Status_x003a_" ma:showField="Title">
      <xsd:simpleType>
        <xsd:restriction base="dms:Lookup"/>
      </xsd:simpleType>
    </xsd:element>
    <xsd:element name="Reason_x003a_" ma:index="17" nillable="true" ma:displayName="Reason:" ma:list="{BF67E623-4090-4146-81E4-C09ED8A44A8A}" ma:internalName="Reason_x003a_" ma:showField="Title">
      <xsd:simpleType>
        <xsd:restriction base="dms:Lookup"/>
      </xsd:simpleType>
    </xsd:element>
    <xsd:element name="Delivery_x003a_" ma:index="18" nillable="true" ma:displayName="Delivery:" ma:list="{C0F58206-2BAD-4D52-A309-A54782799F97}" ma:internalName="Delivery_x003a_"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 Typ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B4B85-3B54-41DC-9C97-CBAF3DE85065}">
  <ds:schemaRefs>
    <ds:schemaRef ds:uri="http://schemas.microsoft.com/office/2006/metadata/properties"/>
    <ds:schemaRef ds:uri="9c61834d-447e-4b40-85f3-412776ef6271"/>
    <ds:schemaRef ds:uri="a3934a9c-4d1f-4be5-b4f5-15e24c61f397"/>
    <ds:schemaRef ds:uri="68634ea0-c470-4a73-a052-d03ca6a8cd88"/>
  </ds:schemaRefs>
</ds:datastoreItem>
</file>

<file path=customXml/itemProps2.xml><?xml version="1.0" encoding="utf-8"?>
<ds:datastoreItem xmlns:ds="http://schemas.openxmlformats.org/officeDocument/2006/customXml" ds:itemID="{8ED436D2-5BD3-45D4-B1B8-14ADD34081F4}">
  <ds:schemaRefs>
    <ds:schemaRef ds:uri="http://schemas.microsoft.com/sharepoint/v3/contenttype/forms"/>
  </ds:schemaRefs>
</ds:datastoreItem>
</file>

<file path=customXml/itemProps3.xml><?xml version="1.0" encoding="utf-8"?>
<ds:datastoreItem xmlns:ds="http://schemas.openxmlformats.org/officeDocument/2006/customXml" ds:itemID="{2748A701-297B-4260-9709-676F67FB8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34a9c-4d1f-4be5-b4f5-15e24c61f397"/>
    <ds:schemaRef ds:uri="68634ea0-c470-4a73-a052-d03ca6a8cd88"/>
    <ds:schemaRef ds:uri="9c61834d-447e-4b40-85f3-412776ef627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44482E1-C307-407D-A820-AEE9E79DA950}">
  <ds:schemaRefs>
    <ds:schemaRef ds:uri="http://schemas.openxmlformats.org/officeDocument/2006/bibliography"/>
  </ds:schemaRefs>
</ds:datastoreItem>
</file>

<file path=customXml/itemProps5.xml><?xml version="1.0" encoding="utf-8"?>
<ds:datastoreItem xmlns:ds="http://schemas.openxmlformats.org/officeDocument/2006/customXml" ds:itemID="{88E5EBA3-4BF5-4C01-A0CD-8660A58F7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Client_Report_1S_1C</Template>
  <TotalTime>13</TotalTime>
  <Pages>203</Pages>
  <Words>62815</Words>
  <Characters>364532</Characters>
  <Application>Microsoft Office Word</Application>
  <DocSecurity>0</DocSecurity>
  <Lines>3037</Lines>
  <Paragraphs>852</Paragraphs>
  <ScaleCrop>false</ScaleCrop>
  <HeadingPairs>
    <vt:vector size="2" baseType="variant">
      <vt:variant>
        <vt:lpstr>Title</vt:lpstr>
      </vt:variant>
      <vt:variant>
        <vt:i4>1</vt:i4>
      </vt:variant>
    </vt:vector>
  </HeadingPairs>
  <TitlesOfParts>
    <vt:vector size="1" baseType="lpstr">
      <vt:lpstr>Incorporating a revised method for compiling waste and recycling data</vt:lpstr>
    </vt:vector>
  </TitlesOfParts>
  <Company>Hyder Consulting</Company>
  <LinksUpToDate>false</LinksUpToDate>
  <CharactersWithSpaces>426495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Incorporating a revised method for compiling waste and recycling data</dc:title>
  <dc:creator>Kyle O'Farrell</dc:creator>
  <cp:keywords>Report</cp:keywords>
  <cp:lastModifiedBy>SEWPAC</cp:lastModifiedBy>
  <cp:revision>4</cp:revision>
  <cp:lastPrinted>2012-10-18T04:35:00Z</cp:lastPrinted>
  <dcterms:created xsi:type="dcterms:W3CDTF">2012-11-01T05:19:00Z</dcterms:created>
  <dcterms:modified xsi:type="dcterms:W3CDTF">2012-11-01T05:30:00Z</dcterms:modified>
  <cp:category>Client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Text">
    <vt:lpwstr>Version</vt:lpwstr>
  </property>
  <property fmtid="{D5CDD505-2E9C-101B-9397-08002B2CF9AE}" pid="3" name="RevisionInfo">
    <vt:lpwstr>2</vt:lpwstr>
  </property>
  <property fmtid="{D5CDD505-2E9C-101B-9397-08002B2CF9AE}" pid="4" name="Title">
    <vt:lpwstr>Incorporating a revised method for compiling waste and recycling data</vt:lpwstr>
  </property>
  <property fmtid="{D5CDD505-2E9C-101B-9397-08002B2CF9AE}" pid="5" name="Subtitle">
    <vt:lpwstr>Final report</vt:lpwstr>
  </property>
  <property fmtid="{D5CDD505-2E9C-101B-9397-08002B2CF9AE}" pid="6" name="Project">
    <vt:lpwstr>Waste and recycling in Australia 2011</vt:lpwstr>
  </property>
  <property fmtid="{D5CDD505-2E9C-101B-9397-08002B2CF9AE}" pid="7" name="Client">
    <vt:lpwstr>Department of Sustainability, Environment, Water, Population and Communities</vt:lpwstr>
  </property>
  <property fmtid="{D5CDD505-2E9C-101B-9397-08002B2CF9AE}" pid="8" name="Date">
    <vt:lpwstr>18 May 2012</vt:lpwstr>
  </property>
  <property fmtid="{D5CDD505-2E9C-101B-9397-08002B2CF9AE}" pid="9" name="Number">
    <vt:lpwstr>1</vt:lpwstr>
  </property>
  <property fmtid="{D5CDD505-2E9C-101B-9397-08002B2CF9AE}" pid="10" name="Author">
    <vt:lpwstr>Katherine Smith, Kyle O'Farrell, Fraser Brindley</vt:lpwstr>
  </property>
  <property fmtid="{D5CDD505-2E9C-101B-9397-08002B2CF9AE}" pid="11" name="Checker">
    <vt:lpwstr>Paul Randell, Garth Lamb, Ylva Engqvist</vt:lpwstr>
  </property>
  <property fmtid="{D5CDD505-2E9C-101B-9397-08002B2CF9AE}" pid="12" name="Approver">
    <vt:lpwstr>Victoria Bond</vt:lpwstr>
  </property>
  <property fmtid="{D5CDD505-2E9C-101B-9397-08002B2CF9AE}" pid="13" name="AppointmentDate">
    <vt:lpwstr>5 November 2010</vt:lpwstr>
  </property>
  <property fmtid="{D5CDD505-2E9C-101B-9397-08002B2CF9AE}" pid="14" name="ContentTypeId">
    <vt:lpwstr>0x0101009FE383B1B63F78449CDA2294A0A95AB8</vt:lpwstr>
  </property>
</Properties>
</file>