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38EA03B2" w14:textId="77777777" w:rsidR="00535140" w:rsidRPr="00535140" w:rsidRDefault="00535140" w:rsidP="00535140">
      <w:pPr>
        <w:keepNext/>
        <w:spacing w:before="0" w:after="200" w:line="276" w:lineRule="auto"/>
        <w:outlineLvl w:val="0"/>
        <w:rPr>
          <w:rFonts w:ascii="Times New Roman" w:hAnsi="Times New Roman"/>
          <w:b/>
          <w:caps/>
          <w:sz w:val="24"/>
        </w:rPr>
      </w:pPr>
      <w:r w:rsidRPr="00535140">
        <w:rPr>
          <w:rFonts w:ascii="Times New Roman" w:hAnsi="Times New Roman"/>
          <w:b/>
          <w:caps/>
          <w:sz w:val="24"/>
        </w:rPr>
        <w:t>Water for Fodder Stage 1 Review—Terms of Reference</w:t>
      </w:r>
    </w:p>
    <w:p w14:paraId="049C975E" w14:textId="77777777" w:rsidR="00535140" w:rsidRPr="00535140" w:rsidRDefault="00535140" w:rsidP="00535140">
      <w:pPr>
        <w:numPr>
          <w:ilvl w:val="0"/>
          <w:numId w:val="19"/>
        </w:numPr>
        <w:spacing w:before="0" w:after="120" w:line="276" w:lineRule="auto"/>
        <w:ind w:left="425" w:hanging="425"/>
        <w:rPr>
          <w:rFonts w:ascii="Times New Roman" w:eastAsia="Times New Roman" w:hAnsi="Times New Roman"/>
          <w:b/>
          <w:lang w:val="en" w:eastAsia="en-AU"/>
        </w:rPr>
      </w:pPr>
      <w:r w:rsidRPr="00535140">
        <w:rPr>
          <w:rFonts w:ascii="Times New Roman" w:eastAsia="Times New Roman" w:hAnsi="Times New Roman"/>
          <w:b/>
          <w:lang w:val="en" w:eastAsia="en-AU"/>
        </w:rPr>
        <w:t>Background</w:t>
      </w:r>
    </w:p>
    <w:p w14:paraId="06679126" w14:textId="77777777" w:rsidR="00535140" w:rsidRPr="00535140" w:rsidRDefault="00535140" w:rsidP="00535140">
      <w:pPr>
        <w:spacing w:before="0" w:after="200" w:line="276" w:lineRule="auto"/>
        <w:rPr>
          <w:rFonts w:ascii="Times New Roman" w:eastAsia="Times New Roman" w:hAnsi="Times New Roman"/>
          <w:lang w:val="en" w:eastAsia="en-AU"/>
        </w:rPr>
      </w:pPr>
      <w:r w:rsidRPr="00535140">
        <w:rPr>
          <w:rFonts w:ascii="Times New Roman" w:eastAsia="Times New Roman" w:hAnsi="Times New Roman"/>
          <w:lang w:val="en" w:eastAsia="en-AU"/>
        </w:rPr>
        <w:t xml:space="preserve">The Australian Government has reached an agreement with </w:t>
      </w:r>
      <w:r w:rsidRPr="00535140">
        <w:rPr>
          <w:rFonts w:ascii="Times New Roman" w:hAnsi="Times New Roman"/>
        </w:rPr>
        <w:t>the State of South Australia (the State) to produce up to 100 gigalitres of water from the Adelaide Desalination Plant at the actual marginal cost of production; and to transfer water allocations from entitlements held by the State in the Murray</w:t>
      </w:r>
      <w:r w:rsidRPr="00535140">
        <w:rPr>
          <w:rFonts w:ascii="Times New Roman" w:hAnsi="Times New Roman"/>
        </w:rPr>
        <w:noBreakHyphen/>
        <w:t>Darling Basin to irrigators in the Southern Murray</w:t>
      </w:r>
      <w:r w:rsidRPr="00535140">
        <w:rPr>
          <w:rFonts w:ascii="Times New Roman" w:hAnsi="Times New Roman"/>
        </w:rPr>
        <w:noBreakHyphen/>
        <w:t xml:space="preserve">Darling Basin (the Basin) under its </w:t>
      </w:r>
      <w:r w:rsidRPr="00535140">
        <w:rPr>
          <w:rFonts w:ascii="Times New Roman" w:hAnsi="Times New Roman"/>
          <w:i/>
        </w:rPr>
        <w:t>Water for Fodder</w:t>
      </w:r>
      <w:r w:rsidRPr="00535140">
        <w:rPr>
          <w:rFonts w:ascii="Times New Roman" w:hAnsi="Times New Roman"/>
        </w:rPr>
        <w:t xml:space="preserve"> program.  The </w:t>
      </w:r>
      <w:r w:rsidRPr="00535140">
        <w:rPr>
          <w:rFonts w:ascii="Times New Roman" w:hAnsi="Times New Roman"/>
          <w:i/>
        </w:rPr>
        <w:t>Water for Fodder</w:t>
      </w:r>
      <w:r w:rsidRPr="00535140">
        <w:rPr>
          <w:rFonts w:ascii="Times New Roman" w:hAnsi="Times New Roman"/>
        </w:rPr>
        <w:t xml:space="preserve"> program forms part of the Australian Government’s drought response package to improve the resilience of farmers and rural communities during this current drought.</w:t>
      </w:r>
    </w:p>
    <w:p w14:paraId="4E38016C" w14:textId="77777777" w:rsidR="00535140" w:rsidRPr="00535140" w:rsidRDefault="00535140" w:rsidP="00535140">
      <w:pPr>
        <w:numPr>
          <w:ilvl w:val="0"/>
          <w:numId w:val="19"/>
        </w:numPr>
        <w:spacing w:before="0" w:after="120" w:line="276" w:lineRule="auto"/>
        <w:ind w:left="425" w:hanging="425"/>
        <w:rPr>
          <w:rFonts w:ascii="Times New Roman" w:eastAsia="Times New Roman" w:hAnsi="Times New Roman"/>
          <w:b/>
          <w:lang w:val="en" w:eastAsia="en-AU"/>
        </w:rPr>
      </w:pPr>
      <w:r w:rsidRPr="00535140">
        <w:rPr>
          <w:rFonts w:ascii="Times New Roman" w:eastAsia="Times New Roman" w:hAnsi="Times New Roman"/>
          <w:b/>
          <w:lang w:val="en" w:eastAsia="en-AU"/>
        </w:rPr>
        <w:t xml:space="preserve">Purpose  </w:t>
      </w:r>
    </w:p>
    <w:p w14:paraId="559B62ED" w14:textId="77777777" w:rsidR="00535140" w:rsidRPr="00535140" w:rsidRDefault="00535140" w:rsidP="00535140">
      <w:pPr>
        <w:spacing w:before="0" w:after="200" w:line="276" w:lineRule="auto"/>
        <w:rPr>
          <w:rFonts w:ascii="Times New Roman" w:eastAsia="Times New Roman" w:hAnsi="Times New Roman"/>
          <w:lang w:val="en" w:eastAsia="en-AU"/>
        </w:rPr>
      </w:pPr>
      <w:r w:rsidRPr="00535140">
        <w:rPr>
          <w:rFonts w:ascii="Times New Roman" w:hAnsi="Times New Roman"/>
        </w:rPr>
        <w:t xml:space="preserve">A key component of the agreement reached between the Australian and South Australian Governments was that a gateway review of Round 1 (40GL) of the Water for Fodder program would be undertaken to inform whether Round 2 (60GL) was able to proceed, either as intended or in a modified form. </w:t>
      </w:r>
    </w:p>
    <w:p w14:paraId="452EFE02" w14:textId="77777777" w:rsidR="00535140" w:rsidRPr="00535140" w:rsidRDefault="00535140" w:rsidP="00535140">
      <w:pPr>
        <w:numPr>
          <w:ilvl w:val="0"/>
          <w:numId w:val="19"/>
        </w:numPr>
        <w:spacing w:before="0" w:after="120" w:line="276" w:lineRule="auto"/>
        <w:ind w:left="425" w:hanging="425"/>
        <w:rPr>
          <w:rFonts w:ascii="Times New Roman" w:eastAsia="Times New Roman" w:hAnsi="Times New Roman"/>
          <w:b/>
          <w:lang w:val="en" w:eastAsia="en-AU"/>
        </w:rPr>
      </w:pPr>
      <w:r w:rsidRPr="00535140">
        <w:rPr>
          <w:rFonts w:ascii="Times New Roman" w:eastAsia="Times New Roman" w:hAnsi="Times New Roman"/>
          <w:b/>
          <w:lang w:val="en" w:eastAsia="en-AU"/>
        </w:rPr>
        <w:t>Key evaluation questions</w:t>
      </w:r>
    </w:p>
    <w:p w14:paraId="36D35963" w14:textId="77777777" w:rsidR="00535140" w:rsidRPr="00535140" w:rsidRDefault="00535140" w:rsidP="00535140">
      <w:pPr>
        <w:spacing w:before="0" w:after="200" w:line="276" w:lineRule="auto"/>
        <w:rPr>
          <w:rFonts w:ascii="Times New Roman" w:hAnsi="Times New Roman"/>
        </w:rPr>
      </w:pPr>
      <w:r w:rsidRPr="00535140">
        <w:rPr>
          <w:rFonts w:ascii="Times New Roman" w:hAnsi="Times New Roman"/>
        </w:rPr>
        <w:t xml:space="preserve">As outlined in the Agreement between the Australian and South Australian Governments, the review will focus on the implementation of Round 1, water availability in the Basin, South Australia’s water security and allocations and the risk exposure of water dependent agricultural sectors across the Basin. </w:t>
      </w:r>
      <w:proofErr w:type="gramStart"/>
      <w:r w:rsidRPr="00535140">
        <w:rPr>
          <w:rFonts w:ascii="Times New Roman" w:hAnsi="Times New Roman"/>
        </w:rPr>
        <w:t>In order to</w:t>
      </w:r>
      <w:proofErr w:type="gramEnd"/>
      <w:r w:rsidRPr="00535140">
        <w:rPr>
          <w:rFonts w:ascii="Times New Roman" w:hAnsi="Times New Roman"/>
        </w:rPr>
        <w:t xml:space="preserve"> respond to these items, the following four lines of inquiry will be investigated:</w:t>
      </w:r>
    </w:p>
    <w:p w14:paraId="6518E974" w14:textId="77777777" w:rsidR="00535140" w:rsidRPr="00535140" w:rsidRDefault="00535140" w:rsidP="00535140">
      <w:pPr>
        <w:numPr>
          <w:ilvl w:val="0"/>
          <w:numId w:val="18"/>
        </w:numPr>
        <w:autoSpaceDE w:val="0"/>
        <w:autoSpaceDN w:val="0"/>
        <w:adjustRightInd w:val="0"/>
        <w:spacing w:before="60" w:after="60" w:line="276" w:lineRule="auto"/>
        <w:ind w:left="357" w:hanging="357"/>
        <w:rPr>
          <w:rFonts w:ascii="Times New Roman" w:hAnsi="Times New Roman"/>
        </w:rPr>
      </w:pPr>
      <w:r w:rsidRPr="00535140">
        <w:rPr>
          <w:rFonts w:ascii="Times New Roman" w:hAnsi="Times New Roman"/>
        </w:rPr>
        <w:t xml:space="preserve">water availability </w:t>
      </w:r>
    </w:p>
    <w:p w14:paraId="07C0F3B7" w14:textId="77777777" w:rsidR="00535140" w:rsidRPr="00535140" w:rsidRDefault="00535140" w:rsidP="00535140">
      <w:pPr>
        <w:numPr>
          <w:ilvl w:val="0"/>
          <w:numId w:val="18"/>
        </w:numPr>
        <w:autoSpaceDE w:val="0"/>
        <w:autoSpaceDN w:val="0"/>
        <w:adjustRightInd w:val="0"/>
        <w:spacing w:before="60" w:after="60" w:line="276" w:lineRule="auto"/>
        <w:ind w:left="357" w:hanging="357"/>
        <w:rPr>
          <w:rFonts w:ascii="Times New Roman" w:hAnsi="Times New Roman"/>
        </w:rPr>
      </w:pPr>
      <w:r w:rsidRPr="00535140">
        <w:rPr>
          <w:rFonts w:ascii="Times New Roman" w:hAnsi="Times New Roman"/>
        </w:rPr>
        <w:t>risk exposure of water dependent agricultural sectors across the Basin</w:t>
      </w:r>
    </w:p>
    <w:p w14:paraId="10526E87" w14:textId="77777777" w:rsidR="00535140" w:rsidRPr="00535140" w:rsidRDefault="00535140" w:rsidP="00535140">
      <w:pPr>
        <w:numPr>
          <w:ilvl w:val="0"/>
          <w:numId w:val="18"/>
        </w:numPr>
        <w:autoSpaceDE w:val="0"/>
        <w:autoSpaceDN w:val="0"/>
        <w:adjustRightInd w:val="0"/>
        <w:spacing w:before="60" w:after="60" w:line="276" w:lineRule="auto"/>
        <w:ind w:left="357" w:hanging="357"/>
        <w:rPr>
          <w:rFonts w:ascii="Times New Roman" w:hAnsi="Times New Roman"/>
        </w:rPr>
      </w:pPr>
      <w:r w:rsidRPr="00535140">
        <w:rPr>
          <w:rFonts w:ascii="Times New Roman" w:hAnsi="Times New Roman"/>
        </w:rPr>
        <w:t>the appropriateness of the current eligibility requirements</w:t>
      </w:r>
    </w:p>
    <w:p w14:paraId="4566E99D" w14:textId="77777777" w:rsidR="00535140" w:rsidRPr="00535140" w:rsidRDefault="00535140" w:rsidP="00535140">
      <w:pPr>
        <w:numPr>
          <w:ilvl w:val="0"/>
          <w:numId w:val="18"/>
        </w:numPr>
        <w:autoSpaceDE w:val="0"/>
        <w:autoSpaceDN w:val="0"/>
        <w:adjustRightInd w:val="0"/>
        <w:spacing w:before="60" w:after="60" w:line="276" w:lineRule="auto"/>
        <w:ind w:left="357" w:hanging="357"/>
        <w:rPr>
          <w:rFonts w:ascii="Times New Roman" w:hAnsi="Times New Roman"/>
        </w:rPr>
      </w:pPr>
      <w:r w:rsidRPr="00535140">
        <w:rPr>
          <w:rFonts w:ascii="Times New Roman" w:hAnsi="Times New Roman"/>
        </w:rPr>
        <w:t>possible improvements to the administration of the program.</w:t>
      </w:r>
    </w:p>
    <w:p w14:paraId="181D0B32" w14:textId="77777777" w:rsidR="00535140" w:rsidRPr="00535140" w:rsidRDefault="00535140" w:rsidP="00535140">
      <w:pPr>
        <w:autoSpaceDE w:val="0"/>
        <w:autoSpaceDN w:val="0"/>
        <w:adjustRightInd w:val="0"/>
        <w:spacing w:before="60" w:after="60"/>
        <w:ind w:left="357"/>
        <w:rPr>
          <w:rFonts w:ascii="Times New Roman" w:hAnsi="Times New Roman"/>
        </w:rPr>
      </w:pPr>
    </w:p>
    <w:p w14:paraId="2D434ADE" w14:textId="77777777" w:rsidR="00535140" w:rsidRPr="00535140" w:rsidRDefault="00535140" w:rsidP="00535140">
      <w:pPr>
        <w:autoSpaceDE w:val="0"/>
        <w:autoSpaceDN w:val="0"/>
        <w:adjustRightInd w:val="0"/>
        <w:spacing w:before="0" w:after="200" w:line="276" w:lineRule="auto"/>
        <w:rPr>
          <w:rFonts w:ascii="Times New Roman" w:hAnsi="Times New Roman"/>
        </w:rPr>
      </w:pPr>
      <w:r w:rsidRPr="00535140">
        <w:rPr>
          <w:rFonts w:ascii="Times New Roman" w:hAnsi="Times New Roman"/>
        </w:rPr>
        <w:t>The Australian and South Australian Governments will engage a consultant to determine matters related to water availability and the risk exposure of water dependent agricultural sectors across the Basin.</w:t>
      </w:r>
    </w:p>
    <w:p w14:paraId="099BE7FD" w14:textId="77777777" w:rsidR="00535140" w:rsidRPr="00535140" w:rsidRDefault="00535140" w:rsidP="00535140">
      <w:pPr>
        <w:autoSpaceDE w:val="0"/>
        <w:autoSpaceDN w:val="0"/>
        <w:adjustRightInd w:val="0"/>
        <w:spacing w:before="0" w:after="200" w:line="276" w:lineRule="auto"/>
        <w:rPr>
          <w:rFonts w:ascii="Times New Roman" w:hAnsi="Times New Roman"/>
          <w:i/>
        </w:rPr>
      </w:pPr>
      <w:r w:rsidRPr="00535140">
        <w:rPr>
          <w:rFonts w:ascii="Times New Roman" w:hAnsi="Times New Roman"/>
          <w:i/>
        </w:rPr>
        <w:t>3.a. Water availability</w:t>
      </w:r>
    </w:p>
    <w:p w14:paraId="3D1F975F" w14:textId="77777777" w:rsidR="00535140" w:rsidRPr="00535140" w:rsidRDefault="00535140" w:rsidP="00535140">
      <w:pPr>
        <w:numPr>
          <w:ilvl w:val="0"/>
          <w:numId w:val="18"/>
        </w:numPr>
        <w:autoSpaceDE w:val="0"/>
        <w:autoSpaceDN w:val="0"/>
        <w:adjustRightInd w:val="0"/>
        <w:spacing w:before="60" w:after="60" w:line="276" w:lineRule="auto"/>
        <w:ind w:left="357" w:hanging="357"/>
        <w:rPr>
          <w:rFonts w:ascii="Times New Roman" w:hAnsi="Times New Roman"/>
        </w:rPr>
      </w:pPr>
      <w:r w:rsidRPr="00535140">
        <w:rPr>
          <w:rFonts w:ascii="Times New Roman" w:hAnsi="Times New Roman"/>
        </w:rPr>
        <w:t xml:space="preserve">Does South Australia have sufficient metropolitan water security to enable Round 2 to proceed as intended? </w:t>
      </w:r>
    </w:p>
    <w:p w14:paraId="7FFEF5C5" w14:textId="77777777" w:rsidR="00535140" w:rsidRPr="00535140" w:rsidRDefault="00535140" w:rsidP="00535140">
      <w:pPr>
        <w:numPr>
          <w:ilvl w:val="0"/>
          <w:numId w:val="18"/>
        </w:numPr>
        <w:autoSpaceDE w:val="0"/>
        <w:autoSpaceDN w:val="0"/>
        <w:adjustRightInd w:val="0"/>
        <w:spacing w:before="60" w:after="60" w:line="276" w:lineRule="auto"/>
        <w:ind w:left="357" w:hanging="357"/>
        <w:rPr>
          <w:rFonts w:ascii="Times New Roman" w:hAnsi="Times New Roman"/>
        </w:rPr>
      </w:pPr>
      <w:r w:rsidRPr="00535140">
        <w:rPr>
          <w:rFonts w:ascii="Times New Roman" w:hAnsi="Times New Roman"/>
        </w:rPr>
        <w:t>If not, does South Australia have sufficient water security to enable Round 2 to proceed with a volume lower than 60GL, or to split the delivery of the 60GL over the 2020-21 and 2021-22 water years?</w:t>
      </w:r>
    </w:p>
    <w:p w14:paraId="732773BC" w14:textId="77777777" w:rsidR="00535140" w:rsidRPr="00535140" w:rsidRDefault="00535140" w:rsidP="00535140">
      <w:pPr>
        <w:autoSpaceDE w:val="0"/>
        <w:autoSpaceDN w:val="0"/>
        <w:adjustRightInd w:val="0"/>
        <w:spacing w:before="0" w:after="200" w:line="276" w:lineRule="auto"/>
        <w:rPr>
          <w:rFonts w:ascii="Times New Roman" w:hAnsi="Times New Roman"/>
        </w:rPr>
      </w:pPr>
      <w:proofErr w:type="gramStart"/>
      <w:r w:rsidRPr="00535140">
        <w:rPr>
          <w:rFonts w:ascii="Times New Roman" w:hAnsi="Times New Roman"/>
        </w:rPr>
        <w:t>In order to</w:t>
      </w:r>
      <w:proofErr w:type="gramEnd"/>
      <w:r w:rsidRPr="00535140">
        <w:rPr>
          <w:rFonts w:ascii="Times New Roman" w:hAnsi="Times New Roman"/>
        </w:rPr>
        <w:t xml:space="preserve"> answer these questions, the consultant may examine:</w:t>
      </w:r>
    </w:p>
    <w:p w14:paraId="4B8FE629" w14:textId="77777777" w:rsidR="00535140" w:rsidRPr="00535140" w:rsidRDefault="00535140" w:rsidP="00535140">
      <w:pPr>
        <w:numPr>
          <w:ilvl w:val="0"/>
          <w:numId w:val="18"/>
        </w:numPr>
        <w:spacing w:before="0" w:after="120" w:line="276" w:lineRule="auto"/>
        <w:ind w:left="426" w:hanging="284"/>
        <w:rPr>
          <w:rFonts w:ascii="Times New Roman" w:hAnsi="Times New Roman"/>
        </w:rPr>
      </w:pPr>
      <w:r w:rsidRPr="00535140">
        <w:rPr>
          <w:rFonts w:ascii="Times New Roman" w:hAnsi="Times New Roman"/>
        </w:rPr>
        <w:t xml:space="preserve">What are the current and projected storage levels across the Murray-Darling Basin in 2019-20 and </w:t>
      </w:r>
      <w:r w:rsidRPr="00535140">
        <w:rPr>
          <w:rFonts w:ascii="Times New Roman" w:hAnsi="Times New Roman"/>
        </w:rPr>
        <w:br/>
        <w:t xml:space="preserve">2020-21? </w:t>
      </w:r>
    </w:p>
    <w:p w14:paraId="6A7D9E44" w14:textId="77777777" w:rsidR="00535140" w:rsidRPr="00535140" w:rsidRDefault="00535140" w:rsidP="00535140">
      <w:pPr>
        <w:numPr>
          <w:ilvl w:val="0"/>
          <w:numId w:val="18"/>
        </w:numPr>
        <w:spacing w:before="0" w:after="120" w:line="276" w:lineRule="auto"/>
        <w:ind w:left="426" w:hanging="284"/>
        <w:rPr>
          <w:rFonts w:ascii="Times New Roman" w:hAnsi="Times New Roman"/>
        </w:rPr>
      </w:pPr>
      <w:r w:rsidRPr="00535140">
        <w:rPr>
          <w:rFonts w:ascii="Times New Roman" w:hAnsi="Times New Roman"/>
        </w:rPr>
        <w:t xml:space="preserve">What are the current and projected future water allocations across the Murray-Darling Basin in 2019-20 and 2020-21? </w:t>
      </w:r>
    </w:p>
    <w:p w14:paraId="702D7BB4" w14:textId="77777777" w:rsidR="00535140" w:rsidRPr="00535140" w:rsidRDefault="00535140" w:rsidP="00535140">
      <w:pPr>
        <w:numPr>
          <w:ilvl w:val="0"/>
          <w:numId w:val="18"/>
        </w:numPr>
        <w:spacing w:before="0" w:after="120" w:line="276" w:lineRule="auto"/>
        <w:ind w:left="426" w:hanging="284"/>
        <w:rPr>
          <w:rFonts w:ascii="Times New Roman" w:hAnsi="Times New Roman"/>
        </w:rPr>
      </w:pPr>
      <w:r w:rsidRPr="00535140">
        <w:rPr>
          <w:rFonts w:ascii="Times New Roman" w:hAnsi="Times New Roman"/>
        </w:rPr>
        <w:lastRenderedPageBreak/>
        <w:t xml:space="preserve">What are the current and projected future soil moisture levels across the Murray-Darling Basin in </w:t>
      </w:r>
      <w:r w:rsidRPr="00535140">
        <w:rPr>
          <w:rFonts w:ascii="Times New Roman" w:hAnsi="Times New Roman"/>
        </w:rPr>
        <w:br/>
        <w:t>2019-20 and 2020-21?</w:t>
      </w:r>
    </w:p>
    <w:p w14:paraId="1BEFA2E7" w14:textId="77777777" w:rsidR="00535140" w:rsidRPr="00535140" w:rsidRDefault="00535140" w:rsidP="00535140">
      <w:pPr>
        <w:numPr>
          <w:ilvl w:val="0"/>
          <w:numId w:val="18"/>
        </w:numPr>
        <w:spacing w:before="60" w:after="60" w:line="276" w:lineRule="auto"/>
        <w:ind w:left="426" w:hanging="284"/>
        <w:rPr>
          <w:rFonts w:ascii="Times New Roman" w:hAnsi="Times New Roman"/>
        </w:rPr>
      </w:pPr>
      <w:r w:rsidRPr="00535140">
        <w:rPr>
          <w:rFonts w:ascii="Times New Roman" w:hAnsi="Times New Roman"/>
        </w:rPr>
        <w:t xml:space="preserve">What are the current and projected future water prices across the Murray-Darling Basin in 2019-20 and 2020-21? </w:t>
      </w:r>
    </w:p>
    <w:p w14:paraId="53492ACB" w14:textId="77777777" w:rsidR="00535140" w:rsidRPr="00535140" w:rsidRDefault="00535140" w:rsidP="00535140">
      <w:pPr>
        <w:numPr>
          <w:ilvl w:val="0"/>
          <w:numId w:val="18"/>
        </w:numPr>
        <w:spacing w:before="60" w:after="60" w:line="276" w:lineRule="auto"/>
        <w:ind w:left="426" w:hanging="284"/>
        <w:rPr>
          <w:rFonts w:ascii="Times New Roman" w:hAnsi="Times New Roman"/>
        </w:rPr>
      </w:pPr>
      <w:r w:rsidRPr="00535140">
        <w:rPr>
          <w:rFonts w:ascii="Times New Roman" w:hAnsi="Times New Roman"/>
        </w:rPr>
        <w:t xml:space="preserve">Will South Australia’s metropolitan water security be compromised if an additional 60GL from Metropolitan Adelaide’s River Murray Water Allocation is traded onto the market across the 2020-21 water year? </w:t>
      </w:r>
    </w:p>
    <w:p w14:paraId="38FB9466" w14:textId="77777777" w:rsidR="00535140" w:rsidRPr="00535140" w:rsidRDefault="00535140" w:rsidP="00535140">
      <w:pPr>
        <w:numPr>
          <w:ilvl w:val="0"/>
          <w:numId w:val="18"/>
        </w:numPr>
        <w:spacing w:before="60" w:after="60" w:line="276" w:lineRule="auto"/>
        <w:ind w:left="426" w:hanging="284"/>
        <w:rPr>
          <w:rFonts w:ascii="Times New Roman" w:hAnsi="Times New Roman"/>
        </w:rPr>
      </w:pPr>
      <w:r w:rsidRPr="00535140">
        <w:rPr>
          <w:rFonts w:ascii="Times New Roman" w:hAnsi="Times New Roman"/>
        </w:rPr>
        <w:t xml:space="preserve">Does projected unmet demand for water for major irrigated commodity sectors in the Southern Murray-Darling Basin during the 2020-21 water year present a risk to the ability of fodder-reliant sectors to gain water at a reasonable cost in order to produce fodder? </w:t>
      </w:r>
    </w:p>
    <w:p w14:paraId="2678E10D" w14:textId="77777777" w:rsidR="00535140" w:rsidRPr="00535140" w:rsidRDefault="00535140" w:rsidP="00535140">
      <w:pPr>
        <w:spacing w:before="0" w:after="120" w:line="276" w:lineRule="auto"/>
        <w:ind w:left="426" w:hanging="426"/>
        <w:rPr>
          <w:rFonts w:ascii="Times New Roman" w:hAnsi="Times New Roman"/>
          <w:i/>
        </w:rPr>
      </w:pPr>
      <w:r w:rsidRPr="00535140">
        <w:rPr>
          <w:rFonts w:ascii="Times New Roman" w:hAnsi="Times New Roman"/>
          <w:i/>
        </w:rPr>
        <w:t>3.b. Risk exposure of water-dependent agricultural sectors across the Basin</w:t>
      </w:r>
    </w:p>
    <w:p w14:paraId="065E7AF4" w14:textId="77777777" w:rsidR="00535140" w:rsidRPr="00535140" w:rsidRDefault="00535140" w:rsidP="00535140">
      <w:pPr>
        <w:numPr>
          <w:ilvl w:val="0"/>
          <w:numId w:val="18"/>
        </w:numPr>
        <w:spacing w:before="0" w:after="120" w:line="276" w:lineRule="auto"/>
        <w:ind w:left="426" w:hanging="284"/>
        <w:rPr>
          <w:rFonts w:ascii="Times New Roman" w:hAnsi="Times New Roman"/>
        </w:rPr>
      </w:pPr>
      <w:r w:rsidRPr="00535140">
        <w:rPr>
          <w:rFonts w:ascii="Times New Roman" w:hAnsi="Times New Roman"/>
        </w:rPr>
        <w:t>What is the projected demand for product in each major irrigated commodity sector</w:t>
      </w:r>
      <w:r w:rsidRPr="00535140">
        <w:rPr>
          <w:rFonts w:ascii="Times New Roman" w:hAnsi="Times New Roman"/>
          <w:vertAlign w:val="superscript"/>
        </w:rPr>
        <w:t>1</w:t>
      </w:r>
      <w:r w:rsidRPr="00535140">
        <w:rPr>
          <w:rFonts w:ascii="Times New Roman" w:hAnsi="Times New Roman"/>
        </w:rPr>
        <w:t xml:space="preserve"> in the Southern Murray-Darling Basin during the 2020-21 water year?</w:t>
      </w:r>
    </w:p>
    <w:p w14:paraId="719FA433" w14:textId="77777777" w:rsidR="00535140" w:rsidRPr="00535140" w:rsidRDefault="00535140" w:rsidP="00535140">
      <w:pPr>
        <w:numPr>
          <w:ilvl w:val="0"/>
          <w:numId w:val="18"/>
        </w:numPr>
        <w:spacing w:before="0" w:after="120" w:line="276" w:lineRule="auto"/>
        <w:ind w:left="426" w:hanging="284"/>
        <w:rPr>
          <w:rFonts w:ascii="Times New Roman" w:hAnsi="Times New Roman"/>
        </w:rPr>
      </w:pPr>
      <w:r w:rsidRPr="00535140">
        <w:rPr>
          <w:rFonts w:ascii="Times New Roman" w:hAnsi="Times New Roman"/>
        </w:rPr>
        <w:t>What is the consequence for each major irrigated commodity sector</w:t>
      </w:r>
      <w:r w:rsidRPr="00535140">
        <w:rPr>
          <w:rFonts w:ascii="Times New Roman" w:hAnsi="Times New Roman"/>
          <w:vertAlign w:val="superscript"/>
        </w:rPr>
        <w:t>1</w:t>
      </w:r>
      <w:r w:rsidRPr="00535140">
        <w:rPr>
          <w:rFonts w:ascii="Times New Roman" w:hAnsi="Times New Roman"/>
        </w:rPr>
        <w:t xml:space="preserve"> in the Southern Murray-Darling Basin of there being insufficient water during the 2020-21 water year?</w:t>
      </w:r>
    </w:p>
    <w:p w14:paraId="146B3643" w14:textId="77777777" w:rsidR="00535140" w:rsidRPr="00535140" w:rsidRDefault="00535140" w:rsidP="00535140">
      <w:pPr>
        <w:numPr>
          <w:ilvl w:val="0"/>
          <w:numId w:val="18"/>
        </w:numPr>
        <w:spacing w:before="0" w:after="200" w:line="276" w:lineRule="auto"/>
        <w:ind w:left="426" w:hanging="284"/>
        <w:rPr>
          <w:rFonts w:ascii="Times New Roman" w:hAnsi="Times New Roman"/>
        </w:rPr>
      </w:pPr>
      <w:r w:rsidRPr="00535140">
        <w:rPr>
          <w:rFonts w:ascii="Times New Roman" w:hAnsi="Times New Roman"/>
        </w:rPr>
        <w:t xml:space="preserve">What sectors are at greatest risk (in terms of continued sustainability) due to there being insufficient water during the 2020-21 water year?  </w:t>
      </w:r>
    </w:p>
    <w:p w14:paraId="700D5405" w14:textId="77777777" w:rsidR="00535140" w:rsidRPr="00535140" w:rsidRDefault="00535140" w:rsidP="00535140">
      <w:pPr>
        <w:autoSpaceDE w:val="0"/>
        <w:autoSpaceDN w:val="0"/>
        <w:adjustRightInd w:val="0"/>
        <w:spacing w:before="0" w:after="200" w:line="276" w:lineRule="auto"/>
        <w:rPr>
          <w:rFonts w:ascii="Times New Roman" w:hAnsi="Times New Roman"/>
          <w:i/>
        </w:rPr>
      </w:pPr>
      <w:r w:rsidRPr="00535140">
        <w:rPr>
          <w:rFonts w:ascii="Times New Roman" w:hAnsi="Times New Roman"/>
          <w:i/>
        </w:rPr>
        <w:t>3.c. The appropriateness of the current eligibility requirements</w:t>
      </w:r>
    </w:p>
    <w:p w14:paraId="4A5D400C" w14:textId="77777777" w:rsidR="00535140" w:rsidRPr="00535140" w:rsidRDefault="00535140" w:rsidP="00535140">
      <w:pPr>
        <w:autoSpaceDE w:val="0"/>
        <w:autoSpaceDN w:val="0"/>
        <w:adjustRightInd w:val="0"/>
        <w:spacing w:before="0" w:after="200" w:line="276" w:lineRule="auto"/>
        <w:rPr>
          <w:rFonts w:ascii="Times New Roman" w:hAnsi="Times New Roman"/>
          <w:i/>
        </w:rPr>
      </w:pPr>
      <w:r w:rsidRPr="00535140">
        <w:rPr>
          <w:rFonts w:ascii="Times New Roman" w:hAnsi="Times New Roman"/>
          <w:i/>
        </w:rPr>
        <w:t>3.d. Possible improvements to the administration of the program.</w:t>
      </w:r>
    </w:p>
    <w:p w14:paraId="766EEC7D" w14:textId="77777777" w:rsidR="00535140" w:rsidRPr="00535140" w:rsidRDefault="00535140" w:rsidP="00535140">
      <w:pPr>
        <w:spacing w:before="0" w:after="120" w:line="276" w:lineRule="auto"/>
        <w:rPr>
          <w:rFonts w:ascii="Times New Roman" w:hAnsi="Times New Roman"/>
        </w:rPr>
      </w:pPr>
      <w:r w:rsidRPr="00535140">
        <w:rPr>
          <w:rFonts w:ascii="Times New Roman" w:hAnsi="Times New Roman"/>
        </w:rPr>
        <w:t xml:space="preserve">The last two lines of inquiry are </w:t>
      </w:r>
      <w:r w:rsidRPr="00535140">
        <w:rPr>
          <w:rFonts w:ascii="Times New Roman" w:eastAsia="Times New Roman" w:hAnsi="Times New Roman"/>
          <w:lang w:val="en" w:eastAsia="en-AU"/>
        </w:rPr>
        <w:t>explored</w:t>
      </w:r>
      <w:r w:rsidRPr="00535140">
        <w:rPr>
          <w:rFonts w:ascii="Times New Roman" w:hAnsi="Times New Roman"/>
        </w:rPr>
        <w:t xml:space="preserve"> by the Department of Agriculture, </w:t>
      </w:r>
      <w:proofErr w:type="gramStart"/>
      <w:r w:rsidRPr="00535140">
        <w:rPr>
          <w:rFonts w:ascii="Times New Roman" w:hAnsi="Times New Roman"/>
        </w:rPr>
        <w:t>Water</w:t>
      </w:r>
      <w:proofErr w:type="gramEnd"/>
      <w:r w:rsidRPr="00535140">
        <w:rPr>
          <w:rFonts w:ascii="Times New Roman" w:hAnsi="Times New Roman"/>
        </w:rPr>
        <w:t xml:space="preserve"> and the Environment, informed by a public survey and targeted consultations with key stakeholders listed at </w:t>
      </w:r>
      <w:r w:rsidRPr="00535140">
        <w:rPr>
          <w:rFonts w:ascii="Times New Roman" w:hAnsi="Times New Roman"/>
          <w:b/>
        </w:rPr>
        <w:t>Attachment A</w:t>
      </w:r>
      <w:r w:rsidRPr="00535140">
        <w:rPr>
          <w:rFonts w:ascii="Times New Roman" w:hAnsi="Times New Roman"/>
        </w:rPr>
        <w:t>.</w:t>
      </w:r>
    </w:p>
    <w:p w14:paraId="18737957" w14:textId="77777777" w:rsidR="00535140" w:rsidRPr="00535140" w:rsidRDefault="00535140" w:rsidP="00535140">
      <w:pPr>
        <w:spacing w:before="0" w:after="120" w:line="276" w:lineRule="auto"/>
        <w:rPr>
          <w:rFonts w:ascii="Times New Roman" w:hAnsi="Times New Roman"/>
        </w:rPr>
      </w:pPr>
      <w:r w:rsidRPr="00535140">
        <w:rPr>
          <w:rFonts w:ascii="Times New Roman" w:hAnsi="Times New Roman"/>
        </w:rPr>
        <w:t xml:space="preserve">The South Australian Government will contribute to these lines of inquiry by providing feedback from their administration of the water transfer, and payment processes. </w:t>
      </w:r>
    </w:p>
    <w:p w14:paraId="2102B0E2" w14:textId="77777777" w:rsidR="00535140" w:rsidRPr="00535140" w:rsidRDefault="00535140" w:rsidP="00535140">
      <w:pPr>
        <w:numPr>
          <w:ilvl w:val="0"/>
          <w:numId w:val="19"/>
        </w:numPr>
        <w:spacing w:before="0" w:after="120" w:line="276" w:lineRule="auto"/>
        <w:ind w:left="425" w:hanging="425"/>
        <w:rPr>
          <w:rFonts w:ascii="Times New Roman" w:eastAsia="Times New Roman" w:hAnsi="Times New Roman"/>
          <w:b/>
          <w:lang w:val="en" w:eastAsia="en-AU"/>
        </w:rPr>
      </w:pPr>
      <w:r w:rsidRPr="00535140">
        <w:rPr>
          <w:rFonts w:ascii="Times New Roman" w:eastAsia="Times New Roman" w:hAnsi="Times New Roman"/>
          <w:b/>
          <w:lang w:val="en" w:eastAsia="en-AU"/>
        </w:rPr>
        <w:t>Scope</w:t>
      </w:r>
    </w:p>
    <w:p w14:paraId="7F48A35E" w14:textId="77777777" w:rsidR="00535140" w:rsidRPr="00535140" w:rsidRDefault="00535140" w:rsidP="00535140">
      <w:pPr>
        <w:numPr>
          <w:ilvl w:val="0"/>
          <w:numId w:val="20"/>
        </w:numPr>
        <w:spacing w:before="0" w:after="120" w:line="276" w:lineRule="auto"/>
        <w:ind w:left="357" w:hanging="357"/>
        <w:rPr>
          <w:rFonts w:ascii="Times New Roman" w:eastAsia="Times New Roman" w:hAnsi="Times New Roman"/>
          <w:lang w:val="en" w:eastAsia="en-AU"/>
        </w:rPr>
      </w:pPr>
      <w:r w:rsidRPr="00535140">
        <w:rPr>
          <w:rFonts w:ascii="Times New Roman" w:eastAsia="Times New Roman" w:hAnsi="Times New Roman"/>
          <w:lang w:val="en" w:eastAsia="en-AU"/>
        </w:rPr>
        <w:t>The review will respond to the key evaluation questions outlined above and provide relevant summary recommendations.</w:t>
      </w:r>
    </w:p>
    <w:p w14:paraId="20B0421D" w14:textId="77777777" w:rsidR="00535140" w:rsidRDefault="00535140" w:rsidP="00535140">
      <w:pPr>
        <w:numPr>
          <w:ilvl w:val="0"/>
          <w:numId w:val="20"/>
        </w:numPr>
        <w:spacing w:before="0" w:after="200" w:line="276" w:lineRule="auto"/>
        <w:contextualSpacing/>
        <w:rPr>
          <w:rFonts w:ascii="Times New Roman" w:eastAsia="Times New Roman" w:hAnsi="Times New Roman"/>
          <w:lang w:val="en" w:eastAsia="en-AU"/>
        </w:rPr>
      </w:pPr>
      <w:r w:rsidRPr="00535140">
        <w:rPr>
          <w:rFonts w:ascii="Times New Roman" w:eastAsia="Times New Roman" w:hAnsi="Times New Roman"/>
          <w:lang w:val="en" w:eastAsia="en-AU"/>
        </w:rPr>
        <w:t>Any additional scope will be agreed by the Australian and South Australian Governments in consultation with the appointed consultant.</w:t>
      </w:r>
    </w:p>
    <w:p w14:paraId="24E51AD8" w14:textId="77777777" w:rsidR="00535140" w:rsidRPr="00535140" w:rsidRDefault="00535140" w:rsidP="00535140">
      <w:pPr>
        <w:spacing w:before="0" w:after="200" w:line="276" w:lineRule="auto"/>
        <w:ind w:left="360"/>
        <w:contextualSpacing/>
        <w:rPr>
          <w:rFonts w:ascii="Times New Roman" w:eastAsia="Times New Roman" w:hAnsi="Times New Roman"/>
          <w:lang w:val="en" w:eastAsia="en-AU"/>
        </w:rPr>
      </w:pPr>
    </w:p>
    <w:p w14:paraId="04438ED0" w14:textId="77777777" w:rsidR="00535140" w:rsidRPr="00535140" w:rsidRDefault="00535140" w:rsidP="00535140">
      <w:pPr>
        <w:numPr>
          <w:ilvl w:val="0"/>
          <w:numId w:val="19"/>
        </w:numPr>
        <w:spacing w:before="0" w:after="120" w:line="276" w:lineRule="auto"/>
        <w:ind w:left="425" w:hanging="425"/>
        <w:rPr>
          <w:rFonts w:ascii="Times New Roman" w:eastAsia="Times New Roman" w:hAnsi="Times New Roman"/>
          <w:b/>
          <w:lang w:val="en" w:eastAsia="en-AU"/>
        </w:rPr>
      </w:pPr>
      <w:r w:rsidRPr="00535140">
        <w:rPr>
          <w:rFonts w:ascii="Times New Roman" w:eastAsia="Times New Roman" w:hAnsi="Times New Roman"/>
          <w:b/>
          <w:lang w:val="en" w:eastAsia="en-AU"/>
        </w:rPr>
        <w:t xml:space="preserve">Roles and responsibilities </w:t>
      </w:r>
    </w:p>
    <w:p w14:paraId="2ECA79D6" w14:textId="77777777" w:rsidR="00535140" w:rsidRPr="00535140" w:rsidRDefault="00535140" w:rsidP="00535140">
      <w:pPr>
        <w:numPr>
          <w:ilvl w:val="0"/>
          <w:numId w:val="20"/>
        </w:numPr>
        <w:spacing w:before="0" w:after="120" w:line="276" w:lineRule="auto"/>
        <w:ind w:left="357" w:hanging="357"/>
        <w:rPr>
          <w:rFonts w:ascii="Times New Roman" w:eastAsia="Times New Roman" w:hAnsi="Times New Roman"/>
          <w:lang w:val="en" w:eastAsia="en-AU"/>
        </w:rPr>
      </w:pPr>
      <w:r w:rsidRPr="00535140">
        <w:rPr>
          <w:rFonts w:ascii="Times New Roman" w:eastAsia="Times New Roman" w:hAnsi="Times New Roman"/>
          <w:lang w:val="en" w:eastAsia="en-AU"/>
        </w:rPr>
        <w:t>The Australian and South Australian Governments will be jointly responsible for the overall management of the parts of the review regarding water availability.</w:t>
      </w:r>
    </w:p>
    <w:p w14:paraId="28B0CA08" w14:textId="77777777" w:rsidR="00535140" w:rsidRPr="00535140" w:rsidRDefault="00535140" w:rsidP="00535140">
      <w:pPr>
        <w:numPr>
          <w:ilvl w:val="0"/>
          <w:numId w:val="20"/>
        </w:numPr>
        <w:spacing w:before="0" w:after="120" w:line="276" w:lineRule="auto"/>
        <w:ind w:left="357" w:hanging="357"/>
        <w:rPr>
          <w:rFonts w:ascii="Times New Roman" w:eastAsia="Times New Roman" w:hAnsi="Times New Roman"/>
          <w:lang w:val="en" w:eastAsia="en-AU"/>
        </w:rPr>
      </w:pPr>
      <w:r w:rsidRPr="00535140">
        <w:rPr>
          <w:rFonts w:ascii="Times New Roman" w:eastAsia="Times New Roman" w:hAnsi="Times New Roman"/>
          <w:lang w:val="en" w:eastAsia="en-AU"/>
        </w:rPr>
        <w:t xml:space="preserve">The consultant will be procured and paid for in full by the Australian Government; </w:t>
      </w:r>
      <w:proofErr w:type="gramStart"/>
      <w:r w:rsidRPr="00535140">
        <w:rPr>
          <w:rFonts w:ascii="Times New Roman" w:eastAsia="Times New Roman" w:hAnsi="Times New Roman"/>
          <w:lang w:val="en" w:eastAsia="en-AU"/>
        </w:rPr>
        <w:t>however</w:t>
      </w:r>
      <w:proofErr w:type="gramEnd"/>
      <w:r w:rsidRPr="00535140">
        <w:rPr>
          <w:rFonts w:ascii="Times New Roman" w:eastAsia="Times New Roman" w:hAnsi="Times New Roman"/>
          <w:lang w:val="en" w:eastAsia="en-AU"/>
        </w:rPr>
        <w:t xml:space="preserve"> the South Australian Government will be consulted on the appropriate consultant.</w:t>
      </w:r>
    </w:p>
    <w:p w14:paraId="21434CBB" w14:textId="77777777" w:rsidR="00535140" w:rsidRPr="00535140" w:rsidRDefault="00535140" w:rsidP="00535140">
      <w:pPr>
        <w:numPr>
          <w:ilvl w:val="0"/>
          <w:numId w:val="20"/>
        </w:numPr>
        <w:spacing w:before="0" w:after="120" w:line="276" w:lineRule="auto"/>
        <w:ind w:left="357" w:hanging="357"/>
        <w:rPr>
          <w:rFonts w:ascii="Times New Roman" w:eastAsia="Times New Roman" w:hAnsi="Times New Roman"/>
          <w:lang w:val="en" w:eastAsia="en-AU"/>
        </w:rPr>
      </w:pPr>
      <w:r w:rsidRPr="00535140">
        <w:rPr>
          <w:rFonts w:ascii="Times New Roman" w:eastAsia="Times New Roman" w:hAnsi="Times New Roman"/>
          <w:lang w:val="en" w:eastAsia="en-AU"/>
        </w:rPr>
        <w:t xml:space="preserve">The successful consultant will be responsible for undertaking the review for 3.a. and 3.b. consistent with </w:t>
      </w:r>
      <w:proofErr w:type="gramStart"/>
      <w:r w:rsidRPr="00535140">
        <w:rPr>
          <w:rFonts w:ascii="Times New Roman" w:eastAsia="Times New Roman" w:hAnsi="Times New Roman"/>
          <w:lang w:val="en" w:eastAsia="en-AU"/>
        </w:rPr>
        <w:t>this terms of reference</w:t>
      </w:r>
      <w:proofErr w:type="gramEnd"/>
      <w:r w:rsidRPr="00535140">
        <w:rPr>
          <w:rFonts w:ascii="Times New Roman" w:eastAsia="Times New Roman" w:hAnsi="Times New Roman"/>
          <w:lang w:val="en" w:eastAsia="en-AU"/>
        </w:rPr>
        <w:t xml:space="preserve"> for the agreed price.</w:t>
      </w:r>
    </w:p>
    <w:p w14:paraId="2DE361C6" w14:textId="77777777" w:rsidR="00535140" w:rsidRPr="00535140" w:rsidRDefault="00535140" w:rsidP="00535140">
      <w:pPr>
        <w:numPr>
          <w:ilvl w:val="0"/>
          <w:numId w:val="20"/>
        </w:numPr>
        <w:spacing w:before="0" w:after="120" w:line="276" w:lineRule="auto"/>
        <w:ind w:left="357" w:hanging="357"/>
        <w:rPr>
          <w:rFonts w:ascii="Times New Roman" w:eastAsia="Times New Roman" w:hAnsi="Times New Roman"/>
          <w:lang w:val="en" w:eastAsia="en-AU"/>
        </w:rPr>
      </w:pPr>
      <w:r w:rsidRPr="00535140">
        <w:rPr>
          <w:rFonts w:ascii="Times New Roman" w:hAnsi="Times New Roman"/>
        </w:rPr>
        <w:lastRenderedPageBreak/>
        <w:t xml:space="preserve">The Department of Agriculture, </w:t>
      </w:r>
      <w:proofErr w:type="gramStart"/>
      <w:r w:rsidRPr="00535140">
        <w:rPr>
          <w:rFonts w:ascii="Times New Roman" w:hAnsi="Times New Roman"/>
        </w:rPr>
        <w:t>Water</w:t>
      </w:r>
      <w:proofErr w:type="gramEnd"/>
      <w:r w:rsidRPr="00535140">
        <w:rPr>
          <w:rFonts w:ascii="Times New Roman" w:hAnsi="Times New Roman"/>
        </w:rPr>
        <w:t xml:space="preserve"> and the Environment, will be responsible for undertaking the review for 3.c. and 3.d., including the public survey and targeted consultations with key stakeholders.</w:t>
      </w:r>
    </w:p>
    <w:p w14:paraId="072AB97B" w14:textId="77777777" w:rsidR="00535140" w:rsidRPr="00535140" w:rsidRDefault="00535140" w:rsidP="00535140">
      <w:pPr>
        <w:numPr>
          <w:ilvl w:val="0"/>
          <w:numId w:val="19"/>
        </w:numPr>
        <w:spacing w:before="0" w:after="120" w:line="276" w:lineRule="auto"/>
        <w:ind w:left="425" w:hanging="425"/>
        <w:rPr>
          <w:rFonts w:ascii="Times New Roman" w:eastAsia="Times New Roman" w:hAnsi="Times New Roman"/>
          <w:b/>
          <w:lang w:val="en" w:eastAsia="en-AU"/>
        </w:rPr>
      </w:pPr>
      <w:r w:rsidRPr="00535140">
        <w:rPr>
          <w:rFonts w:ascii="Times New Roman" w:eastAsia="Times New Roman" w:hAnsi="Times New Roman"/>
          <w:b/>
          <w:lang w:val="en" w:eastAsia="en-AU"/>
        </w:rPr>
        <w:t>Reporting requirements</w:t>
      </w:r>
    </w:p>
    <w:p w14:paraId="0D1A6147" w14:textId="77777777" w:rsidR="00535140" w:rsidRPr="00535140" w:rsidRDefault="00535140" w:rsidP="00535140">
      <w:pPr>
        <w:spacing w:before="0" w:after="120" w:line="276" w:lineRule="auto"/>
        <w:ind w:left="425" w:hanging="425"/>
        <w:rPr>
          <w:rFonts w:ascii="Times New Roman" w:eastAsia="Times New Roman" w:hAnsi="Times New Roman"/>
          <w:lang w:val="en" w:eastAsia="en-AU"/>
        </w:rPr>
      </w:pPr>
      <w:r w:rsidRPr="00535140">
        <w:rPr>
          <w:rFonts w:ascii="Times New Roman" w:eastAsia="Times New Roman" w:hAnsi="Times New Roman"/>
          <w:lang w:val="en" w:eastAsia="en-AU"/>
        </w:rPr>
        <w:t>The consultant will report to:</w:t>
      </w:r>
    </w:p>
    <w:p w14:paraId="4812A01B" w14:textId="61EA29D0" w:rsidR="00535140" w:rsidRPr="00535140" w:rsidRDefault="006665C4" w:rsidP="00535140">
      <w:pPr>
        <w:spacing w:before="0" w:after="120" w:line="276" w:lineRule="auto"/>
        <w:rPr>
          <w:rFonts w:ascii="Times New Roman" w:eastAsia="Times New Roman" w:hAnsi="Times New Roman"/>
          <w:lang w:eastAsia="en-AU"/>
        </w:rPr>
      </w:pPr>
      <w:bookmarkStart w:id="0" w:name="_MailAutoSig"/>
      <w:r w:rsidRPr="006665C4">
        <w:rPr>
          <w:rFonts w:ascii="Times New Roman" w:eastAsia="Times New Roman" w:hAnsi="Times New Roman"/>
          <w:bCs/>
          <w:highlight w:val="black"/>
          <w:lang w:eastAsia="en-AU"/>
        </w:rPr>
        <w:t>Redacted</w:t>
      </w:r>
      <w:r w:rsidR="00535140" w:rsidRPr="006665C4">
        <w:rPr>
          <w:rFonts w:ascii="Times New Roman" w:eastAsia="Times New Roman" w:hAnsi="Times New Roman"/>
          <w:bCs/>
          <w:lang w:eastAsia="en-AU"/>
        </w:rPr>
        <w:br/>
      </w:r>
      <w:r w:rsidR="00535140" w:rsidRPr="006665C4">
        <w:rPr>
          <w:rFonts w:ascii="Times New Roman" w:eastAsia="Times New Roman" w:hAnsi="Times New Roman"/>
          <w:lang w:eastAsia="en-AU"/>
        </w:rPr>
        <w:t xml:space="preserve">A/g Director, Purchase and Northern Infrastructure Section, Water Recovery Branch </w:t>
      </w:r>
      <w:r w:rsidR="00535140" w:rsidRPr="006665C4">
        <w:rPr>
          <w:rFonts w:ascii="Times New Roman" w:eastAsia="Times New Roman" w:hAnsi="Times New Roman"/>
          <w:lang w:eastAsia="en-AU"/>
        </w:rPr>
        <w:br/>
        <w:t xml:space="preserve">Ph: </w:t>
      </w:r>
      <w:r w:rsidRPr="006665C4">
        <w:rPr>
          <w:rFonts w:ascii="Times New Roman" w:eastAsia="Times New Roman" w:hAnsi="Times New Roman"/>
          <w:bCs/>
          <w:highlight w:val="black"/>
          <w:lang w:eastAsia="en-AU"/>
        </w:rPr>
        <w:t>Redacted</w:t>
      </w:r>
      <w:r w:rsidRPr="006665C4">
        <w:rPr>
          <w:rFonts w:ascii="Times New Roman" w:eastAsia="Times New Roman" w:hAnsi="Times New Roman"/>
          <w:lang w:eastAsia="en-AU"/>
        </w:rPr>
        <w:t xml:space="preserve"> </w:t>
      </w:r>
      <w:r w:rsidR="00535140" w:rsidRPr="006665C4">
        <w:rPr>
          <w:rFonts w:ascii="Times New Roman" w:eastAsia="Times New Roman" w:hAnsi="Times New Roman"/>
          <w:lang w:eastAsia="en-AU"/>
        </w:rPr>
        <w:t xml:space="preserve">Mob: </w:t>
      </w:r>
      <w:r w:rsidRPr="006665C4">
        <w:rPr>
          <w:rFonts w:ascii="Times New Roman" w:eastAsia="Times New Roman" w:hAnsi="Times New Roman"/>
          <w:bCs/>
          <w:highlight w:val="black"/>
          <w:lang w:eastAsia="en-AU"/>
        </w:rPr>
        <w:t>Redacted</w:t>
      </w:r>
      <w:r w:rsidR="00535140" w:rsidRPr="006665C4">
        <w:rPr>
          <w:rFonts w:ascii="Times New Roman" w:eastAsia="Times New Roman" w:hAnsi="Times New Roman"/>
          <w:lang w:eastAsia="en-AU"/>
        </w:rPr>
        <w:br/>
        <w:t xml:space="preserve">Email: </w:t>
      </w:r>
      <w:r w:rsidRPr="006665C4">
        <w:rPr>
          <w:rFonts w:ascii="Times New Roman" w:eastAsia="Times New Roman" w:hAnsi="Times New Roman"/>
          <w:bCs/>
          <w:highlight w:val="black"/>
          <w:lang w:eastAsia="en-AU"/>
        </w:rPr>
        <w:t>Redacted</w:t>
      </w:r>
      <w:r w:rsidR="00535140" w:rsidRPr="00535140">
        <w:rPr>
          <w:rFonts w:ascii="Times New Roman" w:eastAsia="Times New Roman" w:hAnsi="Times New Roman"/>
          <w:color w:val="000000" w:themeColor="text1"/>
          <w:u w:val="single"/>
          <w:lang w:eastAsia="en-AU"/>
        </w:rPr>
        <w:br/>
      </w:r>
      <w:r w:rsidR="00535140" w:rsidRPr="00535140">
        <w:rPr>
          <w:rFonts w:ascii="Times New Roman" w:eastAsia="Times New Roman" w:hAnsi="Times New Roman"/>
          <w:color w:val="000000" w:themeColor="text1"/>
          <w:lang w:eastAsia="en-AU"/>
        </w:rPr>
        <w:t xml:space="preserve">Department of Agriculture, </w:t>
      </w:r>
      <w:proofErr w:type="gramStart"/>
      <w:r w:rsidR="00535140" w:rsidRPr="00535140">
        <w:rPr>
          <w:rFonts w:ascii="Times New Roman" w:eastAsia="Times New Roman" w:hAnsi="Times New Roman"/>
          <w:color w:val="000000" w:themeColor="text1"/>
          <w:lang w:eastAsia="en-AU"/>
        </w:rPr>
        <w:t>Water</w:t>
      </w:r>
      <w:proofErr w:type="gramEnd"/>
      <w:r w:rsidR="00535140" w:rsidRPr="00535140">
        <w:rPr>
          <w:rFonts w:ascii="Times New Roman" w:eastAsia="Times New Roman" w:hAnsi="Times New Roman"/>
          <w:color w:val="000000" w:themeColor="text1"/>
          <w:lang w:eastAsia="en-AU"/>
        </w:rPr>
        <w:t xml:space="preserve"> and </w:t>
      </w:r>
      <w:r w:rsidR="00535140" w:rsidRPr="00535140">
        <w:rPr>
          <w:rFonts w:ascii="Times New Roman" w:eastAsia="Times New Roman" w:hAnsi="Times New Roman"/>
          <w:lang w:eastAsia="en-AU"/>
        </w:rPr>
        <w:t>the Environment</w:t>
      </w:r>
      <w:r w:rsidR="00535140" w:rsidRPr="00535140">
        <w:rPr>
          <w:rFonts w:ascii="Times New Roman" w:eastAsia="Times New Roman" w:hAnsi="Times New Roman"/>
          <w:lang w:eastAsia="en-AU"/>
        </w:rPr>
        <w:br/>
        <w:t>18 Marcus Clarke Street, Canberra ACT 2601, GPO Box 858 Canberra ACT 2601 Australia</w:t>
      </w:r>
      <w:bookmarkEnd w:id="0"/>
    </w:p>
    <w:p w14:paraId="0D95184F" w14:textId="77777777" w:rsidR="00535140" w:rsidRPr="00535140" w:rsidRDefault="00535140" w:rsidP="00535140">
      <w:pPr>
        <w:numPr>
          <w:ilvl w:val="0"/>
          <w:numId w:val="19"/>
        </w:numPr>
        <w:spacing w:before="0" w:after="120" w:line="276" w:lineRule="auto"/>
        <w:ind w:left="425" w:hanging="425"/>
        <w:rPr>
          <w:rFonts w:ascii="Times New Roman" w:eastAsia="Times New Roman" w:hAnsi="Times New Roman"/>
          <w:b/>
          <w:lang w:val="en" w:eastAsia="en-AU"/>
        </w:rPr>
      </w:pPr>
      <w:r w:rsidRPr="00535140">
        <w:rPr>
          <w:rFonts w:ascii="Times New Roman" w:eastAsia="Times New Roman" w:hAnsi="Times New Roman"/>
          <w:b/>
          <w:lang w:val="en" w:eastAsia="en-AU"/>
        </w:rPr>
        <w:t>Timeline and milestones</w:t>
      </w:r>
    </w:p>
    <w:tbl>
      <w:tblPr>
        <w:tblStyle w:val="TableGrid1"/>
        <w:tblW w:w="9781" w:type="dxa"/>
        <w:tblInd w:w="-5" w:type="dxa"/>
        <w:tblLook w:val="04A0" w:firstRow="1" w:lastRow="0" w:firstColumn="1" w:lastColumn="0" w:noHBand="0" w:noVBand="1"/>
      </w:tblPr>
      <w:tblGrid>
        <w:gridCol w:w="6237"/>
        <w:gridCol w:w="3544"/>
      </w:tblGrid>
      <w:tr w:rsidR="00535140" w:rsidRPr="00535140" w14:paraId="2B8C0A55" w14:textId="77777777" w:rsidTr="00501180">
        <w:tc>
          <w:tcPr>
            <w:tcW w:w="6237" w:type="dxa"/>
            <w:vAlign w:val="center"/>
          </w:tcPr>
          <w:p w14:paraId="2BD242C7" w14:textId="77777777" w:rsidR="00535140" w:rsidRPr="00535140" w:rsidRDefault="00535140" w:rsidP="00535140">
            <w:pPr>
              <w:spacing w:before="0" w:after="200" w:line="276" w:lineRule="auto"/>
              <w:jc w:val="center"/>
              <w:rPr>
                <w:rFonts w:ascii="Times New Roman" w:eastAsia="Times New Roman" w:hAnsi="Times New Roman"/>
                <w:b/>
                <w:lang w:val="en" w:eastAsia="en-AU"/>
              </w:rPr>
            </w:pPr>
            <w:r w:rsidRPr="00535140">
              <w:rPr>
                <w:rFonts w:ascii="Times New Roman" w:eastAsia="Times New Roman" w:hAnsi="Times New Roman"/>
                <w:b/>
                <w:lang w:val="en" w:eastAsia="en-AU"/>
              </w:rPr>
              <w:t>Milestone</w:t>
            </w:r>
          </w:p>
        </w:tc>
        <w:tc>
          <w:tcPr>
            <w:tcW w:w="3544" w:type="dxa"/>
            <w:vAlign w:val="center"/>
          </w:tcPr>
          <w:p w14:paraId="3C5888FC" w14:textId="77777777" w:rsidR="00535140" w:rsidRPr="00535140" w:rsidRDefault="00535140" w:rsidP="00535140">
            <w:pPr>
              <w:spacing w:before="0" w:after="200" w:line="276" w:lineRule="auto"/>
              <w:jc w:val="center"/>
              <w:rPr>
                <w:rFonts w:ascii="Times New Roman" w:eastAsia="Times New Roman" w:hAnsi="Times New Roman"/>
                <w:b/>
                <w:lang w:val="en" w:eastAsia="en-AU"/>
              </w:rPr>
            </w:pPr>
            <w:r w:rsidRPr="00535140">
              <w:rPr>
                <w:rFonts w:ascii="Times New Roman" w:eastAsia="Times New Roman" w:hAnsi="Times New Roman"/>
                <w:b/>
                <w:lang w:val="en" w:eastAsia="en-AU"/>
              </w:rPr>
              <w:t>Due Date</w:t>
            </w:r>
          </w:p>
        </w:tc>
      </w:tr>
      <w:tr w:rsidR="00535140" w:rsidRPr="00535140" w14:paraId="02645BEC" w14:textId="77777777" w:rsidTr="00501180">
        <w:tc>
          <w:tcPr>
            <w:tcW w:w="6237" w:type="dxa"/>
            <w:vAlign w:val="center"/>
          </w:tcPr>
          <w:p w14:paraId="3675301A" w14:textId="77777777" w:rsidR="00535140" w:rsidRPr="00535140" w:rsidRDefault="00535140" w:rsidP="00535140">
            <w:pPr>
              <w:spacing w:before="0" w:after="200" w:line="276" w:lineRule="auto"/>
              <w:rPr>
                <w:rFonts w:ascii="Times New Roman" w:eastAsia="Times New Roman" w:hAnsi="Times New Roman"/>
                <w:lang w:val="en" w:eastAsia="en-AU"/>
              </w:rPr>
            </w:pPr>
            <w:r w:rsidRPr="00535140">
              <w:rPr>
                <w:rFonts w:ascii="Times New Roman" w:eastAsia="Times New Roman" w:hAnsi="Times New Roman"/>
                <w:lang w:val="en" w:eastAsia="en-AU"/>
              </w:rPr>
              <w:t>Commencement of Review</w:t>
            </w:r>
          </w:p>
        </w:tc>
        <w:tc>
          <w:tcPr>
            <w:tcW w:w="3544" w:type="dxa"/>
            <w:vAlign w:val="center"/>
          </w:tcPr>
          <w:p w14:paraId="48C32B63" w14:textId="77777777" w:rsidR="00535140" w:rsidRPr="00535140" w:rsidRDefault="00535140" w:rsidP="00535140">
            <w:pPr>
              <w:spacing w:before="0" w:after="200" w:line="276" w:lineRule="auto"/>
              <w:rPr>
                <w:rFonts w:ascii="Times New Roman" w:eastAsia="Times New Roman" w:hAnsi="Times New Roman"/>
                <w:lang w:val="en" w:eastAsia="en-AU"/>
              </w:rPr>
            </w:pPr>
            <w:r w:rsidRPr="00535140">
              <w:rPr>
                <w:rFonts w:ascii="Times New Roman" w:eastAsia="Times New Roman" w:hAnsi="Times New Roman"/>
                <w:lang w:val="en" w:eastAsia="en-AU"/>
              </w:rPr>
              <w:t>23 March 2020</w:t>
            </w:r>
          </w:p>
        </w:tc>
      </w:tr>
      <w:tr w:rsidR="00535140" w:rsidRPr="00535140" w14:paraId="1CA8A01D" w14:textId="77777777" w:rsidTr="00501180">
        <w:tc>
          <w:tcPr>
            <w:tcW w:w="6237" w:type="dxa"/>
            <w:vAlign w:val="center"/>
          </w:tcPr>
          <w:p w14:paraId="5F270FE0" w14:textId="77777777" w:rsidR="00535140" w:rsidRPr="00535140" w:rsidRDefault="00535140" w:rsidP="00535140">
            <w:pPr>
              <w:spacing w:before="0" w:after="200" w:line="276" w:lineRule="auto"/>
              <w:rPr>
                <w:rFonts w:ascii="Times New Roman" w:eastAsia="Times New Roman" w:hAnsi="Times New Roman"/>
                <w:lang w:val="en" w:eastAsia="en-AU"/>
              </w:rPr>
            </w:pPr>
            <w:r w:rsidRPr="00535140">
              <w:rPr>
                <w:rFonts w:ascii="Times New Roman" w:eastAsia="Times New Roman" w:hAnsi="Times New Roman"/>
                <w:lang w:val="en" w:eastAsia="en-AU"/>
              </w:rPr>
              <w:t>Provision of Draft Report for 3.a. and 3.b. by consultant</w:t>
            </w:r>
          </w:p>
        </w:tc>
        <w:tc>
          <w:tcPr>
            <w:tcW w:w="3544" w:type="dxa"/>
            <w:vAlign w:val="center"/>
          </w:tcPr>
          <w:p w14:paraId="7898E57B" w14:textId="77777777" w:rsidR="00535140" w:rsidRPr="00535140" w:rsidRDefault="00535140" w:rsidP="00535140">
            <w:pPr>
              <w:spacing w:before="0" w:after="200" w:line="276" w:lineRule="auto"/>
              <w:rPr>
                <w:rFonts w:ascii="Times New Roman" w:eastAsia="Times New Roman" w:hAnsi="Times New Roman"/>
                <w:lang w:val="en" w:eastAsia="en-AU"/>
              </w:rPr>
            </w:pPr>
            <w:r w:rsidRPr="00535140">
              <w:rPr>
                <w:rFonts w:ascii="Times New Roman" w:eastAsia="Times New Roman" w:hAnsi="Times New Roman"/>
                <w:lang w:val="en" w:eastAsia="en-AU"/>
              </w:rPr>
              <w:t>COB - 30 March 2020</w:t>
            </w:r>
          </w:p>
        </w:tc>
      </w:tr>
      <w:tr w:rsidR="00535140" w:rsidRPr="00535140" w14:paraId="74EC776C" w14:textId="77777777" w:rsidTr="00501180">
        <w:tc>
          <w:tcPr>
            <w:tcW w:w="6237" w:type="dxa"/>
            <w:vAlign w:val="center"/>
          </w:tcPr>
          <w:p w14:paraId="0C1338E7" w14:textId="77777777" w:rsidR="00535140" w:rsidRPr="00535140" w:rsidRDefault="00535140" w:rsidP="00535140">
            <w:pPr>
              <w:spacing w:before="0" w:after="200" w:line="276" w:lineRule="auto"/>
              <w:rPr>
                <w:rFonts w:ascii="Times New Roman" w:eastAsia="Times New Roman" w:hAnsi="Times New Roman"/>
                <w:lang w:val="en" w:eastAsia="en-AU"/>
              </w:rPr>
            </w:pPr>
            <w:r w:rsidRPr="00535140">
              <w:rPr>
                <w:rFonts w:ascii="Times New Roman" w:eastAsia="Times New Roman" w:hAnsi="Times New Roman"/>
                <w:lang w:val="en" w:eastAsia="en-AU"/>
              </w:rPr>
              <w:t>Provision of Final Report for 3.a. and 3.b. by consultant</w:t>
            </w:r>
          </w:p>
        </w:tc>
        <w:tc>
          <w:tcPr>
            <w:tcW w:w="3544" w:type="dxa"/>
            <w:vAlign w:val="center"/>
          </w:tcPr>
          <w:p w14:paraId="587AAA84" w14:textId="77777777" w:rsidR="00535140" w:rsidRPr="00535140" w:rsidRDefault="00535140" w:rsidP="00535140">
            <w:pPr>
              <w:spacing w:before="0" w:after="200" w:line="276" w:lineRule="auto"/>
              <w:rPr>
                <w:rFonts w:ascii="Times New Roman" w:eastAsia="Times New Roman" w:hAnsi="Times New Roman"/>
                <w:lang w:val="en" w:eastAsia="en-AU"/>
              </w:rPr>
            </w:pPr>
            <w:r w:rsidRPr="00535140">
              <w:rPr>
                <w:rFonts w:ascii="Times New Roman" w:eastAsia="Times New Roman" w:hAnsi="Times New Roman"/>
                <w:lang w:val="en" w:eastAsia="en-AU"/>
              </w:rPr>
              <w:t>COB - 6 April 2020</w:t>
            </w:r>
          </w:p>
        </w:tc>
      </w:tr>
      <w:tr w:rsidR="00535140" w:rsidRPr="00535140" w14:paraId="712CDBB0" w14:textId="77777777" w:rsidTr="00501180">
        <w:tc>
          <w:tcPr>
            <w:tcW w:w="6237" w:type="dxa"/>
            <w:vAlign w:val="center"/>
          </w:tcPr>
          <w:p w14:paraId="2EAE5289" w14:textId="77777777" w:rsidR="00535140" w:rsidRPr="00535140" w:rsidRDefault="00535140" w:rsidP="00535140">
            <w:pPr>
              <w:spacing w:before="0" w:after="200" w:line="276" w:lineRule="auto"/>
              <w:rPr>
                <w:rFonts w:ascii="Times New Roman" w:eastAsia="Times New Roman" w:hAnsi="Times New Roman"/>
                <w:lang w:val="en" w:eastAsia="en-AU"/>
              </w:rPr>
            </w:pPr>
            <w:r w:rsidRPr="00535140">
              <w:rPr>
                <w:rFonts w:ascii="Times New Roman" w:eastAsia="Times New Roman" w:hAnsi="Times New Roman"/>
                <w:lang w:val="en" w:eastAsia="en-AU"/>
              </w:rPr>
              <w:t>Provision of Draft Report for 3.c. and 3.d. by Australian Government to South Australian Government for final acceptance</w:t>
            </w:r>
          </w:p>
        </w:tc>
        <w:tc>
          <w:tcPr>
            <w:tcW w:w="3544" w:type="dxa"/>
            <w:vAlign w:val="center"/>
          </w:tcPr>
          <w:p w14:paraId="70A1259D" w14:textId="77777777" w:rsidR="00535140" w:rsidRPr="00535140" w:rsidRDefault="00535140" w:rsidP="00535140">
            <w:pPr>
              <w:spacing w:before="0" w:after="200" w:line="276" w:lineRule="auto"/>
              <w:rPr>
                <w:rFonts w:ascii="Times New Roman" w:eastAsia="Times New Roman" w:hAnsi="Times New Roman"/>
                <w:lang w:val="en" w:eastAsia="en-AU"/>
              </w:rPr>
            </w:pPr>
            <w:r w:rsidRPr="00535140">
              <w:rPr>
                <w:rFonts w:ascii="Times New Roman" w:eastAsia="Times New Roman" w:hAnsi="Times New Roman"/>
                <w:lang w:val="en" w:eastAsia="en-AU"/>
              </w:rPr>
              <w:t>6 April 2020</w:t>
            </w:r>
          </w:p>
        </w:tc>
      </w:tr>
      <w:tr w:rsidR="00535140" w:rsidRPr="00535140" w14:paraId="18411331" w14:textId="77777777" w:rsidTr="00501180">
        <w:tc>
          <w:tcPr>
            <w:tcW w:w="6237" w:type="dxa"/>
            <w:vAlign w:val="center"/>
          </w:tcPr>
          <w:p w14:paraId="60F4DF41" w14:textId="77777777" w:rsidR="00535140" w:rsidRPr="00535140" w:rsidRDefault="00535140" w:rsidP="00535140">
            <w:pPr>
              <w:spacing w:before="0" w:after="200" w:line="276" w:lineRule="auto"/>
              <w:rPr>
                <w:rFonts w:ascii="Times New Roman" w:eastAsia="Times New Roman" w:hAnsi="Times New Roman"/>
                <w:lang w:val="en" w:eastAsia="en-AU"/>
              </w:rPr>
            </w:pPr>
            <w:r w:rsidRPr="00535140">
              <w:rPr>
                <w:rFonts w:ascii="Times New Roman" w:eastAsia="Times New Roman" w:hAnsi="Times New Roman"/>
                <w:lang w:val="en" w:eastAsia="en-AU"/>
              </w:rPr>
              <w:t>Acceptance of Final Report by the Australian and South Australian Governments</w:t>
            </w:r>
          </w:p>
        </w:tc>
        <w:tc>
          <w:tcPr>
            <w:tcW w:w="3544" w:type="dxa"/>
            <w:vAlign w:val="center"/>
          </w:tcPr>
          <w:p w14:paraId="2D25A53E" w14:textId="77777777" w:rsidR="00535140" w:rsidRPr="00535140" w:rsidRDefault="00535140" w:rsidP="00535140">
            <w:pPr>
              <w:spacing w:before="0" w:after="200" w:line="276" w:lineRule="auto"/>
              <w:rPr>
                <w:rFonts w:ascii="Times New Roman" w:eastAsia="Times New Roman" w:hAnsi="Times New Roman"/>
                <w:lang w:val="en" w:eastAsia="en-AU"/>
              </w:rPr>
            </w:pPr>
            <w:r w:rsidRPr="00535140">
              <w:rPr>
                <w:rFonts w:ascii="Times New Roman" w:eastAsia="Times New Roman" w:hAnsi="Times New Roman"/>
                <w:lang w:val="en" w:eastAsia="en-AU"/>
              </w:rPr>
              <w:t>14 April 2020</w:t>
            </w:r>
          </w:p>
        </w:tc>
      </w:tr>
    </w:tbl>
    <w:p w14:paraId="138A0636" w14:textId="77777777" w:rsidR="00535140" w:rsidRPr="00535140" w:rsidRDefault="00535140" w:rsidP="00535140">
      <w:pPr>
        <w:spacing w:before="0" w:after="200" w:line="276" w:lineRule="auto"/>
        <w:ind w:left="425" w:hanging="425"/>
        <w:rPr>
          <w:rFonts w:ascii="Times New Roman" w:eastAsia="Times New Roman" w:hAnsi="Times New Roman"/>
          <w:lang w:val="en" w:eastAsia="en-AU"/>
        </w:rPr>
      </w:pPr>
    </w:p>
    <w:p w14:paraId="311CFD11" w14:textId="77777777" w:rsidR="00535140" w:rsidRPr="00535140" w:rsidRDefault="00535140" w:rsidP="00535140">
      <w:pPr>
        <w:numPr>
          <w:ilvl w:val="0"/>
          <w:numId w:val="19"/>
        </w:numPr>
        <w:spacing w:before="0" w:after="120" w:line="276" w:lineRule="auto"/>
        <w:ind w:left="425" w:hanging="425"/>
        <w:rPr>
          <w:rFonts w:ascii="Times New Roman" w:eastAsia="Times New Roman" w:hAnsi="Times New Roman"/>
          <w:b/>
          <w:lang w:val="en" w:eastAsia="en-AU"/>
        </w:rPr>
      </w:pPr>
      <w:r w:rsidRPr="00535140">
        <w:rPr>
          <w:rFonts w:ascii="Times New Roman" w:eastAsia="Times New Roman" w:hAnsi="Times New Roman"/>
          <w:b/>
          <w:lang w:val="en" w:eastAsia="en-AU"/>
        </w:rPr>
        <w:t>Any specific requirements</w:t>
      </w:r>
    </w:p>
    <w:p w14:paraId="40253889" w14:textId="77777777" w:rsidR="00535140" w:rsidRPr="00535140" w:rsidRDefault="00535140" w:rsidP="00535140">
      <w:pPr>
        <w:spacing w:before="0" w:after="200" w:line="276" w:lineRule="auto"/>
        <w:rPr>
          <w:rFonts w:ascii="Times New Roman" w:eastAsia="Times New Roman" w:hAnsi="Times New Roman"/>
          <w:lang w:val="en" w:eastAsia="en-AU"/>
        </w:rPr>
      </w:pPr>
      <w:r w:rsidRPr="00535140">
        <w:rPr>
          <w:rFonts w:ascii="Times New Roman" w:eastAsia="Times New Roman" w:hAnsi="Times New Roman"/>
          <w:lang w:val="en" w:eastAsia="en-AU"/>
        </w:rPr>
        <w:t>The final reports will be published by the Australian Government in consultation with the South Australian Government at an agreed time.</w:t>
      </w:r>
    </w:p>
    <w:p w14:paraId="6EF6C4EC" w14:textId="77777777" w:rsidR="00535140" w:rsidRPr="00535140" w:rsidRDefault="00535140" w:rsidP="00535140">
      <w:pPr>
        <w:spacing w:before="0" w:after="200" w:line="276" w:lineRule="auto"/>
        <w:ind w:left="284" w:hanging="284"/>
        <w:rPr>
          <w:rFonts w:ascii="Times New Roman" w:eastAsia="Times New Roman" w:hAnsi="Times New Roman"/>
          <w:lang w:val="en" w:eastAsia="en-AU"/>
        </w:rPr>
      </w:pPr>
    </w:p>
    <w:p w14:paraId="0BED73D2" w14:textId="77777777" w:rsidR="00535140" w:rsidRPr="00535140" w:rsidRDefault="00535140" w:rsidP="00535140">
      <w:pPr>
        <w:spacing w:before="0" w:after="200" w:line="276" w:lineRule="auto"/>
        <w:rPr>
          <w:rFonts w:ascii="Times New Roman" w:hAnsi="Times New Roman"/>
        </w:rPr>
      </w:pPr>
      <w:r w:rsidRPr="00535140">
        <w:rPr>
          <w:rFonts w:ascii="Times New Roman" w:hAnsi="Times New Roman"/>
        </w:rPr>
        <w:br w:type="page"/>
      </w:r>
    </w:p>
    <w:p w14:paraId="2F80E9ED" w14:textId="77777777" w:rsidR="00535140" w:rsidRPr="00535140" w:rsidRDefault="00535140" w:rsidP="00535140">
      <w:pPr>
        <w:spacing w:before="0" w:after="200" w:line="276" w:lineRule="auto"/>
        <w:rPr>
          <w:rFonts w:ascii="Times New Roman" w:hAnsi="Times New Roman"/>
          <w:b/>
        </w:rPr>
      </w:pPr>
      <w:r w:rsidRPr="00535140">
        <w:rPr>
          <w:rFonts w:ascii="Times New Roman" w:hAnsi="Times New Roman"/>
          <w:b/>
        </w:rPr>
        <w:lastRenderedPageBreak/>
        <w:t>Attachment A to the terms of reference—Stakeholder list</w:t>
      </w:r>
    </w:p>
    <w:p w14:paraId="7F9AEA22" w14:textId="77777777" w:rsidR="00535140" w:rsidRPr="00535140" w:rsidRDefault="00535140" w:rsidP="00535140">
      <w:pPr>
        <w:spacing w:before="0" w:after="200" w:line="276" w:lineRule="auto"/>
        <w:rPr>
          <w:rFonts w:ascii="Times New Roman" w:hAnsi="Times New Roman"/>
        </w:rPr>
      </w:pPr>
      <w:r w:rsidRPr="00535140">
        <w:rPr>
          <w:rFonts w:ascii="Times New Roman" w:hAnsi="Times New Roman"/>
        </w:rPr>
        <w:t xml:space="preserve">Australian Water Brokers Association </w:t>
      </w:r>
    </w:p>
    <w:p w14:paraId="75150DAA" w14:textId="77777777" w:rsidR="00535140" w:rsidRPr="00535140" w:rsidRDefault="00535140" w:rsidP="00535140">
      <w:pPr>
        <w:spacing w:before="0" w:after="200" w:line="276" w:lineRule="auto"/>
        <w:rPr>
          <w:rFonts w:ascii="Times New Roman" w:hAnsi="Times New Roman"/>
        </w:rPr>
      </w:pPr>
      <w:r w:rsidRPr="00535140">
        <w:rPr>
          <w:rFonts w:ascii="Times New Roman" w:hAnsi="Times New Roman"/>
        </w:rPr>
        <w:t>Central Irrigation Trust</w:t>
      </w:r>
    </w:p>
    <w:p w14:paraId="43BA2194" w14:textId="77777777" w:rsidR="00535140" w:rsidRPr="00535140" w:rsidRDefault="00535140" w:rsidP="00535140">
      <w:pPr>
        <w:spacing w:before="0" w:after="200" w:line="276" w:lineRule="auto"/>
        <w:rPr>
          <w:rFonts w:ascii="Times New Roman" w:hAnsi="Times New Roman"/>
        </w:rPr>
      </w:pPr>
      <w:r w:rsidRPr="00535140">
        <w:rPr>
          <w:rFonts w:ascii="Times New Roman" w:hAnsi="Times New Roman"/>
        </w:rPr>
        <w:t>Coleambally Irrigation Co-operative</w:t>
      </w:r>
    </w:p>
    <w:p w14:paraId="56A6F71E" w14:textId="77777777" w:rsidR="00535140" w:rsidRPr="00535140" w:rsidRDefault="00535140" w:rsidP="00535140">
      <w:pPr>
        <w:spacing w:before="0" w:after="200" w:line="276" w:lineRule="auto"/>
        <w:rPr>
          <w:rFonts w:ascii="Times New Roman" w:hAnsi="Times New Roman"/>
        </w:rPr>
      </w:pPr>
      <w:r w:rsidRPr="00535140">
        <w:rPr>
          <w:rFonts w:ascii="Times New Roman" w:hAnsi="Times New Roman"/>
        </w:rPr>
        <w:t xml:space="preserve">Goulburn-Murray Water </w:t>
      </w:r>
    </w:p>
    <w:p w14:paraId="5E631742" w14:textId="77777777" w:rsidR="00535140" w:rsidRPr="00535140" w:rsidRDefault="00535140" w:rsidP="00535140">
      <w:pPr>
        <w:spacing w:before="0" w:after="200" w:line="276" w:lineRule="auto"/>
        <w:rPr>
          <w:rFonts w:ascii="Times New Roman" w:hAnsi="Times New Roman"/>
        </w:rPr>
      </w:pPr>
      <w:r w:rsidRPr="00535140">
        <w:rPr>
          <w:rFonts w:ascii="Times New Roman" w:hAnsi="Times New Roman"/>
        </w:rPr>
        <w:t>Lower Murray Water</w:t>
      </w:r>
    </w:p>
    <w:p w14:paraId="1A802542" w14:textId="77777777" w:rsidR="00535140" w:rsidRPr="00535140" w:rsidRDefault="00535140" w:rsidP="00535140">
      <w:pPr>
        <w:spacing w:before="0" w:after="200" w:line="276" w:lineRule="auto"/>
        <w:rPr>
          <w:rFonts w:ascii="Times New Roman" w:hAnsi="Times New Roman"/>
        </w:rPr>
      </w:pPr>
      <w:r w:rsidRPr="00535140">
        <w:rPr>
          <w:rFonts w:ascii="Times New Roman" w:hAnsi="Times New Roman"/>
        </w:rPr>
        <w:t>Murray Irrigation</w:t>
      </w:r>
    </w:p>
    <w:p w14:paraId="41220621" w14:textId="77777777" w:rsidR="00535140" w:rsidRPr="00535140" w:rsidRDefault="00535140" w:rsidP="00535140">
      <w:pPr>
        <w:spacing w:before="0" w:after="200" w:line="276" w:lineRule="auto"/>
        <w:rPr>
          <w:rFonts w:ascii="Times New Roman" w:hAnsi="Times New Roman"/>
        </w:rPr>
      </w:pPr>
      <w:r w:rsidRPr="00535140">
        <w:rPr>
          <w:rFonts w:ascii="Times New Roman" w:hAnsi="Times New Roman"/>
        </w:rPr>
        <w:t>Murrumbidgee Irrigation</w:t>
      </w:r>
    </w:p>
    <w:p w14:paraId="5151FFD2" w14:textId="77777777" w:rsidR="00535140" w:rsidRPr="00535140" w:rsidRDefault="00535140" w:rsidP="00535140">
      <w:pPr>
        <w:spacing w:before="0" w:after="200" w:line="276" w:lineRule="auto"/>
        <w:rPr>
          <w:rFonts w:ascii="Times New Roman" w:hAnsi="Times New Roman"/>
        </w:rPr>
      </w:pPr>
      <w:r w:rsidRPr="00535140">
        <w:rPr>
          <w:rFonts w:ascii="Times New Roman" w:hAnsi="Times New Roman"/>
        </w:rPr>
        <w:t>National Irrigators' Council</w:t>
      </w:r>
    </w:p>
    <w:p w14:paraId="51D00157" w14:textId="77777777" w:rsidR="00535140" w:rsidRPr="00535140" w:rsidRDefault="00535140" w:rsidP="00535140">
      <w:pPr>
        <w:spacing w:before="0" w:after="200" w:line="276" w:lineRule="auto"/>
        <w:rPr>
          <w:rFonts w:ascii="Times New Roman" w:hAnsi="Times New Roman"/>
        </w:rPr>
      </w:pPr>
      <w:r w:rsidRPr="00535140">
        <w:rPr>
          <w:rFonts w:ascii="Times New Roman" w:hAnsi="Times New Roman"/>
        </w:rPr>
        <w:t>NSW Irrigators' Council</w:t>
      </w:r>
    </w:p>
    <w:p w14:paraId="33D04F95" w14:textId="77777777" w:rsidR="00535140" w:rsidRPr="00535140" w:rsidRDefault="00535140" w:rsidP="00535140">
      <w:pPr>
        <w:spacing w:before="0" w:after="200" w:line="276" w:lineRule="auto"/>
        <w:rPr>
          <w:rFonts w:ascii="Times New Roman" w:hAnsi="Times New Roman"/>
        </w:rPr>
      </w:pPr>
      <w:r w:rsidRPr="00535140">
        <w:rPr>
          <w:rFonts w:ascii="Times New Roman" w:hAnsi="Times New Roman"/>
        </w:rPr>
        <w:t>Australian Dairy Farmers Limited</w:t>
      </w:r>
    </w:p>
    <w:p w14:paraId="5989CCF6" w14:textId="77777777" w:rsidR="00535140" w:rsidRPr="00535140" w:rsidRDefault="00535140" w:rsidP="00535140">
      <w:pPr>
        <w:spacing w:before="0" w:after="200" w:line="276" w:lineRule="auto"/>
        <w:rPr>
          <w:rFonts w:ascii="Times New Roman" w:hAnsi="Times New Roman"/>
        </w:rPr>
      </w:pPr>
      <w:r w:rsidRPr="00535140">
        <w:rPr>
          <w:rFonts w:ascii="Times New Roman" w:hAnsi="Times New Roman"/>
        </w:rPr>
        <w:t>National Farmers’ Federation</w:t>
      </w:r>
    </w:p>
    <w:p w14:paraId="1688DE4C" w14:textId="77777777" w:rsidR="00535140" w:rsidRPr="00535140" w:rsidRDefault="00535140" w:rsidP="00535140">
      <w:pPr>
        <w:spacing w:before="0" w:after="200" w:line="276" w:lineRule="auto"/>
        <w:rPr>
          <w:rFonts w:ascii="Times New Roman" w:hAnsi="Times New Roman"/>
        </w:rPr>
      </w:pPr>
      <w:r w:rsidRPr="00535140">
        <w:rPr>
          <w:rFonts w:ascii="Times New Roman" w:hAnsi="Times New Roman"/>
        </w:rPr>
        <w:t>NSW Farmers Association</w:t>
      </w:r>
    </w:p>
    <w:p w14:paraId="1BC4D6CA" w14:textId="77777777" w:rsidR="00535140" w:rsidRPr="00535140" w:rsidRDefault="00535140" w:rsidP="00535140">
      <w:pPr>
        <w:spacing w:before="0" w:after="200" w:line="276" w:lineRule="auto"/>
        <w:rPr>
          <w:rFonts w:ascii="Times New Roman" w:hAnsi="Times New Roman"/>
        </w:rPr>
      </w:pPr>
      <w:r w:rsidRPr="00535140">
        <w:rPr>
          <w:rFonts w:ascii="Times New Roman" w:hAnsi="Times New Roman"/>
        </w:rPr>
        <w:t>Primary Producers SA (PPSA)</w:t>
      </w:r>
    </w:p>
    <w:p w14:paraId="6970BA4E" w14:textId="77777777" w:rsidR="00535140" w:rsidRPr="00535140" w:rsidRDefault="00535140" w:rsidP="00535140">
      <w:pPr>
        <w:spacing w:before="0" w:after="200" w:line="276" w:lineRule="auto"/>
        <w:rPr>
          <w:rFonts w:ascii="Times New Roman" w:hAnsi="Times New Roman"/>
        </w:rPr>
      </w:pPr>
      <w:r w:rsidRPr="00535140">
        <w:rPr>
          <w:rFonts w:ascii="Times New Roman" w:hAnsi="Times New Roman"/>
        </w:rPr>
        <w:t>Australian Fodder Industry Association (AFIA)</w:t>
      </w:r>
    </w:p>
    <w:p w14:paraId="24A821A6" w14:textId="77777777" w:rsidR="00535140" w:rsidRPr="00535140" w:rsidRDefault="00535140" w:rsidP="00535140">
      <w:pPr>
        <w:spacing w:before="0" w:after="200" w:line="276" w:lineRule="auto"/>
        <w:rPr>
          <w:rFonts w:ascii="Times New Roman" w:hAnsi="Times New Roman"/>
        </w:rPr>
      </w:pPr>
      <w:r w:rsidRPr="00535140">
        <w:rPr>
          <w:rFonts w:ascii="Times New Roman" w:hAnsi="Times New Roman"/>
        </w:rPr>
        <w:t>Victorian Farmers Federation</w:t>
      </w:r>
    </w:p>
    <w:p w14:paraId="611F9294" w14:textId="77777777" w:rsidR="00535140" w:rsidRPr="00535140" w:rsidRDefault="00535140" w:rsidP="00535140">
      <w:pPr>
        <w:spacing w:before="0" w:after="200" w:line="276" w:lineRule="auto"/>
        <w:rPr>
          <w:rFonts w:ascii="Times New Roman" w:hAnsi="Times New Roman"/>
        </w:rPr>
      </w:pPr>
      <w:r w:rsidRPr="00535140">
        <w:rPr>
          <w:rFonts w:ascii="Times New Roman" w:hAnsi="Times New Roman"/>
        </w:rPr>
        <w:t>Rural Financial Counselling Service NSW - Southern Region</w:t>
      </w:r>
    </w:p>
    <w:p w14:paraId="1347173A" w14:textId="77777777" w:rsidR="00535140" w:rsidRPr="00535140" w:rsidRDefault="00535140" w:rsidP="00535140">
      <w:pPr>
        <w:spacing w:before="0" w:after="200" w:line="276" w:lineRule="auto"/>
        <w:rPr>
          <w:rFonts w:ascii="Times New Roman" w:hAnsi="Times New Roman"/>
        </w:rPr>
      </w:pPr>
      <w:r w:rsidRPr="00535140">
        <w:rPr>
          <w:rFonts w:ascii="Times New Roman" w:hAnsi="Times New Roman"/>
        </w:rPr>
        <w:t>Rural Financial Counselling Service Victoria - North Western Region</w:t>
      </w:r>
    </w:p>
    <w:p w14:paraId="2952CF48" w14:textId="77777777" w:rsidR="00535140" w:rsidRPr="00535140" w:rsidRDefault="00535140" w:rsidP="00535140">
      <w:pPr>
        <w:spacing w:before="0" w:after="200" w:line="276" w:lineRule="auto"/>
        <w:rPr>
          <w:rFonts w:ascii="Times New Roman" w:hAnsi="Times New Roman"/>
        </w:rPr>
      </w:pPr>
      <w:r w:rsidRPr="00535140">
        <w:rPr>
          <w:rFonts w:ascii="Times New Roman" w:hAnsi="Times New Roman"/>
        </w:rPr>
        <w:t>Rural Financial Counselling Service Victoria - North Easter Region</w:t>
      </w:r>
    </w:p>
    <w:p w14:paraId="68E6D45F" w14:textId="77777777" w:rsidR="00535140" w:rsidRPr="00535140" w:rsidRDefault="00535140" w:rsidP="00535140">
      <w:pPr>
        <w:spacing w:before="0" w:after="200" w:line="276" w:lineRule="auto"/>
        <w:rPr>
          <w:rFonts w:ascii="Times New Roman" w:hAnsi="Times New Roman"/>
        </w:rPr>
      </w:pPr>
      <w:r w:rsidRPr="00535140">
        <w:rPr>
          <w:rFonts w:ascii="Times New Roman" w:hAnsi="Times New Roman"/>
        </w:rPr>
        <w:t>Moira Private Irrigation District</w:t>
      </w:r>
    </w:p>
    <w:p w14:paraId="7A6E2AD5" w14:textId="77777777" w:rsidR="00535140" w:rsidRPr="00535140" w:rsidRDefault="00535140" w:rsidP="00535140">
      <w:pPr>
        <w:spacing w:before="0" w:after="200" w:line="276" w:lineRule="auto"/>
        <w:rPr>
          <w:rFonts w:ascii="Times New Roman" w:hAnsi="Times New Roman"/>
        </w:rPr>
      </w:pPr>
      <w:r w:rsidRPr="00535140">
        <w:rPr>
          <w:rFonts w:ascii="Times New Roman" w:hAnsi="Times New Roman"/>
        </w:rPr>
        <w:t xml:space="preserve">West </w:t>
      </w:r>
      <w:proofErr w:type="spellStart"/>
      <w:r w:rsidRPr="00535140">
        <w:rPr>
          <w:rFonts w:ascii="Times New Roman" w:hAnsi="Times New Roman"/>
        </w:rPr>
        <w:t>Corurgan</w:t>
      </w:r>
      <w:proofErr w:type="spellEnd"/>
      <w:r w:rsidRPr="00535140">
        <w:rPr>
          <w:rFonts w:ascii="Times New Roman" w:hAnsi="Times New Roman"/>
        </w:rPr>
        <w:t xml:space="preserve"> Private Irrigation District</w:t>
      </w:r>
    </w:p>
    <w:p w14:paraId="6F6E23EA" w14:textId="77777777" w:rsidR="00535140" w:rsidRPr="00535140" w:rsidRDefault="00535140" w:rsidP="00535140">
      <w:pPr>
        <w:spacing w:before="0" w:after="200" w:line="276" w:lineRule="auto"/>
        <w:rPr>
          <w:rFonts w:ascii="Times New Roman" w:hAnsi="Times New Roman"/>
        </w:rPr>
      </w:pPr>
      <w:r w:rsidRPr="00535140">
        <w:rPr>
          <w:rFonts w:ascii="Times New Roman" w:hAnsi="Times New Roman"/>
        </w:rPr>
        <w:t>Western Murray Irrigation</w:t>
      </w:r>
    </w:p>
    <w:p w14:paraId="6F64AFA2" w14:textId="77777777" w:rsidR="00535140" w:rsidRPr="00535140" w:rsidRDefault="00535140" w:rsidP="00535140">
      <w:pPr>
        <w:spacing w:before="0" w:after="200" w:line="276" w:lineRule="auto"/>
        <w:rPr>
          <w:rFonts w:ascii="Times New Roman" w:hAnsi="Times New Roman"/>
        </w:rPr>
      </w:pPr>
      <w:r w:rsidRPr="00535140">
        <w:rPr>
          <w:rFonts w:ascii="Times New Roman" w:hAnsi="Times New Roman"/>
        </w:rPr>
        <w:t>Renmark Irrigation Trust</w:t>
      </w:r>
    </w:p>
    <w:p w14:paraId="04B2BBC9" w14:textId="77777777" w:rsidR="00535140" w:rsidRPr="00535140" w:rsidRDefault="00535140" w:rsidP="00535140">
      <w:pPr>
        <w:spacing w:before="0" w:after="200" w:line="276" w:lineRule="auto"/>
        <w:rPr>
          <w:rFonts w:ascii="Times New Roman" w:hAnsi="Times New Roman"/>
        </w:rPr>
      </w:pPr>
      <w:r w:rsidRPr="00535140">
        <w:rPr>
          <w:rFonts w:ascii="Times New Roman" w:hAnsi="Times New Roman"/>
        </w:rPr>
        <w:t>NSW Government</w:t>
      </w:r>
    </w:p>
    <w:p w14:paraId="57DAD114" w14:textId="77777777" w:rsidR="00535140" w:rsidRPr="00535140" w:rsidRDefault="00535140" w:rsidP="00535140">
      <w:pPr>
        <w:spacing w:before="0" w:after="200" w:line="276" w:lineRule="auto"/>
        <w:rPr>
          <w:rFonts w:ascii="Times New Roman" w:hAnsi="Times New Roman"/>
        </w:rPr>
      </w:pPr>
      <w:r w:rsidRPr="00535140">
        <w:rPr>
          <w:rFonts w:ascii="Times New Roman" w:hAnsi="Times New Roman"/>
        </w:rPr>
        <w:t>Victoria Government</w:t>
      </w:r>
    </w:p>
    <w:p w14:paraId="0093DBEA" w14:textId="77777777" w:rsidR="00535140" w:rsidRPr="00535140" w:rsidRDefault="00535140" w:rsidP="00535140">
      <w:pPr>
        <w:spacing w:before="0" w:after="200" w:line="276" w:lineRule="auto"/>
        <w:rPr>
          <w:rFonts w:ascii="Times New Roman" w:hAnsi="Times New Roman"/>
        </w:rPr>
      </w:pPr>
    </w:p>
    <w:p w14:paraId="436845D9" w14:textId="77777777" w:rsidR="00535140" w:rsidRPr="00535140" w:rsidRDefault="00535140" w:rsidP="00535140">
      <w:pPr>
        <w:spacing w:before="0" w:after="200" w:line="276" w:lineRule="auto"/>
        <w:rPr>
          <w:rFonts w:ascii="Times New Roman" w:hAnsi="Times New Roman"/>
        </w:rPr>
      </w:pPr>
    </w:p>
    <w:p w14:paraId="124C6543" w14:textId="77777777" w:rsidR="00905F94" w:rsidRPr="00535140" w:rsidRDefault="00535140" w:rsidP="00535140">
      <w:pPr>
        <w:spacing w:before="0"/>
        <w:rPr>
          <w:rFonts w:ascii="Times New Roman" w:eastAsiaTheme="minorHAnsi" w:hAnsi="Times New Roman"/>
        </w:rPr>
      </w:pPr>
      <w:r w:rsidRPr="00535140">
        <w:rPr>
          <w:rFonts w:ascii="Times New Roman" w:eastAsiaTheme="minorHAnsi" w:hAnsi="Times New Roman"/>
          <w:vertAlign w:val="superscript"/>
        </w:rPr>
        <w:t>1</w:t>
      </w:r>
      <w:r w:rsidRPr="00535140">
        <w:rPr>
          <w:rFonts w:ascii="Times New Roman" w:eastAsiaTheme="minorHAnsi" w:hAnsi="Times New Roman"/>
        </w:rPr>
        <w:t xml:space="preserve"> For the purposes of this review, the major commodity sectors are: fodder, perennial tree crops, wine grapes, </w:t>
      </w:r>
      <w:proofErr w:type="gramStart"/>
      <w:r w:rsidRPr="00535140">
        <w:rPr>
          <w:rFonts w:ascii="Times New Roman" w:eastAsiaTheme="minorHAnsi" w:hAnsi="Times New Roman"/>
        </w:rPr>
        <w:t>rice</w:t>
      </w:r>
      <w:proofErr w:type="gramEnd"/>
      <w:r w:rsidRPr="00535140">
        <w:rPr>
          <w:rFonts w:ascii="Times New Roman" w:eastAsiaTheme="minorHAnsi" w:hAnsi="Times New Roman"/>
        </w:rPr>
        <w:t xml:space="preserve"> and cotton</w:t>
      </w:r>
    </w:p>
    <w:sectPr w:rsidR="00905F94" w:rsidRPr="0053514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9CA71" w14:textId="77777777" w:rsidR="00535140" w:rsidRDefault="00535140">
      <w:r>
        <w:separator/>
      </w:r>
    </w:p>
  </w:endnote>
  <w:endnote w:type="continuationSeparator" w:id="0">
    <w:p w14:paraId="2727FE3E" w14:textId="77777777" w:rsidR="00535140" w:rsidRDefault="0053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2262646"/>
      <w:docPartObj>
        <w:docPartGallery w:val="Page Numbers (Bottom of Page)"/>
        <w:docPartUnique/>
      </w:docPartObj>
    </w:sdtPr>
    <w:sdtEndPr>
      <w:rPr>
        <w:noProof/>
      </w:rPr>
    </w:sdtEndPr>
    <w:sdtContent>
      <w:p w14:paraId="011CD277" w14:textId="77777777" w:rsidR="00C6669A" w:rsidRDefault="00C6669A" w:rsidP="00C6669A">
        <w:pPr>
          <w:pStyle w:val="Footer"/>
          <w:jc w:val="right"/>
        </w:pPr>
        <w:r>
          <w:fldChar w:fldCharType="begin"/>
        </w:r>
        <w:r>
          <w:instrText xml:space="preserve"> PAGE   \* MERGEFORMAT </w:instrText>
        </w:r>
        <w:r>
          <w:fldChar w:fldCharType="separate"/>
        </w:r>
        <w:r w:rsidR="00535140">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56899" w14:textId="77777777" w:rsidR="00535140" w:rsidRDefault="00535140">
      <w:r>
        <w:separator/>
      </w:r>
    </w:p>
  </w:footnote>
  <w:footnote w:type="continuationSeparator" w:id="0">
    <w:p w14:paraId="2153870C" w14:textId="77777777" w:rsidR="00535140" w:rsidRDefault="00535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20F706C"/>
    <w:multiLevelType w:val="hybridMultilevel"/>
    <w:tmpl w:val="55BEDDC8"/>
    <w:lvl w:ilvl="0" w:tplc="20B089CA">
      <w:start w:val="1"/>
      <w:numFmt w:val="bullet"/>
      <w:lvlText w:val=""/>
      <w:lvlJc w:val="left"/>
      <w:pPr>
        <w:ind w:left="360" w:hanging="360"/>
      </w:pPr>
      <w:rPr>
        <w:rFonts w:ascii="Symbol" w:hAnsi="Symbol" w:hint="default"/>
      </w:rPr>
    </w:lvl>
    <w:lvl w:ilvl="1" w:tplc="96827CA6" w:tentative="1">
      <w:start w:val="1"/>
      <w:numFmt w:val="bullet"/>
      <w:lvlText w:val="o"/>
      <w:lvlJc w:val="left"/>
      <w:pPr>
        <w:ind w:left="1080" w:hanging="360"/>
      </w:pPr>
      <w:rPr>
        <w:rFonts w:ascii="Courier New" w:hAnsi="Courier New" w:cs="Courier New" w:hint="default"/>
      </w:rPr>
    </w:lvl>
    <w:lvl w:ilvl="2" w:tplc="4DAC52B6" w:tentative="1">
      <w:start w:val="1"/>
      <w:numFmt w:val="bullet"/>
      <w:lvlText w:val=""/>
      <w:lvlJc w:val="left"/>
      <w:pPr>
        <w:ind w:left="1800" w:hanging="360"/>
      </w:pPr>
      <w:rPr>
        <w:rFonts w:ascii="Wingdings" w:hAnsi="Wingdings" w:hint="default"/>
      </w:rPr>
    </w:lvl>
    <w:lvl w:ilvl="3" w:tplc="5F9A0108" w:tentative="1">
      <w:start w:val="1"/>
      <w:numFmt w:val="bullet"/>
      <w:lvlText w:val=""/>
      <w:lvlJc w:val="left"/>
      <w:pPr>
        <w:ind w:left="2520" w:hanging="360"/>
      </w:pPr>
      <w:rPr>
        <w:rFonts w:ascii="Symbol" w:hAnsi="Symbol" w:hint="default"/>
      </w:rPr>
    </w:lvl>
    <w:lvl w:ilvl="4" w:tplc="041E5E26" w:tentative="1">
      <w:start w:val="1"/>
      <w:numFmt w:val="bullet"/>
      <w:lvlText w:val="o"/>
      <w:lvlJc w:val="left"/>
      <w:pPr>
        <w:ind w:left="3240" w:hanging="360"/>
      </w:pPr>
      <w:rPr>
        <w:rFonts w:ascii="Courier New" w:hAnsi="Courier New" w:cs="Courier New" w:hint="default"/>
      </w:rPr>
    </w:lvl>
    <w:lvl w:ilvl="5" w:tplc="3E326A3C" w:tentative="1">
      <w:start w:val="1"/>
      <w:numFmt w:val="bullet"/>
      <w:lvlText w:val=""/>
      <w:lvlJc w:val="left"/>
      <w:pPr>
        <w:ind w:left="3960" w:hanging="360"/>
      </w:pPr>
      <w:rPr>
        <w:rFonts w:ascii="Wingdings" w:hAnsi="Wingdings" w:hint="default"/>
      </w:rPr>
    </w:lvl>
    <w:lvl w:ilvl="6" w:tplc="02F256FC" w:tentative="1">
      <w:start w:val="1"/>
      <w:numFmt w:val="bullet"/>
      <w:lvlText w:val=""/>
      <w:lvlJc w:val="left"/>
      <w:pPr>
        <w:ind w:left="4680" w:hanging="360"/>
      </w:pPr>
      <w:rPr>
        <w:rFonts w:ascii="Symbol" w:hAnsi="Symbol" w:hint="default"/>
      </w:rPr>
    </w:lvl>
    <w:lvl w:ilvl="7" w:tplc="8DCADF40" w:tentative="1">
      <w:start w:val="1"/>
      <w:numFmt w:val="bullet"/>
      <w:lvlText w:val="o"/>
      <w:lvlJc w:val="left"/>
      <w:pPr>
        <w:ind w:left="5400" w:hanging="360"/>
      </w:pPr>
      <w:rPr>
        <w:rFonts w:ascii="Courier New" w:hAnsi="Courier New" w:cs="Courier New" w:hint="default"/>
      </w:rPr>
    </w:lvl>
    <w:lvl w:ilvl="8" w:tplc="2B2C9140" w:tentative="1">
      <w:start w:val="1"/>
      <w:numFmt w:val="bullet"/>
      <w:lvlText w:val=""/>
      <w:lvlJc w:val="left"/>
      <w:pPr>
        <w:ind w:left="6120" w:hanging="360"/>
      </w:pPr>
      <w:rPr>
        <w:rFonts w:ascii="Wingdings" w:hAnsi="Wingdings" w:hint="default"/>
      </w:rPr>
    </w:lvl>
  </w:abstractNum>
  <w:abstractNum w:abstractNumId="11" w15:restartNumberingAfterBreak="0">
    <w:nsid w:val="46DD5C12"/>
    <w:multiLevelType w:val="multilevel"/>
    <w:tmpl w:val="20F2356A"/>
    <w:numStyleLink w:val="Appendix"/>
  </w:abstractNum>
  <w:abstractNum w:abstractNumId="12"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5"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AE21E2"/>
    <w:multiLevelType w:val="hybridMultilevel"/>
    <w:tmpl w:val="4A364E6C"/>
    <w:lvl w:ilvl="0" w:tplc="6B0AD2C8">
      <w:start w:val="1"/>
      <w:numFmt w:val="bullet"/>
      <w:lvlText w:val=""/>
      <w:lvlJc w:val="left"/>
      <w:pPr>
        <w:ind w:left="360" w:hanging="360"/>
      </w:pPr>
      <w:rPr>
        <w:rFonts w:ascii="Symbol" w:hAnsi="Symbol" w:hint="default"/>
      </w:rPr>
    </w:lvl>
    <w:lvl w:ilvl="1" w:tplc="C70CC04A" w:tentative="1">
      <w:start w:val="1"/>
      <w:numFmt w:val="bullet"/>
      <w:lvlText w:val="o"/>
      <w:lvlJc w:val="left"/>
      <w:pPr>
        <w:ind w:left="1080" w:hanging="360"/>
      </w:pPr>
      <w:rPr>
        <w:rFonts w:ascii="Courier New" w:hAnsi="Courier New" w:cs="Courier New" w:hint="default"/>
      </w:rPr>
    </w:lvl>
    <w:lvl w:ilvl="2" w:tplc="564C00B6" w:tentative="1">
      <w:start w:val="1"/>
      <w:numFmt w:val="bullet"/>
      <w:lvlText w:val=""/>
      <w:lvlJc w:val="left"/>
      <w:pPr>
        <w:ind w:left="1800" w:hanging="360"/>
      </w:pPr>
      <w:rPr>
        <w:rFonts w:ascii="Wingdings" w:hAnsi="Wingdings" w:hint="default"/>
      </w:rPr>
    </w:lvl>
    <w:lvl w:ilvl="3" w:tplc="BB8A2C9A" w:tentative="1">
      <w:start w:val="1"/>
      <w:numFmt w:val="bullet"/>
      <w:lvlText w:val=""/>
      <w:lvlJc w:val="left"/>
      <w:pPr>
        <w:ind w:left="2520" w:hanging="360"/>
      </w:pPr>
      <w:rPr>
        <w:rFonts w:ascii="Symbol" w:hAnsi="Symbol" w:hint="default"/>
      </w:rPr>
    </w:lvl>
    <w:lvl w:ilvl="4" w:tplc="957AE9F8" w:tentative="1">
      <w:start w:val="1"/>
      <w:numFmt w:val="bullet"/>
      <w:lvlText w:val="o"/>
      <w:lvlJc w:val="left"/>
      <w:pPr>
        <w:ind w:left="3240" w:hanging="360"/>
      </w:pPr>
      <w:rPr>
        <w:rFonts w:ascii="Courier New" w:hAnsi="Courier New" w:cs="Courier New" w:hint="default"/>
      </w:rPr>
    </w:lvl>
    <w:lvl w:ilvl="5" w:tplc="5AD87F3E" w:tentative="1">
      <w:start w:val="1"/>
      <w:numFmt w:val="bullet"/>
      <w:lvlText w:val=""/>
      <w:lvlJc w:val="left"/>
      <w:pPr>
        <w:ind w:left="3960" w:hanging="360"/>
      </w:pPr>
      <w:rPr>
        <w:rFonts w:ascii="Wingdings" w:hAnsi="Wingdings" w:hint="default"/>
      </w:rPr>
    </w:lvl>
    <w:lvl w:ilvl="6" w:tplc="0D40C8D6" w:tentative="1">
      <w:start w:val="1"/>
      <w:numFmt w:val="bullet"/>
      <w:lvlText w:val=""/>
      <w:lvlJc w:val="left"/>
      <w:pPr>
        <w:ind w:left="4680" w:hanging="360"/>
      </w:pPr>
      <w:rPr>
        <w:rFonts w:ascii="Symbol" w:hAnsi="Symbol" w:hint="default"/>
      </w:rPr>
    </w:lvl>
    <w:lvl w:ilvl="7" w:tplc="5276F5DE" w:tentative="1">
      <w:start w:val="1"/>
      <w:numFmt w:val="bullet"/>
      <w:lvlText w:val="o"/>
      <w:lvlJc w:val="left"/>
      <w:pPr>
        <w:ind w:left="5400" w:hanging="360"/>
      </w:pPr>
      <w:rPr>
        <w:rFonts w:ascii="Courier New" w:hAnsi="Courier New" w:cs="Courier New" w:hint="default"/>
      </w:rPr>
    </w:lvl>
    <w:lvl w:ilvl="8" w:tplc="D4463B04" w:tentative="1">
      <w:start w:val="1"/>
      <w:numFmt w:val="bullet"/>
      <w:lvlText w:val=""/>
      <w:lvlJc w:val="left"/>
      <w:pPr>
        <w:ind w:left="6120" w:hanging="360"/>
      </w:pPr>
      <w:rPr>
        <w:rFonts w:ascii="Wingdings" w:hAnsi="Wingdings" w:hint="default"/>
      </w:rPr>
    </w:lvl>
  </w:abstractNum>
  <w:abstractNum w:abstractNumId="17"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AA678C8"/>
    <w:multiLevelType w:val="multilevel"/>
    <w:tmpl w:val="9FEE1412"/>
    <w:lvl w:ilvl="0">
      <w:start w:val="1"/>
      <w:numFmt w:val="decimal"/>
      <w:lvlText w:val="%1."/>
      <w:lvlJc w:val="left"/>
      <w:pPr>
        <w:tabs>
          <w:tab w:val="num" w:pos="9008"/>
        </w:tabs>
        <w:ind w:left="9008" w:hanging="360"/>
      </w:pPr>
    </w:lvl>
    <w:lvl w:ilvl="1" w:tentative="1">
      <w:start w:val="1"/>
      <w:numFmt w:val="decimal"/>
      <w:lvlText w:val="%2."/>
      <w:lvlJc w:val="left"/>
      <w:pPr>
        <w:tabs>
          <w:tab w:val="num" w:pos="9728"/>
        </w:tabs>
        <w:ind w:left="9728" w:hanging="360"/>
      </w:pPr>
    </w:lvl>
    <w:lvl w:ilvl="2" w:tentative="1">
      <w:start w:val="1"/>
      <w:numFmt w:val="decimal"/>
      <w:lvlText w:val="%3."/>
      <w:lvlJc w:val="left"/>
      <w:pPr>
        <w:tabs>
          <w:tab w:val="num" w:pos="10448"/>
        </w:tabs>
        <w:ind w:left="10448" w:hanging="360"/>
      </w:pPr>
    </w:lvl>
    <w:lvl w:ilvl="3" w:tentative="1">
      <w:start w:val="1"/>
      <w:numFmt w:val="decimal"/>
      <w:lvlText w:val="%4."/>
      <w:lvlJc w:val="left"/>
      <w:pPr>
        <w:tabs>
          <w:tab w:val="num" w:pos="11168"/>
        </w:tabs>
        <w:ind w:left="11168" w:hanging="360"/>
      </w:pPr>
    </w:lvl>
    <w:lvl w:ilvl="4" w:tentative="1">
      <w:start w:val="1"/>
      <w:numFmt w:val="decimal"/>
      <w:lvlText w:val="%5."/>
      <w:lvlJc w:val="left"/>
      <w:pPr>
        <w:tabs>
          <w:tab w:val="num" w:pos="11888"/>
        </w:tabs>
        <w:ind w:left="11888" w:hanging="360"/>
      </w:pPr>
    </w:lvl>
    <w:lvl w:ilvl="5" w:tentative="1">
      <w:start w:val="1"/>
      <w:numFmt w:val="decimal"/>
      <w:lvlText w:val="%6."/>
      <w:lvlJc w:val="left"/>
      <w:pPr>
        <w:tabs>
          <w:tab w:val="num" w:pos="12608"/>
        </w:tabs>
        <w:ind w:left="12608" w:hanging="360"/>
      </w:pPr>
    </w:lvl>
    <w:lvl w:ilvl="6" w:tentative="1">
      <w:start w:val="1"/>
      <w:numFmt w:val="decimal"/>
      <w:lvlText w:val="%7."/>
      <w:lvlJc w:val="left"/>
      <w:pPr>
        <w:tabs>
          <w:tab w:val="num" w:pos="13328"/>
        </w:tabs>
        <w:ind w:left="13328" w:hanging="360"/>
      </w:pPr>
    </w:lvl>
    <w:lvl w:ilvl="7" w:tentative="1">
      <w:start w:val="1"/>
      <w:numFmt w:val="decimal"/>
      <w:lvlText w:val="%8."/>
      <w:lvlJc w:val="left"/>
      <w:pPr>
        <w:tabs>
          <w:tab w:val="num" w:pos="14048"/>
        </w:tabs>
        <w:ind w:left="14048" w:hanging="360"/>
      </w:pPr>
    </w:lvl>
    <w:lvl w:ilvl="8" w:tentative="1">
      <w:start w:val="1"/>
      <w:numFmt w:val="decimal"/>
      <w:lvlText w:val="%9."/>
      <w:lvlJc w:val="left"/>
      <w:pPr>
        <w:tabs>
          <w:tab w:val="num" w:pos="14768"/>
        </w:tabs>
        <w:ind w:left="14768" w:hanging="360"/>
      </w:pPr>
    </w:lvl>
  </w:abstractNum>
  <w:num w:numId="1">
    <w:abstractNumId w:val="13"/>
  </w:num>
  <w:num w:numId="2">
    <w:abstractNumId w:val="12"/>
  </w:num>
  <w:num w:numId="3">
    <w:abstractNumId w:val="5"/>
  </w:num>
  <w:num w:numId="4">
    <w:abstractNumId w:val="6"/>
  </w:num>
  <w:num w:numId="5">
    <w:abstractNumId w:val="3"/>
  </w:num>
  <w:num w:numId="6">
    <w:abstractNumId w:val="8"/>
  </w:num>
  <w:num w:numId="7">
    <w:abstractNumId w:val="17"/>
  </w:num>
  <w:num w:numId="8">
    <w:abstractNumId w:val="9"/>
  </w:num>
  <w:num w:numId="9">
    <w:abstractNumId w:val="14"/>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5"/>
  </w:num>
  <w:num w:numId="14">
    <w:abstractNumId w:val="2"/>
  </w:num>
  <w:num w:numId="15">
    <w:abstractNumId w:val="1"/>
  </w:num>
  <w:num w:numId="16">
    <w:abstractNumId w:val="0"/>
  </w:num>
  <w:num w:numId="17">
    <w:abstractNumId w:val="4"/>
  </w:num>
  <w:num w:numId="18">
    <w:abstractNumId w:val="10"/>
  </w:num>
  <w:num w:numId="19">
    <w:abstractNumId w:val="18"/>
  </w:num>
  <w:num w:numId="2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140"/>
    <w:rsid w:val="000C55EB"/>
    <w:rsid w:val="00461807"/>
    <w:rsid w:val="00535140"/>
    <w:rsid w:val="0054747E"/>
    <w:rsid w:val="00626E31"/>
    <w:rsid w:val="006665C4"/>
    <w:rsid w:val="00905F94"/>
    <w:rsid w:val="00AA4B88"/>
    <w:rsid w:val="00B57188"/>
    <w:rsid w:val="00C6669A"/>
    <w:rsid w:val="00CB51EE"/>
    <w:rsid w:val="00CC3508"/>
    <w:rsid w:val="00E321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6F342C"/>
  <w15:chartTrackingRefBased/>
  <w15:docId w15:val="{FAEE64B1-62E8-4E5D-86FA-0B297700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35140"/>
    <w:rPr>
      <w:rFonts w:ascii="Arial" w:hAnsi="Arial"/>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E933-E7DD-40C0-8FD2-F55234A69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1054</Words>
  <Characters>6009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Bond, Damien</dc:creator>
  <cp:keywords/>
  <dc:description/>
  <cp:lastModifiedBy>Loram, Megan</cp:lastModifiedBy>
  <cp:revision>2</cp:revision>
  <cp:lastPrinted>2015-08-14T05:36:00Z</cp:lastPrinted>
  <dcterms:created xsi:type="dcterms:W3CDTF">2020-07-30T07:06:00Z</dcterms:created>
  <dcterms:modified xsi:type="dcterms:W3CDTF">2020-07-30T07:06:00Z</dcterms:modified>
</cp:coreProperties>
</file>