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F747" w14:textId="17EEA147" w:rsidR="00463911" w:rsidRDefault="00463911" w:rsidP="00EE79DE">
      <w:pPr>
        <w:pStyle w:val="Heading1"/>
      </w:pPr>
      <w:bookmarkStart w:id="0" w:name="_Hlk90631312"/>
      <w:r>
        <w:t>Developing the roadmap for water market reform</w:t>
      </w:r>
    </w:p>
    <w:bookmarkEnd w:id="0"/>
    <w:p w14:paraId="0C7F1015" w14:textId="4EA929E7" w:rsidR="00463911" w:rsidRDefault="00463911" w:rsidP="00EE79DE">
      <w:pPr>
        <w:pStyle w:val="Author"/>
      </w:pPr>
      <w:r>
        <w:t>Principal Adviser, Daryl Quinlivan, facilitated by Garry Smith</w:t>
      </w:r>
    </w:p>
    <w:p w14:paraId="3E7E4115" w14:textId="3BA1657B" w:rsidR="00FC4B1C" w:rsidRDefault="00EE79DE" w:rsidP="00463911">
      <w:r>
        <w:t xml:space="preserve">Accessible version of PowerPoint delivered </w:t>
      </w:r>
      <w:r w:rsidRPr="00EE79DE">
        <w:t>6 December 2021</w:t>
      </w:r>
      <w:r w:rsidR="00E6000D">
        <w:t xml:space="preserve"> online to members of the public.</w:t>
      </w:r>
    </w:p>
    <w:p w14:paraId="62E8A19F" w14:textId="0315C03E" w:rsidR="00E362EF" w:rsidRDefault="00FC4B1C" w:rsidP="00CE6E1E">
      <w:pPr>
        <w:pStyle w:val="Heading2"/>
        <w:numPr>
          <w:ilvl w:val="0"/>
          <w:numId w:val="0"/>
        </w:numPr>
        <w:ind w:left="720" w:hanging="720"/>
      </w:pPr>
      <w:r>
        <w:t>Welcome</w:t>
      </w:r>
    </w:p>
    <w:p w14:paraId="44A6C18D" w14:textId="77777777" w:rsidR="00FC4B1C" w:rsidRDefault="00FC4B1C" w:rsidP="00FC4B1C">
      <w:pPr>
        <w:pStyle w:val="Heading3"/>
        <w:numPr>
          <w:ilvl w:val="0"/>
          <w:numId w:val="0"/>
        </w:numPr>
        <w:ind w:left="964" w:hanging="964"/>
      </w:pPr>
      <w:r>
        <w:t xml:space="preserve">Acknowledgement of Country </w:t>
      </w:r>
    </w:p>
    <w:p w14:paraId="25A78581" w14:textId="69DB4686" w:rsidR="00FC4B1C" w:rsidRDefault="00FC4B1C" w:rsidP="00FC4B1C">
      <w:r>
        <w:t xml:space="preserve">We acknowledge the Traditional Owners of Country throughout Australia and recognise their continuing connection to land, </w:t>
      </w:r>
      <w:proofErr w:type="gramStart"/>
      <w:r>
        <w:t>water</w:t>
      </w:r>
      <w:proofErr w:type="gramEnd"/>
      <w:r>
        <w:t xml:space="preserve"> and culture. We pay our respects to their Elders past, present and emerging.</w:t>
      </w:r>
    </w:p>
    <w:p w14:paraId="3A98125E" w14:textId="10E93208" w:rsidR="00E362EF" w:rsidRDefault="00FC4B1C" w:rsidP="00CE6E1E">
      <w:pPr>
        <w:pStyle w:val="Heading2"/>
        <w:numPr>
          <w:ilvl w:val="0"/>
          <w:numId w:val="0"/>
        </w:numPr>
        <w:ind w:left="720" w:hanging="720"/>
      </w:pPr>
      <w:r>
        <w:t>Roadmap for water market reform</w:t>
      </w:r>
    </w:p>
    <w:p w14:paraId="5443775E" w14:textId="1BA99589" w:rsidR="0002503A" w:rsidRDefault="0002503A" w:rsidP="0002503A">
      <w:pPr>
        <w:pStyle w:val="Heading3"/>
        <w:numPr>
          <w:ilvl w:val="0"/>
          <w:numId w:val="0"/>
        </w:numPr>
        <w:ind w:left="964" w:hanging="964"/>
        <w:rPr>
          <w:lang w:eastAsia="ja-JP"/>
        </w:rPr>
      </w:pPr>
      <w:r>
        <w:rPr>
          <w:lang w:eastAsia="ja-JP"/>
        </w:rPr>
        <w:t xml:space="preserve">Context for the </w:t>
      </w:r>
      <w:r w:rsidR="00CE07A8">
        <w:rPr>
          <w:lang w:eastAsia="ja-JP"/>
        </w:rPr>
        <w:t>r</w:t>
      </w:r>
      <w:r>
        <w:rPr>
          <w:lang w:eastAsia="ja-JP"/>
        </w:rPr>
        <w:t>oadmap – the ‘what’</w:t>
      </w:r>
      <w:r w:rsidR="00CE07A8">
        <w:rPr>
          <w:lang w:eastAsia="ja-JP"/>
        </w:rPr>
        <w:t>:</w:t>
      </w:r>
    </w:p>
    <w:p w14:paraId="49CB5EAD" w14:textId="19C77CFF" w:rsidR="0002503A" w:rsidRDefault="0002503A" w:rsidP="00CE07A8">
      <w:pPr>
        <w:pStyle w:val="ListBullet"/>
        <w:rPr>
          <w:lang w:eastAsia="ja-JP"/>
        </w:rPr>
      </w:pPr>
      <w:r>
        <w:rPr>
          <w:lang w:eastAsia="ja-JP"/>
        </w:rPr>
        <w:t>ACCC final inquiry report – published 26 March 2021</w:t>
      </w:r>
    </w:p>
    <w:p w14:paraId="104D4EF2" w14:textId="0B77C23D" w:rsidR="0002503A" w:rsidRDefault="00CE07A8" w:rsidP="00CE07A8">
      <w:pPr>
        <w:pStyle w:val="ListBullet"/>
        <w:rPr>
          <w:lang w:eastAsia="ja-JP"/>
        </w:rPr>
      </w:pPr>
      <w:r>
        <w:rPr>
          <w:lang w:eastAsia="ja-JP"/>
        </w:rPr>
        <w:t>c</w:t>
      </w:r>
      <w:r w:rsidR="0002503A">
        <w:rPr>
          <w:lang w:eastAsia="ja-JP"/>
        </w:rPr>
        <w:t>ontained 29 recommendations and 70 specific actions for water market reform</w:t>
      </w:r>
    </w:p>
    <w:p w14:paraId="4F58D892" w14:textId="25BA5FBA" w:rsidR="0002503A" w:rsidRDefault="00CE07A8" w:rsidP="00CE07A8">
      <w:pPr>
        <w:pStyle w:val="ListBullet"/>
        <w:rPr>
          <w:lang w:eastAsia="ja-JP"/>
        </w:rPr>
      </w:pPr>
      <w:r>
        <w:rPr>
          <w:lang w:eastAsia="ja-JP"/>
        </w:rPr>
        <w:t>t</w:t>
      </w:r>
      <w:r w:rsidR="0002503A">
        <w:rPr>
          <w:lang w:eastAsia="ja-JP"/>
        </w:rPr>
        <w:t>he roadmap – considering ACCC findings to develop a phased, practical, cost-effective implementation plan</w:t>
      </w:r>
    </w:p>
    <w:p w14:paraId="5D8B2E03" w14:textId="31738D2A" w:rsidR="0002503A" w:rsidRPr="00AE0928" w:rsidRDefault="0002503A" w:rsidP="00AE0928">
      <w:r>
        <w:rPr>
          <w:lang w:eastAsia="ja-JP"/>
        </w:rPr>
        <w:t>Context for the roadmap – the ‘how’</w:t>
      </w:r>
      <w:r w:rsidR="00CE07A8">
        <w:rPr>
          <w:lang w:eastAsia="ja-JP"/>
        </w:rPr>
        <w:t>:</w:t>
      </w:r>
    </w:p>
    <w:p w14:paraId="716709A4" w14:textId="5A88C3CC" w:rsidR="0002503A" w:rsidRPr="00AE0928" w:rsidRDefault="0002503A" w:rsidP="00AE0928">
      <w:r w:rsidRPr="00AE0928">
        <w:t>To be developed by the Principal Adviser with the support of the advisory group, and in</w:t>
      </w:r>
      <w:r w:rsidR="00CE07A8" w:rsidRPr="00AE0928">
        <w:t xml:space="preserve"> </w:t>
      </w:r>
      <w:r w:rsidRPr="00AE0928">
        <w:t>consultation with Basin states and stakeholders</w:t>
      </w:r>
    </w:p>
    <w:p w14:paraId="2CAD2B69" w14:textId="6A90219C" w:rsidR="0002503A" w:rsidRPr="00AE0928" w:rsidRDefault="0002503A" w:rsidP="00AE0928">
      <w:r w:rsidRPr="00AE0928">
        <w:t xml:space="preserve"> Advisory group to provide advice on economics, water markets, and anticipated impacts of</w:t>
      </w:r>
      <w:r w:rsidR="00CE07A8" w:rsidRPr="00AE0928">
        <w:t xml:space="preserve"> </w:t>
      </w:r>
      <w:r w:rsidRPr="00AE0928">
        <w:t>proposed reforms on water users</w:t>
      </w:r>
    </w:p>
    <w:p w14:paraId="4689813A" w14:textId="047C3941" w:rsidR="00FC4B1C" w:rsidRDefault="00FC4B1C" w:rsidP="00CE07A8">
      <w:pPr>
        <w:pStyle w:val="Heading3"/>
        <w:numPr>
          <w:ilvl w:val="0"/>
          <w:numId w:val="0"/>
        </w:numPr>
        <w:ind w:left="964" w:hanging="964"/>
        <w:rPr>
          <w:lang w:eastAsia="ja-JP"/>
        </w:rPr>
      </w:pPr>
      <w:r>
        <w:rPr>
          <w:lang w:eastAsia="ja-JP"/>
        </w:rPr>
        <w:t>Context for roadmap – the ‘when’:</w:t>
      </w:r>
    </w:p>
    <w:p w14:paraId="3DDA01AD" w14:textId="1B408807" w:rsidR="00FC4B1C" w:rsidRDefault="00FC4B1C" w:rsidP="00CE07A8">
      <w:pPr>
        <w:pStyle w:val="ListBullet"/>
        <w:rPr>
          <w:lang w:eastAsia="ja-JP"/>
        </w:rPr>
      </w:pPr>
      <w:r>
        <w:rPr>
          <w:lang w:eastAsia="ja-JP"/>
        </w:rPr>
        <w:t>By December 2021, provide advice on actions supported by Basin states that can be implemented quickly to help restore confidence in water markets</w:t>
      </w:r>
    </w:p>
    <w:p w14:paraId="6A5E2C33" w14:textId="460B1AC7" w:rsidR="00FC4B1C" w:rsidRDefault="00FC4B1C" w:rsidP="00CE07A8">
      <w:pPr>
        <w:pStyle w:val="ListBullet"/>
        <w:rPr>
          <w:lang w:eastAsia="ja-JP"/>
        </w:rPr>
      </w:pPr>
      <w:r>
        <w:rPr>
          <w:lang w:eastAsia="ja-JP"/>
        </w:rPr>
        <w:t>By June 2022, deliver a phased implementation plan (‘roadmap’) for water market reform that is practical, cost- effective and supported by Basin states.</w:t>
      </w:r>
    </w:p>
    <w:p w14:paraId="6AAC3127" w14:textId="41A41FF9" w:rsidR="000F639A" w:rsidRDefault="000F639A" w:rsidP="000F639A">
      <w:pPr>
        <w:pStyle w:val="Heading3"/>
        <w:numPr>
          <w:ilvl w:val="0"/>
          <w:numId w:val="0"/>
        </w:numPr>
        <w:ind w:left="964" w:hanging="964"/>
        <w:rPr>
          <w:lang w:eastAsia="ja-JP"/>
        </w:rPr>
      </w:pPr>
      <w:r>
        <w:rPr>
          <w:lang w:eastAsia="ja-JP"/>
        </w:rPr>
        <w:t>Timeline:</w:t>
      </w:r>
    </w:p>
    <w:p w14:paraId="7C24AC9C" w14:textId="43839756" w:rsidR="00FC4B1C" w:rsidRPr="00FC4B1C" w:rsidRDefault="009E17A0" w:rsidP="00FC4B1C">
      <w:r>
        <w:rPr>
          <w:noProof/>
        </w:rPr>
        <w:drawing>
          <wp:inline distT="0" distB="0" distL="0" distR="0" wp14:anchorId="0F2C7959" wp14:editId="1BBB5C1D">
            <wp:extent cx="6359872" cy="1438275"/>
            <wp:effectExtent l="0" t="0" r="3175" b="0"/>
            <wp:docPr id="1" name="Picture 1" descr="Diagram shows the progress of the reform process. ACCC delivered its final report in 2021. This was followed by the appointment of Principal Adviser and Advisory Grou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s the progress of the reform process. ACCC delivered its final report in 2021. This was followed by the appointment of Principal Adviser and Advisory Group. &#10;"/>
                    <pic:cNvPicPr/>
                  </pic:nvPicPr>
                  <pic:blipFill rotWithShape="1">
                    <a:blip r:embed="rId11"/>
                    <a:srcRect l="31113" t="63744" r="34749" b="22531"/>
                    <a:stretch/>
                  </pic:blipFill>
                  <pic:spPr bwMode="auto">
                    <a:xfrm>
                      <a:off x="0" y="0"/>
                      <a:ext cx="6447418" cy="1458073"/>
                    </a:xfrm>
                    <a:prstGeom prst="rect">
                      <a:avLst/>
                    </a:prstGeom>
                    <a:ln>
                      <a:noFill/>
                    </a:ln>
                    <a:extLst>
                      <a:ext uri="{53640926-AAD7-44D8-BBD7-CCE9431645EC}">
                        <a14:shadowObscured xmlns:a14="http://schemas.microsoft.com/office/drawing/2010/main"/>
                      </a:ext>
                    </a:extLst>
                  </pic:spPr>
                </pic:pic>
              </a:graphicData>
            </a:graphic>
          </wp:inline>
        </w:drawing>
      </w:r>
    </w:p>
    <w:p w14:paraId="48A7429A" w14:textId="160F6067" w:rsidR="0002503A" w:rsidRDefault="000F639A" w:rsidP="000F639A">
      <w:pPr>
        <w:pStyle w:val="ListParagraph"/>
        <w:numPr>
          <w:ilvl w:val="0"/>
          <w:numId w:val="32"/>
        </w:numPr>
      </w:pPr>
      <w:r>
        <w:t>ACCC delivered inquiry final report in 2021</w:t>
      </w:r>
    </w:p>
    <w:p w14:paraId="0F5CF990" w14:textId="107B17F5" w:rsidR="000F639A" w:rsidRDefault="000F639A" w:rsidP="000F639A">
      <w:pPr>
        <w:pStyle w:val="ListParagraph"/>
        <w:numPr>
          <w:ilvl w:val="0"/>
          <w:numId w:val="32"/>
        </w:numPr>
      </w:pPr>
      <w:r>
        <w:t>Appointment of principal adviser and advisory group</w:t>
      </w:r>
    </w:p>
    <w:p w14:paraId="5D52D0F1" w14:textId="336949CA" w:rsidR="000F639A" w:rsidRDefault="000F639A" w:rsidP="000F639A">
      <w:pPr>
        <w:ind w:left="360"/>
      </w:pPr>
      <w:r>
        <w:t xml:space="preserve">We are here in the process. </w:t>
      </w:r>
    </w:p>
    <w:p w14:paraId="2218BDBE" w14:textId="2D9B33D4" w:rsidR="000F639A" w:rsidRDefault="000F639A" w:rsidP="000F639A">
      <w:pPr>
        <w:pStyle w:val="ListParagraph"/>
        <w:numPr>
          <w:ilvl w:val="0"/>
          <w:numId w:val="32"/>
        </w:numPr>
      </w:pPr>
      <w:r>
        <w:t>December advice</w:t>
      </w:r>
    </w:p>
    <w:p w14:paraId="4098F650" w14:textId="098A0F56" w:rsidR="000F639A" w:rsidRDefault="000F639A" w:rsidP="000F639A">
      <w:pPr>
        <w:pStyle w:val="ListParagraph"/>
        <w:numPr>
          <w:ilvl w:val="0"/>
          <w:numId w:val="32"/>
        </w:numPr>
      </w:pPr>
      <w:r>
        <w:t>Final Roadmap June 2022</w:t>
      </w:r>
    </w:p>
    <w:p w14:paraId="43D2B6AE" w14:textId="0DD326B6" w:rsidR="000F639A" w:rsidRDefault="000F639A" w:rsidP="000F639A">
      <w:pPr>
        <w:pStyle w:val="ListParagraph"/>
        <w:numPr>
          <w:ilvl w:val="0"/>
          <w:numId w:val="32"/>
        </w:numPr>
      </w:pPr>
      <w:r>
        <w:t>Government budget processes</w:t>
      </w:r>
    </w:p>
    <w:p w14:paraId="7880DD35" w14:textId="21F4F935" w:rsidR="000F639A" w:rsidRDefault="000F639A" w:rsidP="000F639A">
      <w:pPr>
        <w:pStyle w:val="ListParagraph"/>
        <w:numPr>
          <w:ilvl w:val="0"/>
          <w:numId w:val="32"/>
        </w:numPr>
      </w:pPr>
      <w:r>
        <w:t>Implementation of reform across the Basin</w:t>
      </w:r>
    </w:p>
    <w:p w14:paraId="2193535C" w14:textId="3F38DEF3" w:rsidR="000F639A" w:rsidRDefault="000F639A" w:rsidP="005A78E1">
      <w:pPr>
        <w:pStyle w:val="Heading2"/>
        <w:numPr>
          <w:ilvl w:val="0"/>
          <w:numId w:val="0"/>
        </w:numPr>
        <w:ind w:left="720" w:hanging="720"/>
        <w:rPr>
          <w:b/>
        </w:rPr>
      </w:pPr>
      <w:r w:rsidRPr="000F639A">
        <w:t>The initial December advice – a progress update</w:t>
      </w:r>
    </w:p>
    <w:p w14:paraId="107DEAA0" w14:textId="0678CCFE" w:rsidR="000F639A" w:rsidRDefault="000F639A" w:rsidP="00AE0928">
      <w:pPr>
        <w:pStyle w:val="ListBullet"/>
        <w:rPr>
          <w:lang w:eastAsia="ja-JP"/>
        </w:rPr>
      </w:pPr>
      <w:r>
        <w:rPr>
          <w:lang w:eastAsia="ja-JP"/>
        </w:rPr>
        <w:t>Progress to date by Basin governments</w:t>
      </w:r>
    </w:p>
    <w:p w14:paraId="499EA5B6" w14:textId="78517D4C" w:rsidR="000F639A" w:rsidRDefault="000F639A" w:rsidP="00AE0928">
      <w:pPr>
        <w:pStyle w:val="ListBullet"/>
        <w:rPr>
          <w:lang w:eastAsia="ja-JP"/>
        </w:rPr>
      </w:pPr>
      <w:r>
        <w:rPr>
          <w:lang w:eastAsia="ja-JP"/>
        </w:rPr>
        <w:t>Establishing an evidence base for reforms</w:t>
      </w:r>
    </w:p>
    <w:p w14:paraId="664809B0" w14:textId="7623778D" w:rsidR="000F639A" w:rsidRDefault="000F639A" w:rsidP="00AE0928">
      <w:pPr>
        <w:pStyle w:val="ListBullet"/>
        <w:rPr>
          <w:lang w:eastAsia="ja-JP"/>
        </w:rPr>
      </w:pPr>
      <w:r>
        <w:rPr>
          <w:lang w:eastAsia="ja-JP"/>
        </w:rPr>
        <w:t>Identifying key potential reform opportunities to be explored:</w:t>
      </w:r>
    </w:p>
    <w:p w14:paraId="74A88538" w14:textId="3EC3CE73" w:rsidR="000F639A" w:rsidRDefault="000F639A" w:rsidP="00AE0928">
      <w:pPr>
        <w:pStyle w:val="ListBullet2"/>
        <w:rPr>
          <w:lang w:eastAsia="ja-JP"/>
        </w:rPr>
      </w:pPr>
      <w:r>
        <w:rPr>
          <w:lang w:eastAsia="ja-JP"/>
        </w:rPr>
        <w:t>Basin wide water market education</w:t>
      </w:r>
    </w:p>
    <w:p w14:paraId="000B9ED9" w14:textId="1483A67B" w:rsidR="000F639A" w:rsidRDefault="000F639A" w:rsidP="00AE0928">
      <w:pPr>
        <w:pStyle w:val="ListBullet2"/>
        <w:rPr>
          <w:lang w:eastAsia="ja-JP"/>
        </w:rPr>
      </w:pPr>
      <w:r>
        <w:rPr>
          <w:lang w:eastAsia="ja-JP"/>
        </w:rPr>
        <w:t>Intermediary code and conduct regulation</w:t>
      </w:r>
    </w:p>
    <w:p w14:paraId="58D994B7" w14:textId="3F13FBA1" w:rsidR="000F639A" w:rsidRDefault="000F639A" w:rsidP="00AE0928">
      <w:pPr>
        <w:pStyle w:val="ListBullet2"/>
        <w:rPr>
          <w:lang w:eastAsia="ja-JP"/>
        </w:rPr>
      </w:pPr>
      <w:r>
        <w:rPr>
          <w:lang w:eastAsia="ja-JP"/>
        </w:rPr>
        <w:t>Improved access to information: data &amp; system integration</w:t>
      </w:r>
    </w:p>
    <w:p w14:paraId="1D220EEF" w14:textId="2A19E51A" w:rsidR="005C2E5B" w:rsidRDefault="000F639A" w:rsidP="005C2E5B">
      <w:pPr>
        <w:pStyle w:val="ListBullet2"/>
      </w:pPr>
      <w:r>
        <w:rPr>
          <w:lang w:eastAsia="ja-JP"/>
        </w:rPr>
        <w:t>Institutional arrangements</w:t>
      </w:r>
    </w:p>
    <w:p w14:paraId="156982B0" w14:textId="76A8A7C3" w:rsidR="005C2E5B" w:rsidRDefault="005C2E5B" w:rsidP="005A78E1">
      <w:pPr>
        <w:pStyle w:val="Heading2"/>
        <w:numPr>
          <w:ilvl w:val="0"/>
          <w:numId w:val="0"/>
        </w:numPr>
        <w:ind w:left="720" w:hanging="720"/>
      </w:pPr>
      <w:r>
        <w:t>Key potential reform opportunities</w:t>
      </w:r>
    </w:p>
    <w:p w14:paraId="6C1DC1D7" w14:textId="43E2F27C" w:rsidR="005C2E5B" w:rsidRDefault="005C2E5B" w:rsidP="00594A86">
      <w:pPr>
        <w:pStyle w:val="ListBullet"/>
        <w:rPr>
          <w:lang w:eastAsia="ja-JP"/>
        </w:rPr>
      </w:pPr>
      <w:r w:rsidRPr="005C2E5B">
        <w:rPr>
          <w:b/>
          <w:bCs/>
          <w:lang w:eastAsia="ja-JP"/>
        </w:rPr>
        <w:t xml:space="preserve">Basin wide market education: </w:t>
      </w:r>
      <w:r w:rsidRPr="005C2E5B">
        <w:rPr>
          <w:lang w:eastAsia="ja-JP"/>
        </w:rPr>
        <w:t>Ensuring availability and accessibility of information to enable communities and individuals to have confidence in the operation of water markets and their ability to enter those markets</w:t>
      </w:r>
      <w:r>
        <w:rPr>
          <w:lang w:eastAsia="ja-JP"/>
        </w:rPr>
        <w:t>.</w:t>
      </w:r>
    </w:p>
    <w:p w14:paraId="747D5656" w14:textId="5C7727B1" w:rsidR="005C2E5B" w:rsidRDefault="005C2E5B" w:rsidP="00F83280">
      <w:pPr>
        <w:pStyle w:val="ListBullet"/>
        <w:rPr>
          <w:lang w:eastAsia="ja-JP"/>
        </w:rPr>
      </w:pPr>
      <w:r w:rsidRPr="005C2E5B">
        <w:rPr>
          <w:b/>
          <w:bCs/>
          <w:lang w:eastAsia="ja-JP"/>
        </w:rPr>
        <w:t xml:space="preserve">Mandatory intermediary code: </w:t>
      </w:r>
      <w:r>
        <w:rPr>
          <w:lang w:eastAsia="ja-JP"/>
        </w:rPr>
        <w:t xml:space="preserve">A </w:t>
      </w:r>
      <w:r>
        <w:rPr>
          <w:lang w:eastAsia="ja-JP"/>
        </w:rPr>
        <w:t>mandatory intermediary code would potentially regulate all parties carrying out intermediary services, including some Irrigation Infrastructure Operators (IIOs)</w:t>
      </w:r>
      <w:r>
        <w:rPr>
          <w:lang w:eastAsia="ja-JP"/>
        </w:rPr>
        <w:t>.</w:t>
      </w:r>
    </w:p>
    <w:p w14:paraId="623A91BB" w14:textId="29F03807" w:rsidR="005C2E5B" w:rsidRDefault="005C2E5B" w:rsidP="005C2E5B">
      <w:pPr>
        <w:pStyle w:val="ListBullet"/>
        <w:rPr>
          <w:lang w:eastAsia="ja-JP"/>
        </w:rPr>
      </w:pPr>
      <w:r>
        <w:rPr>
          <w:b/>
          <w:bCs/>
          <w:lang w:eastAsia="ja-JP"/>
        </w:rPr>
        <w:t xml:space="preserve">Conduct regulation: </w:t>
      </w:r>
      <w:r w:rsidRPr="005C2E5B">
        <w:rPr>
          <w:lang w:eastAsia="ja-JP"/>
        </w:rPr>
        <w:t>new Basin-wide legislation to strengthen and broaden insider trading</w:t>
      </w:r>
      <w:r>
        <w:rPr>
          <w:lang w:eastAsia="ja-JP"/>
        </w:rPr>
        <w:t xml:space="preserve"> </w:t>
      </w:r>
      <w:r w:rsidRPr="005C2E5B">
        <w:rPr>
          <w:lang w:eastAsia="ja-JP"/>
        </w:rPr>
        <w:t>prohibitions, as well as new market manipulation prohibitions will regulate the conduct of market participants.</w:t>
      </w:r>
    </w:p>
    <w:p w14:paraId="7FA23EAE" w14:textId="18DDBDDD" w:rsidR="005C2E5B" w:rsidRDefault="005C2E5B" w:rsidP="005C2E5B">
      <w:pPr>
        <w:pStyle w:val="ListBullet"/>
        <w:rPr>
          <w:lang w:eastAsia="ja-JP"/>
        </w:rPr>
      </w:pPr>
      <w:r>
        <w:rPr>
          <w:b/>
          <w:bCs/>
          <w:lang w:eastAsia="ja-JP"/>
        </w:rPr>
        <w:t>Digital infrastructure for trade:</w:t>
      </w:r>
      <w:r>
        <w:rPr>
          <w:lang w:eastAsia="ja-JP"/>
        </w:rPr>
        <w:t xml:space="preserve"> </w:t>
      </w:r>
      <w:r>
        <w:rPr>
          <w:lang w:eastAsia="ja-JP"/>
        </w:rPr>
        <w:t xml:space="preserve">Improving digital infrastructure and water market data is expected to have considerable benefits to water </w:t>
      </w:r>
      <w:r>
        <w:rPr>
          <w:lang w:eastAsia="ja-JP"/>
        </w:rPr>
        <w:t>markets but</w:t>
      </w:r>
      <w:r>
        <w:rPr>
          <w:lang w:eastAsia="ja-JP"/>
        </w:rPr>
        <w:t xml:space="preserve"> is likely to also require significant investment. DAWE has engaged the CSIRO to assess the benefits and costs in detail with trade service providers.</w:t>
      </w:r>
    </w:p>
    <w:p w14:paraId="3E2963D2" w14:textId="338BAAD6" w:rsidR="00AC3E4D" w:rsidRDefault="00AC3E4D" w:rsidP="005A78E1">
      <w:pPr>
        <w:pStyle w:val="Heading2"/>
        <w:numPr>
          <w:ilvl w:val="0"/>
          <w:numId w:val="0"/>
        </w:numPr>
        <w:ind w:left="720" w:hanging="720"/>
      </w:pPr>
      <w:r>
        <w:t>Conduct regulation</w:t>
      </w:r>
    </w:p>
    <w:p w14:paraId="6AB34799" w14:textId="77777777" w:rsidR="00AC3E4D" w:rsidRDefault="00AC3E4D" w:rsidP="00AC3E4D">
      <w:pPr>
        <w:pStyle w:val="ListBullet"/>
        <w:rPr>
          <w:lang w:eastAsia="ja-JP"/>
        </w:rPr>
      </w:pPr>
      <w:r>
        <w:rPr>
          <w:lang w:eastAsia="ja-JP"/>
        </w:rPr>
        <w:t>The ACCC recommended strengthening and broadening insider trading prohibitions, as well as new market manipulation prohibitions.</w:t>
      </w:r>
    </w:p>
    <w:p w14:paraId="45A0032C" w14:textId="578BA1F6" w:rsidR="00AC3E4D" w:rsidRDefault="00AC3E4D" w:rsidP="00AC3E4D">
      <w:pPr>
        <w:pStyle w:val="ListBullet"/>
        <w:rPr>
          <w:lang w:eastAsia="ja-JP"/>
        </w:rPr>
      </w:pPr>
      <w:r w:rsidRPr="00AC3E4D">
        <w:rPr>
          <w:lang w:eastAsia="ja-JP"/>
        </w:rPr>
        <w:t>December advice: potential commitments to support these measures in</w:t>
      </w:r>
      <w:r w:rsidRPr="00AC3E4D">
        <w:rPr>
          <w:lang w:eastAsia="ja-JP"/>
        </w:rPr>
        <w:t>principle</w:t>
      </w:r>
    </w:p>
    <w:p w14:paraId="4D3E7BBB" w14:textId="1BEBFE34" w:rsidR="00AC3E4D" w:rsidRDefault="00AC3E4D" w:rsidP="00AC3E4D">
      <w:pPr>
        <w:pStyle w:val="ListBullet"/>
        <w:rPr>
          <w:lang w:eastAsia="ja-JP"/>
        </w:rPr>
      </w:pPr>
      <w:r>
        <w:rPr>
          <w:lang w:eastAsia="ja-JP"/>
        </w:rPr>
        <w:t>Implementation details (scope of prohibitions, who will regulate) to be worked out for the June 2022 roadmap.</w:t>
      </w:r>
    </w:p>
    <w:p w14:paraId="2DBAB30A" w14:textId="7427B0AA" w:rsidR="005A78E1" w:rsidRDefault="005A78E1" w:rsidP="005A78E1">
      <w:pPr>
        <w:pStyle w:val="Heading2"/>
        <w:numPr>
          <w:ilvl w:val="0"/>
          <w:numId w:val="0"/>
        </w:numPr>
        <w:ind w:left="720" w:hanging="720"/>
      </w:pPr>
      <w:r>
        <w:t>Mandatory intermediary code</w:t>
      </w:r>
    </w:p>
    <w:p w14:paraId="29D5EC6D" w14:textId="260F22E7" w:rsidR="00AC3E4D" w:rsidRDefault="00AC3E4D" w:rsidP="005A78E1">
      <w:pPr>
        <w:pStyle w:val="Heading3"/>
        <w:numPr>
          <w:ilvl w:val="0"/>
          <w:numId w:val="0"/>
        </w:numPr>
        <w:ind w:left="964" w:hanging="964"/>
        <w:rPr>
          <w:rFonts w:eastAsiaTheme="minorEastAsia"/>
        </w:rPr>
      </w:pPr>
      <w:r>
        <w:rPr>
          <w:rFonts w:eastAsiaTheme="minorEastAsia"/>
        </w:rPr>
        <w:t>Why have a mandatory intermediary code?</w:t>
      </w:r>
    </w:p>
    <w:p w14:paraId="4783D440" w14:textId="4BD41926" w:rsidR="00AC3E4D" w:rsidRDefault="00AC3E4D" w:rsidP="00AC3E4D">
      <w:pPr>
        <w:pStyle w:val="ListBullet"/>
        <w:rPr>
          <w:lang w:eastAsia="ja-JP"/>
        </w:rPr>
      </w:pPr>
      <w:r>
        <w:rPr>
          <w:lang w:eastAsia="ja-JP"/>
        </w:rPr>
        <w:t>The ACCC recommended introducing an enforceable mandatory code for intermediaries, including water brokers, exchange platforms and Irrigation Infrastructure Operators (IIOs).</w:t>
      </w:r>
    </w:p>
    <w:p w14:paraId="22D59FE6" w14:textId="49672F61" w:rsidR="00AC3E4D" w:rsidRDefault="00AC3E4D" w:rsidP="00AC3E4D">
      <w:pPr>
        <w:pStyle w:val="ListBullet"/>
        <w:rPr>
          <w:lang w:eastAsia="ja-JP"/>
        </w:rPr>
      </w:pPr>
      <w:r w:rsidRPr="00AC3E4D">
        <w:rPr>
          <w:lang w:eastAsia="ja-JP"/>
        </w:rPr>
        <w:t>Voluntary code has not been sufficiently effective.</w:t>
      </w:r>
    </w:p>
    <w:p w14:paraId="16918631" w14:textId="47C9BF0F" w:rsidR="00AC3E4D" w:rsidRDefault="00AC3E4D" w:rsidP="00AC3E4D">
      <w:pPr>
        <w:pStyle w:val="ListBullet"/>
        <w:rPr>
          <w:lang w:eastAsia="ja-JP"/>
        </w:rPr>
      </w:pPr>
      <w:r>
        <w:rPr>
          <w:lang w:eastAsia="ja-JP"/>
        </w:rPr>
        <w:t>A mandatory code will support effective operation of water markets by promoting</w:t>
      </w:r>
      <w:r>
        <w:rPr>
          <w:lang w:eastAsia="ja-JP"/>
        </w:rPr>
        <w:t xml:space="preserve"> </w:t>
      </w:r>
      <w:r>
        <w:rPr>
          <w:lang w:eastAsia="ja-JP"/>
        </w:rPr>
        <w:t>confidence and ensuring a consistent baseline for consumer protection</w:t>
      </w:r>
      <w:r>
        <w:rPr>
          <w:lang w:eastAsia="ja-JP"/>
        </w:rPr>
        <w:t>.</w:t>
      </w:r>
    </w:p>
    <w:p w14:paraId="21B37865" w14:textId="71BE9CBD" w:rsidR="00AC3E4D" w:rsidRDefault="005A78E1" w:rsidP="00AC3E4D">
      <w:pPr>
        <w:pStyle w:val="ListBullet"/>
        <w:rPr>
          <w:lang w:eastAsia="ja-JP"/>
        </w:rPr>
      </w:pPr>
      <w:r w:rsidRPr="005A78E1">
        <w:rPr>
          <w:lang w:eastAsia="ja-JP"/>
        </w:rPr>
        <w:t>December advice: potential commitments to support a code in-principle.</w:t>
      </w:r>
    </w:p>
    <w:p w14:paraId="3CCB9BAF" w14:textId="6A20566C" w:rsidR="005A78E1" w:rsidRPr="005A78E1" w:rsidRDefault="005A78E1" w:rsidP="005A78E1">
      <w:pPr>
        <w:pStyle w:val="Heading3"/>
        <w:numPr>
          <w:ilvl w:val="0"/>
          <w:numId w:val="0"/>
        </w:numPr>
        <w:ind w:left="964" w:hanging="964"/>
        <w:rPr>
          <w:rFonts w:eastAsiaTheme="minorEastAsia"/>
          <w:lang w:eastAsia="ja-JP"/>
        </w:rPr>
      </w:pPr>
      <w:r>
        <w:rPr>
          <w:rFonts w:eastAsiaTheme="minorEastAsia"/>
          <w:lang w:eastAsia="ja-JP"/>
        </w:rPr>
        <w:t>What obligations will be included?</w:t>
      </w:r>
    </w:p>
    <w:p w14:paraId="388FF9B1" w14:textId="3A2273E6" w:rsidR="005A78E1" w:rsidRDefault="005A78E1" w:rsidP="005A78E1">
      <w:pPr>
        <w:pStyle w:val="ListBullet"/>
        <w:rPr>
          <w:lang w:eastAsia="ja-JP"/>
        </w:rPr>
      </w:pPr>
      <w:r w:rsidRPr="005A78E1">
        <w:rPr>
          <w:lang w:eastAsia="ja-JP"/>
        </w:rPr>
        <w:t>Duty to act in client’s best interests or to disclose if acting for both parties</w:t>
      </w:r>
    </w:p>
    <w:p w14:paraId="56C5116D" w14:textId="36A10356" w:rsidR="005A78E1" w:rsidRDefault="005A78E1" w:rsidP="005A78E1">
      <w:pPr>
        <w:pStyle w:val="ListBullet"/>
        <w:rPr>
          <w:lang w:eastAsia="ja-JP"/>
        </w:rPr>
      </w:pPr>
      <w:r>
        <w:rPr>
          <w:lang w:eastAsia="ja-JP"/>
        </w:rPr>
        <w:t>Complaints handling process</w:t>
      </w:r>
    </w:p>
    <w:p w14:paraId="5A09D02F" w14:textId="57C72B0A" w:rsidR="005A78E1" w:rsidRDefault="005A78E1" w:rsidP="005A78E1">
      <w:pPr>
        <w:pStyle w:val="ListBullet"/>
        <w:rPr>
          <w:lang w:eastAsia="ja-JP"/>
        </w:rPr>
      </w:pPr>
      <w:r>
        <w:rPr>
          <w:lang w:eastAsia="ja-JP"/>
        </w:rPr>
        <w:t>Record-keeping obligations</w:t>
      </w:r>
    </w:p>
    <w:p w14:paraId="0ECAF328" w14:textId="477E51E7" w:rsidR="005A78E1" w:rsidRDefault="005A78E1" w:rsidP="005A78E1">
      <w:pPr>
        <w:pStyle w:val="ListBullet"/>
        <w:rPr>
          <w:lang w:eastAsia="ja-JP"/>
        </w:rPr>
      </w:pPr>
      <w:r>
        <w:rPr>
          <w:lang w:eastAsia="ja-JP"/>
        </w:rPr>
        <w:t>Trust accounts if handling money on behalf of clients</w:t>
      </w:r>
    </w:p>
    <w:p w14:paraId="5418ED39" w14:textId="3827E712" w:rsidR="005A78E1" w:rsidRDefault="005A78E1" w:rsidP="005A78E1">
      <w:pPr>
        <w:pStyle w:val="ListBullet"/>
        <w:rPr>
          <w:lang w:eastAsia="ja-JP"/>
        </w:rPr>
      </w:pPr>
      <w:r>
        <w:rPr>
          <w:lang w:eastAsia="ja-JP"/>
        </w:rPr>
        <w:t>Professional indemnity insurance</w:t>
      </w:r>
    </w:p>
    <w:p w14:paraId="59456E79" w14:textId="075E8EC1" w:rsidR="005A78E1" w:rsidRPr="005A78E1" w:rsidRDefault="005A78E1" w:rsidP="005A78E1">
      <w:pPr>
        <w:pStyle w:val="Heading3"/>
        <w:numPr>
          <w:ilvl w:val="0"/>
          <w:numId w:val="0"/>
        </w:numPr>
        <w:ind w:left="964" w:hanging="964"/>
        <w:rPr>
          <w:rFonts w:eastAsiaTheme="minorEastAsia"/>
          <w:lang w:eastAsia="ja-JP"/>
        </w:rPr>
      </w:pPr>
      <w:r>
        <w:rPr>
          <w:rFonts w:eastAsiaTheme="minorEastAsia"/>
          <w:lang w:eastAsia="ja-JP"/>
        </w:rPr>
        <w:t xml:space="preserve">What </w:t>
      </w:r>
      <w:r>
        <w:rPr>
          <w:rFonts w:eastAsiaTheme="minorEastAsia"/>
          <w:lang w:eastAsia="ja-JP"/>
        </w:rPr>
        <w:t>services could potentially be covered</w:t>
      </w:r>
      <w:r>
        <w:rPr>
          <w:rFonts w:eastAsiaTheme="minorEastAsia"/>
          <w:lang w:eastAsia="ja-JP"/>
        </w:rPr>
        <w:t>?</w:t>
      </w:r>
    </w:p>
    <w:p w14:paraId="6DD88264" w14:textId="41513871" w:rsidR="005A78E1" w:rsidRDefault="005A78E1" w:rsidP="005A78E1">
      <w:pPr>
        <w:pStyle w:val="ListBullet"/>
        <w:rPr>
          <w:lang w:eastAsia="ja-JP"/>
        </w:rPr>
      </w:pPr>
      <w:r>
        <w:rPr>
          <w:lang w:eastAsia="ja-JP"/>
        </w:rPr>
        <w:t>Advisory</w:t>
      </w:r>
    </w:p>
    <w:p w14:paraId="63EF0B62" w14:textId="7D8587C3" w:rsidR="005A78E1" w:rsidRDefault="005A78E1" w:rsidP="005A78E1">
      <w:pPr>
        <w:pStyle w:val="ListBullet"/>
        <w:rPr>
          <w:lang w:eastAsia="ja-JP"/>
        </w:rPr>
      </w:pPr>
      <w:r>
        <w:rPr>
          <w:lang w:eastAsia="ja-JP"/>
        </w:rPr>
        <w:t>Information</w:t>
      </w:r>
    </w:p>
    <w:p w14:paraId="06B62FBE" w14:textId="1B31F942" w:rsidR="005A78E1" w:rsidRDefault="005A78E1" w:rsidP="005A78E1">
      <w:pPr>
        <w:pStyle w:val="ListBullet"/>
        <w:rPr>
          <w:lang w:eastAsia="ja-JP"/>
        </w:rPr>
      </w:pPr>
      <w:r>
        <w:rPr>
          <w:lang w:eastAsia="ja-JP"/>
        </w:rPr>
        <w:t xml:space="preserve">Settlement </w:t>
      </w:r>
    </w:p>
    <w:p w14:paraId="673413DE" w14:textId="19EDEBCF" w:rsidR="005A78E1" w:rsidRDefault="005A78E1" w:rsidP="005A78E1">
      <w:pPr>
        <w:pStyle w:val="ListBullet"/>
        <w:rPr>
          <w:lang w:eastAsia="ja-JP"/>
        </w:rPr>
      </w:pPr>
      <w:r>
        <w:rPr>
          <w:lang w:eastAsia="ja-JP"/>
        </w:rPr>
        <w:t>Matching</w:t>
      </w:r>
    </w:p>
    <w:p w14:paraId="577C2682" w14:textId="4E23EA6B" w:rsidR="005A78E1" w:rsidRDefault="005A78E1" w:rsidP="005A78E1">
      <w:pPr>
        <w:pStyle w:val="ListBullet"/>
        <w:rPr>
          <w:lang w:eastAsia="ja-JP"/>
        </w:rPr>
      </w:pPr>
      <w:r>
        <w:rPr>
          <w:lang w:eastAsia="ja-JP"/>
        </w:rPr>
        <w:t>Submitting trade applications</w:t>
      </w:r>
    </w:p>
    <w:p w14:paraId="52E4F532" w14:textId="43BB6EBC" w:rsidR="005A78E1" w:rsidRDefault="005A78E1" w:rsidP="005A78E1">
      <w:pPr>
        <w:pStyle w:val="ListBullet"/>
        <w:rPr>
          <w:lang w:eastAsia="ja-JP"/>
        </w:rPr>
      </w:pPr>
      <w:r>
        <w:rPr>
          <w:lang w:eastAsia="ja-JP"/>
        </w:rPr>
        <w:t>Exchange</w:t>
      </w:r>
    </w:p>
    <w:p w14:paraId="57E0CF6B" w14:textId="02EB6DC0" w:rsidR="005A78E1" w:rsidRPr="005A78E1" w:rsidRDefault="005A78E1" w:rsidP="005A78E1">
      <w:pPr>
        <w:pStyle w:val="Heading3"/>
        <w:numPr>
          <w:ilvl w:val="0"/>
          <w:numId w:val="0"/>
        </w:numPr>
        <w:ind w:left="964" w:hanging="964"/>
        <w:rPr>
          <w:rFonts w:eastAsiaTheme="minorEastAsia"/>
          <w:lang w:eastAsia="ja-JP"/>
        </w:rPr>
      </w:pPr>
      <w:r>
        <w:rPr>
          <w:rFonts w:eastAsiaTheme="minorEastAsia"/>
          <w:lang w:eastAsia="ja-JP"/>
        </w:rPr>
        <w:t>Matters still under consideration:</w:t>
      </w:r>
    </w:p>
    <w:p w14:paraId="6682218C" w14:textId="3DBB85E3" w:rsidR="005A78E1" w:rsidRDefault="005A78E1" w:rsidP="005A78E1">
      <w:pPr>
        <w:pStyle w:val="ListBullet"/>
        <w:rPr>
          <w:lang w:eastAsia="ja-JP"/>
        </w:rPr>
      </w:pPr>
      <w:r>
        <w:rPr>
          <w:lang w:eastAsia="ja-JP"/>
        </w:rPr>
        <w:t>Application – beyond the basin?</w:t>
      </w:r>
    </w:p>
    <w:p w14:paraId="5E0C30F3" w14:textId="56C3BDBB" w:rsidR="005A78E1" w:rsidRDefault="005A78E1" w:rsidP="005A78E1">
      <w:pPr>
        <w:pStyle w:val="ListBullet"/>
        <w:rPr>
          <w:lang w:eastAsia="ja-JP"/>
        </w:rPr>
      </w:pPr>
      <w:r>
        <w:rPr>
          <w:lang w:eastAsia="ja-JP"/>
        </w:rPr>
        <w:t>Who will enforce the code?</w:t>
      </w:r>
    </w:p>
    <w:p w14:paraId="2E528B2C" w14:textId="04C62570" w:rsidR="005A78E1" w:rsidRDefault="005A78E1" w:rsidP="005A78E1">
      <w:pPr>
        <w:pStyle w:val="ListBullet"/>
        <w:rPr>
          <w:lang w:eastAsia="ja-JP"/>
        </w:rPr>
      </w:pPr>
      <w:r>
        <w:rPr>
          <w:lang w:eastAsia="ja-JP"/>
        </w:rPr>
        <w:t>Appropriate exclusions (if any)&gt;</w:t>
      </w:r>
    </w:p>
    <w:p w14:paraId="52D9DAD9" w14:textId="5BC591A6" w:rsidR="005A78E1" w:rsidRDefault="005A78E1" w:rsidP="005A78E1">
      <w:pPr>
        <w:pStyle w:val="Heading2"/>
        <w:numPr>
          <w:ilvl w:val="0"/>
          <w:numId w:val="0"/>
        </w:numPr>
        <w:ind w:left="720" w:hanging="720"/>
      </w:pPr>
      <w:r>
        <w:t>Digital infrastructure &amp; reporting for trade</w:t>
      </w:r>
    </w:p>
    <w:p w14:paraId="16332C7B" w14:textId="443E28B9" w:rsidR="005A78E1" w:rsidRDefault="005A78E1" w:rsidP="005D4CB8">
      <w:pPr>
        <w:pStyle w:val="ListBullet"/>
        <w:rPr>
          <w:lang w:eastAsia="ja-JP"/>
        </w:rPr>
      </w:pPr>
      <w:r>
        <w:rPr>
          <w:lang w:eastAsia="ja-JP"/>
        </w:rPr>
        <w:t>The ACCC recommended improvements to digital infrastructure for trade including water market data standards and system integration.</w:t>
      </w:r>
    </w:p>
    <w:p w14:paraId="089400EF" w14:textId="6BA3E66E" w:rsidR="005A78E1" w:rsidRDefault="005A78E1" w:rsidP="005A78E1">
      <w:pPr>
        <w:pStyle w:val="ListBullet"/>
        <w:rPr>
          <w:lang w:eastAsia="ja-JP"/>
        </w:rPr>
      </w:pPr>
      <w:r>
        <w:rPr>
          <w:lang w:eastAsia="ja-JP"/>
        </w:rPr>
        <w:t>December advice: potential new commitments to increase collection and publication of trade data (reasons for trade and ‘strike-date’ information)</w:t>
      </w:r>
      <w:r>
        <w:rPr>
          <w:lang w:eastAsia="ja-JP"/>
        </w:rPr>
        <w:t>.</w:t>
      </w:r>
    </w:p>
    <w:p w14:paraId="4857CEC3" w14:textId="47DD0B5F" w:rsidR="005A78E1" w:rsidRDefault="005A78E1" w:rsidP="005A78E1">
      <w:pPr>
        <w:pStyle w:val="ListBullet"/>
        <w:rPr>
          <w:lang w:eastAsia="ja-JP"/>
        </w:rPr>
      </w:pPr>
      <w:r>
        <w:rPr>
          <w:lang w:eastAsia="ja-JP"/>
        </w:rPr>
        <w:t>Most recommendations regarding data and systems for trade are yet to be considered</w:t>
      </w:r>
      <w:r>
        <w:rPr>
          <w:lang w:eastAsia="ja-JP"/>
        </w:rPr>
        <w:t>.</w:t>
      </w:r>
    </w:p>
    <w:p w14:paraId="060A1FB2" w14:textId="3DA85E92" w:rsidR="005A78E1" w:rsidRDefault="005A78E1" w:rsidP="005A78E1">
      <w:pPr>
        <w:pStyle w:val="ListBullet2"/>
        <w:rPr>
          <w:lang w:eastAsia="ja-JP"/>
        </w:rPr>
      </w:pPr>
      <w:r>
        <w:rPr>
          <w:lang w:eastAsia="ja-JP"/>
        </w:rPr>
        <w:t>CSIRO has been engaged to assess the benefits and costs in detail with trade service providers, recognising potentially significant impact on trade service providers.</w:t>
      </w:r>
    </w:p>
    <w:p w14:paraId="7F40D303" w14:textId="4DBB37A0" w:rsidR="005A78E1" w:rsidRDefault="005A78E1" w:rsidP="005A78E1">
      <w:pPr>
        <w:pStyle w:val="ListBullet2"/>
        <w:rPr>
          <w:lang w:eastAsia="ja-JP"/>
        </w:rPr>
      </w:pPr>
      <w:r>
        <w:rPr>
          <w:lang w:eastAsia="ja-JP"/>
        </w:rPr>
        <w:t>Consequential issue of how to make this information available to meet various needs</w:t>
      </w:r>
      <w:r w:rsidR="002F6D19">
        <w:rPr>
          <w:lang w:eastAsia="ja-JP"/>
        </w:rPr>
        <w:t>.</w:t>
      </w:r>
    </w:p>
    <w:p w14:paraId="1194B590" w14:textId="19FE602D" w:rsidR="002F6D19" w:rsidRDefault="002F6D19" w:rsidP="002F6D19">
      <w:pPr>
        <w:pStyle w:val="Heading2"/>
        <w:numPr>
          <w:ilvl w:val="0"/>
          <w:numId w:val="0"/>
        </w:numPr>
        <w:ind w:left="720" w:hanging="720"/>
      </w:pPr>
      <w:r>
        <w:t>Institutional arrangements</w:t>
      </w:r>
    </w:p>
    <w:p w14:paraId="2251DD6D" w14:textId="56376678" w:rsidR="002F6D19" w:rsidRDefault="002F6D19" w:rsidP="002F6D19">
      <w:pPr>
        <w:pStyle w:val="ListBullet"/>
        <w:rPr>
          <w:lang w:eastAsia="ja-JP"/>
        </w:rPr>
      </w:pPr>
      <w:r>
        <w:rPr>
          <w:lang w:eastAsia="ja-JP"/>
        </w:rPr>
        <w:t>The ACCC recommended creating a new 'Water Markets Agency' to centralise all water market functions in one agency.</w:t>
      </w:r>
    </w:p>
    <w:p w14:paraId="2662FDA9" w14:textId="72249132" w:rsidR="002F6D19" w:rsidRDefault="002F6D19" w:rsidP="002F6D19">
      <w:pPr>
        <w:pStyle w:val="ListBullet"/>
        <w:rPr>
          <w:lang w:eastAsia="ja-JP"/>
        </w:rPr>
      </w:pPr>
      <w:r>
        <w:rPr>
          <w:lang w:eastAsia="ja-JP"/>
        </w:rPr>
        <w:t>The new and improved functions would span:</w:t>
      </w:r>
    </w:p>
    <w:p w14:paraId="7FE324D8" w14:textId="77E0A5B9" w:rsidR="002F6D19" w:rsidRDefault="002F6D19" w:rsidP="002F6D19">
      <w:pPr>
        <w:pStyle w:val="ListBullet2"/>
        <w:rPr>
          <w:lang w:eastAsia="ja-JP"/>
        </w:rPr>
      </w:pPr>
      <w:r>
        <w:rPr>
          <w:lang w:eastAsia="ja-JP"/>
        </w:rPr>
        <w:t xml:space="preserve">Market surveillance, </w:t>
      </w:r>
      <w:proofErr w:type="gramStart"/>
      <w:r>
        <w:rPr>
          <w:lang w:eastAsia="ja-JP"/>
        </w:rPr>
        <w:t>compliance</w:t>
      </w:r>
      <w:proofErr w:type="gramEnd"/>
      <w:r>
        <w:rPr>
          <w:lang w:eastAsia="ja-JP"/>
        </w:rPr>
        <w:t xml:space="preserve"> and enforcement </w:t>
      </w:r>
    </w:p>
    <w:p w14:paraId="00428F24" w14:textId="4456F392" w:rsidR="002F6D19" w:rsidRDefault="002F6D19" w:rsidP="002F6D19">
      <w:pPr>
        <w:pStyle w:val="ListBullet2"/>
        <w:rPr>
          <w:lang w:eastAsia="ja-JP"/>
        </w:rPr>
      </w:pPr>
      <w:r>
        <w:rPr>
          <w:lang w:eastAsia="ja-JP"/>
        </w:rPr>
        <w:t>Advisory and advocacy functions</w:t>
      </w:r>
    </w:p>
    <w:p w14:paraId="56CAFE0E" w14:textId="44A66B42" w:rsidR="002F6D19" w:rsidRDefault="002F6D19" w:rsidP="002F6D19">
      <w:pPr>
        <w:pStyle w:val="ListBullet2"/>
        <w:rPr>
          <w:lang w:eastAsia="ja-JP"/>
        </w:rPr>
      </w:pPr>
      <w:r>
        <w:rPr>
          <w:lang w:eastAsia="ja-JP"/>
        </w:rPr>
        <w:t>Information and reporting functions</w:t>
      </w:r>
    </w:p>
    <w:p w14:paraId="6C419628" w14:textId="423DCE96" w:rsidR="002F6D19" w:rsidRDefault="002F6D19" w:rsidP="002F6D19">
      <w:pPr>
        <w:pStyle w:val="ListBullet"/>
        <w:rPr>
          <w:lang w:eastAsia="ja-JP"/>
        </w:rPr>
      </w:pPr>
      <w:r>
        <w:rPr>
          <w:lang w:eastAsia="ja-JP"/>
        </w:rPr>
        <w:t>Need to test this proposal against the need to ensure reforms are practical and cost-effective, and having regard to the number of existing regulatory agencies in the water management sector</w:t>
      </w:r>
    </w:p>
    <w:p w14:paraId="0C797FBE" w14:textId="60389269" w:rsidR="002F6D19" w:rsidRDefault="002F6D19" w:rsidP="002F6D19">
      <w:pPr>
        <w:pStyle w:val="Heading2"/>
        <w:numPr>
          <w:ilvl w:val="0"/>
          <w:numId w:val="0"/>
        </w:numPr>
        <w:ind w:left="720" w:hanging="720"/>
      </w:pPr>
      <w:r>
        <w:t>Next steps</w:t>
      </w:r>
    </w:p>
    <w:p w14:paraId="7555A0A8" w14:textId="491B5686" w:rsidR="002F6D19" w:rsidRDefault="002F6D19" w:rsidP="002F6D19">
      <w:pPr>
        <w:pStyle w:val="Heading3"/>
        <w:numPr>
          <w:ilvl w:val="0"/>
          <w:numId w:val="0"/>
        </w:numPr>
        <w:ind w:left="964" w:hanging="964"/>
        <w:rPr>
          <w:lang w:eastAsia="ja-JP"/>
        </w:rPr>
      </w:pPr>
      <w:r>
        <w:rPr>
          <w:lang w:eastAsia="ja-JP"/>
        </w:rPr>
        <w:t>Thank you for your participation today</w:t>
      </w:r>
    </w:p>
    <w:p w14:paraId="38D333CA" w14:textId="79508D31" w:rsidR="002F6D19" w:rsidRDefault="002F6D19" w:rsidP="002F6D19">
      <w:pPr>
        <w:pStyle w:val="ListBullet"/>
        <w:rPr>
          <w:lang w:eastAsia="ja-JP"/>
        </w:rPr>
      </w:pPr>
      <w:r>
        <w:rPr>
          <w:lang w:eastAsia="ja-JP"/>
        </w:rPr>
        <w:t xml:space="preserve">Feedback from today’s session will help inform advice as part of the roadmap. </w:t>
      </w:r>
    </w:p>
    <w:p w14:paraId="22457B80" w14:textId="31CF4728" w:rsidR="002F6D19" w:rsidRDefault="002F6D19" w:rsidP="002F6D19">
      <w:pPr>
        <w:pStyle w:val="ListBullet"/>
        <w:rPr>
          <w:lang w:eastAsia="ja-JP"/>
        </w:rPr>
      </w:pPr>
      <w:r>
        <w:rPr>
          <w:lang w:eastAsia="ja-JP"/>
        </w:rPr>
        <w:t xml:space="preserve">The first piece of advice is due December. </w:t>
      </w:r>
    </w:p>
    <w:p w14:paraId="77E9852C" w14:textId="6FF2D104" w:rsidR="002F6D19" w:rsidRDefault="002F6D19" w:rsidP="002F6D19">
      <w:pPr>
        <w:pStyle w:val="ListBullet"/>
        <w:rPr>
          <w:lang w:eastAsia="ja-JP"/>
        </w:rPr>
      </w:pPr>
      <w:r>
        <w:rPr>
          <w:lang w:eastAsia="ja-JP"/>
        </w:rPr>
        <w:t xml:space="preserve">Plan for 2022 is under development. </w:t>
      </w:r>
    </w:p>
    <w:p w14:paraId="5149678F" w14:textId="0816C261" w:rsidR="002F6D19" w:rsidRDefault="002F6D19" w:rsidP="002F6D19">
      <w:pPr>
        <w:pStyle w:val="ListBullet"/>
        <w:numPr>
          <w:ilvl w:val="0"/>
          <w:numId w:val="0"/>
        </w:numPr>
        <w:ind w:left="425" w:hanging="425"/>
        <w:rPr>
          <w:lang w:eastAsia="ja-JP"/>
        </w:rPr>
      </w:pPr>
    </w:p>
    <w:p w14:paraId="6C2BA627" w14:textId="26D51CE9" w:rsidR="002F6D19" w:rsidRDefault="002F6D19" w:rsidP="002F6D19">
      <w:pPr>
        <w:pStyle w:val="Heading3"/>
        <w:numPr>
          <w:ilvl w:val="0"/>
          <w:numId w:val="0"/>
        </w:numPr>
        <w:ind w:left="964" w:hanging="964"/>
        <w:rPr>
          <w:lang w:eastAsia="ja-JP"/>
        </w:rPr>
      </w:pPr>
      <w:r>
        <w:rPr>
          <w:lang w:eastAsia="ja-JP"/>
        </w:rPr>
        <w:t>Contact</w:t>
      </w:r>
    </w:p>
    <w:p w14:paraId="58C2D2E3" w14:textId="24EBFFA3" w:rsidR="002F6D19" w:rsidRDefault="002F6D19" w:rsidP="002F6D19">
      <w:pPr>
        <w:pStyle w:val="ListParagraph"/>
        <w:numPr>
          <w:ilvl w:val="0"/>
          <w:numId w:val="33"/>
        </w:numPr>
        <w:rPr>
          <w:lang w:eastAsia="ja-JP"/>
        </w:rPr>
      </w:pPr>
      <w:r>
        <w:rPr>
          <w:lang w:eastAsia="ja-JP"/>
        </w:rPr>
        <w:t xml:space="preserve">Email: </w:t>
      </w:r>
      <w:hyperlink r:id="rId12" w:history="1">
        <w:r w:rsidRPr="00AF0621">
          <w:rPr>
            <w:rStyle w:val="Hyperlink"/>
            <w:lang w:eastAsia="ja-JP"/>
          </w:rPr>
          <w:t>water.markets@agriculture.gov.au</w:t>
        </w:r>
      </w:hyperlink>
    </w:p>
    <w:p w14:paraId="2054F805" w14:textId="52401C41" w:rsidR="002F6D19" w:rsidRDefault="002F6D19" w:rsidP="002F6D19">
      <w:pPr>
        <w:pStyle w:val="ListParagraph"/>
        <w:numPr>
          <w:ilvl w:val="0"/>
          <w:numId w:val="33"/>
        </w:numPr>
        <w:rPr>
          <w:lang w:eastAsia="ja-JP"/>
        </w:rPr>
      </w:pPr>
      <w:r>
        <w:rPr>
          <w:lang w:eastAsia="ja-JP"/>
        </w:rPr>
        <w:t xml:space="preserve">Stay involved: </w:t>
      </w:r>
      <w:hyperlink r:id="rId13" w:history="1">
        <w:r w:rsidRPr="00AF0621">
          <w:rPr>
            <w:rStyle w:val="Hyperlink"/>
            <w:lang w:eastAsia="ja-JP"/>
          </w:rPr>
          <w:t>https://www.awe.gov.au/water/policy/markets/reform</w:t>
        </w:r>
      </w:hyperlink>
    </w:p>
    <w:p w14:paraId="50107BF3" w14:textId="77777777" w:rsidR="00262394" w:rsidRDefault="00262394" w:rsidP="00262394">
      <w:pPr>
        <w:pStyle w:val="Normalsmall"/>
        <w:spacing w:before="360"/>
      </w:pPr>
      <w:r>
        <w:t>© Commonwealth of Australia 2021</w:t>
      </w:r>
    </w:p>
    <w:p w14:paraId="236FF5AA"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1930532D" w14:textId="37EAB8E1" w:rsidR="00262394" w:rsidRDefault="00262394" w:rsidP="00262394">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F1E6184" w14:textId="6DF3A5B5" w:rsidR="00262394" w:rsidRDefault="00262394" w:rsidP="00262394">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headerReference w:type="even" r:id="rId15"/>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6771" w14:textId="77777777" w:rsidR="002A193C" w:rsidRDefault="002A193C">
      <w:r>
        <w:separator/>
      </w:r>
    </w:p>
    <w:p w14:paraId="2E014A85" w14:textId="77777777" w:rsidR="002A193C" w:rsidRDefault="002A193C"/>
    <w:p w14:paraId="02949C86" w14:textId="77777777" w:rsidR="002A193C" w:rsidRDefault="002A193C"/>
  </w:endnote>
  <w:endnote w:type="continuationSeparator" w:id="0">
    <w:p w14:paraId="73F6662E" w14:textId="77777777" w:rsidR="002A193C" w:rsidRDefault="002A193C">
      <w:r>
        <w:continuationSeparator/>
      </w:r>
    </w:p>
    <w:p w14:paraId="4EBAE07B" w14:textId="77777777" w:rsidR="002A193C" w:rsidRDefault="002A193C"/>
    <w:p w14:paraId="7242AC91" w14:textId="77777777" w:rsidR="002A193C" w:rsidRDefault="002A193C"/>
  </w:endnote>
  <w:endnote w:type="continuationNotice" w:id="1">
    <w:p w14:paraId="5F6A222E" w14:textId="77777777" w:rsidR="002A193C" w:rsidRDefault="002A193C">
      <w:pPr>
        <w:pStyle w:val="Footer"/>
      </w:pPr>
    </w:p>
    <w:p w14:paraId="05AE212C" w14:textId="77777777" w:rsidR="002A193C" w:rsidRDefault="002A193C"/>
    <w:p w14:paraId="043B5307" w14:textId="77777777" w:rsidR="002A193C" w:rsidRDefault="002A1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4FEE5583" w:rsidR="002A193C" w:rsidRDefault="002A193C">
    <w:pPr>
      <w:pStyle w:val="Footer"/>
    </w:pPr>
    <w:r>
      <w:t xml:space="preserve">Department of Agriculture, </w:t>
    </w:r>
    <w:proofErr w:type="gramStart"/>
    <w:r>
      <w:t>Water</w:t>
    </w:r>
    <w:proofErr w:type="gramEnd"/>
    <w:r>
      <w:t xml:space="preserve"> and the Environment</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DA5" w14:textId="7D5A5EAC" w:rsidR="002A193C" w:rsidRDefault="002A193C">
    <w:pPr>
      <w:pStyle w:val="Footer"/>
    </w:pPr>
    <w:r>
      <w:t xml:space="preserve">Department of Agriculture, </w:t>
    </w:r>
    <w:proofErr w:type="gramStart"/>
    <w:r>
      <w:t>Water</w:t>
    </w:r>
    <w:proofErr w:type="gramEnd"/>
    <w:r>
      <w:t xml:space="preserve"> and the Environment</w:t>
    </w:r>
  </w:p>
  <w:p w14:paraId="48B5E446"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0F1C" w14:textId="77777777" w:rsidR="002A193C" w:rsidRDefault="002A193C">
      <w:r>
        <w:separator/>
      </w:r>
    </w:p>
    <w:p w14:paraId="60F959B2" w14:textId="77777777" w:rsidR="002A193C" w:rsidRDefault="002A193C"/>
    <w:p w14:paraId="58F2E82A" w14:textId="77777777" w:rsidR="002A193C" w:rsidRDefault="002A193C"/>
  </w:footnote>
  <w:footnote w:type="continuationSeparator" w:id="0">
    <w:p w14:paraId="0F4C09AF" w14:textId="77777777" w:rsidR="002A193C" w:rsidRDefault="002A193C">
      <w:r>
        <w:continuationSeparator/>
      </w:r>
    </w:p>
    <w:p w14:paraId="731C3F89" w14:textId="77777777" w:rsidR="002A193C" w:rsidRDefault="002A193C"/>
    <w:p w14:paraId="1DBE571E" w14:textId="77777777" w:rsidR="002A193C" w:rsidRDefault="002A193C"/>
  </w:footnote>
  <w:footnote w:type="continuationNotice" w:id="1">
    <w:p w14:paraId="4B398218" w14:textId="77777777" w:rsidR="002A193C" w:rsidRDefault="002A193C">
      <w:pPr>
        <w:pStyle w:val="Footer"/>
      </w:pPr>
    </w:p>
    <w:p w14:paraId="7840A882" w14:textId="77777777" w:rsidR="002A193C" w:rsidRDefault="002A193C"/>
    <w:p w14:paraId="638D829A" w14:textId="77777777" w:rsidR="002A193C" w:rsidRDefault="002A1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E21C" w14:textId="77777777" w:rsidR="002A193C" w:rsidRDefault="002F6D19">
    <w:pPr>
      <w:pStyle w:val="Header"/>
    </w:pPr>
    <w:r>
      <w:rPr>
        <w:noProof/>
        <w:lang w:val="en-US"/>
      </w:rPr>
      <w:pict w14:anchorId="78DE1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FCD" w14:textId="2456ECDA" w:rsidR="002A193C" w:rsidRPr="00EE79DE" w:rsidRDefault="00EE79DE" w:rsidP="00EE79DE">
    <w:pPr>
      <w:pStyle w:val="Header"/>
    </w:pPr>
    <w:r w:rsidRPr="00EE79DE">
      <w:rPr>
        <w:noProof/>
        <w:lang w:val="en-US"/>
      </w:rPr>
      <w:t>Developing the roadmap for water market reform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77777777" w:rsidR="002A193C" w:rsidRDefault="002A193C">
    <w:pPr>
      <w:pStyle w:val="Header"/>
      <w:jc w:val="left"/>
    </w:pPr>
    <w:r>
      <w:rPr>
        <w:noProof/>
        <w:lang w:eastAsia="en-AU"/>
      </w:rPr>
      <w:drawing>
        <wp:inline distT="0" distB="0" distL="0" distR="0" wp14:anchorId="5BBE5CE1" wp14:editId="5CB111B3">
          <wp:extent cx="2123264" cy="637247"/>
          <wp:effectExtent l="0" t="0" r="0" b="0"/>
          <wp:docPr id="2" name="Picture 2" descr="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Water and the Environment">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sidR="002F6D19">
      <w:rPr>
        <w:noProof/>
        <w:lang w:val="en-US"/>
      </w:rPr>
      <w:pict w14:anchorId="1C65D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520244D"/>
    <w:multiLevelType w:val="hybridMultilevel"/>
    <w:tmpl w:val="9AA0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6537E8"/>
    <w:multiLevelType w:val="hybridMultilevel"/>
    <w:tmpl w:val="2C2AC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6800B4"/>
    <w:multiLevelType w:val="multilevel"/>
    <w:tmpl w:val="23887CA2"/>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23887CA2"/>
    <w:numStyleLink w:val="List1"/>
  </w:abstractNum>
  <w:num w:numId="1">
    <w:abstractNumId w:val="7"/>
  </w:num>
  <w:num w:numId="2">
    <w:abstractNumId w:val="19"/>
  </w:num>
  <w:num w:numId="3">
    <w:abstractNumId w:val="20"/>
  </w:num>
  <w:num w:numId="4">
    <w:abstractNumId w:val="10"/>
  </w:num>
  <w:num w:numId="5">
    <w:abstractNumId w:val="25"/>
  </w:num>
  <w:num w:numId="6">
    <w:abstractNumId w:val="26"/>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4"/>
  </w:num>
  <w:num w:numId="22">
    <w:abstractNumId w:val="21"/>
  </w:num>
  <w:num w:numId="23">
    <w:abstractNumId w:val="28"/>
  </w:num>
  <w:num w:numId="24">
    <w:abstractNumId w:val="12"/>
  </w:num>
  <w:num w:numId="25">
    <w:abstractNumId w:val="1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9"/>
  </w:num>
  <w:num w:numId="31">
    <w:abstractNumId w:val="5"/>
  </w:num>
  <w:num w:numId="32">
    <w:abstractNumId w:val="18"/>
  </w:num>
  <w:num w:numId="3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2503A"/>
    <w:rsid w:val="000F639A"/>
    <w:rsid w:val="00112B86"/>
    <w:rsid w:val="001567E9"/>
    <w:rsid w:val="001A1F79"/>
    <w:rsid w:val="001D77BC"/>
    <w:rsid w:val="00262394"/>
    <w:rsid w:val="002A193C"/>
    <w:rsid w:val="002F6D19"/>
    <w:rsid w:val="00357095"/>
    <w:rsid w:val="00396339"/>
    <w:rsid w:val="003A4B4A"/>
    <w:rsid w:val="003D44DC"/>
    <w:rsid w:val="00463911"/>
    <w:rsid w:val="0048569E"/>
    <w:rsid w:val="00486C20"/>
    <w:rsid w:val="005A78E1"/>
    <w:rsid w:val="005C2E5B"/>
    <w:rsid w:val="005F0E4D"/>
    <w:rsid w:val="006E0128"/>
    <w:rsid w:val="007405CB"/>
    <w:rsid w:val="007C5B94"/>
    <w:rsid w:val="007C785D"/>
    <w:rsid w:val="0080334A"/>
    <w:rsid w:val="0082249A"/>
    <w:rsid w:val="00833552"/>
    <w:rsid w:val="00833933"/>
    <w:rsid w:val="008A3190"/>
    <w:rsid w:val="008A3C8C"/>
    <w:rsid w:val="008D1B48"/>
    <w:rsid w:val="009E17A0"/>
    <w:rsid w:val="00AA70E3"/>
    <w:rsid w:val="00AB0FBE"/>
    <w:rsid w:val="00AC3E4D"/>
    <w:rsid w:val="00AE0928"/>
    <w:rsid w:val="00AF5211"/>
    <w:rsid w:val="00B01FB8"/>
    <w:rsid w:val="00C00AAC"/>
    <w:rsid w:val="00CE07A8"/>
    <w:rsid w:val="00CE6E1E"/>
    <w:rsid w:val="00D06356"/>
    <w:rsid w:val="00D45274"/>
    <w:rsid w:val="00D45E0E"/>
    <w:rsid w:val="00D666DC"/>
    <w:rsid w:val="00D912A7"/>
    <w:rsid w:val="00D93523"/>
    <w:rsid w:val="00DF4406"/>
    <w:rsid w:val="00E362EF"/>
    <w:rsid w:val="00E6000D"/>
    <w:rsid w:val="00E732BE"/>
    <w:rsid w:val="00EE79DE"/>
    <w:rsid w:val="00FB088E"/>
    <w:rsid w:val="00FB3D97"/>
    <w:rsid w:val="00FC4B1C"/>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62E972"/>
  <w15:docId w15:val="{E6D723BF-3391-410E-974D-5597F764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0F639A"/>
    <w:pPr>
      <w:ind w:left="720"/>
      <w:contextualSpacing/>
    </w:pPr>
  </w:style>
  <w:style w:type="character" w:styleId="UnresolvedMention">
    <w:name w:val="Unresolved Mention"/>
    <w:basedOn w:val="DefaultParagraphFont"/>
    <w:uiPriority w:val="99"/>
    <w:semiHidden/>
    <w:unhideWhenUsed/>
    <w:rsid w:val="002F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water/policy/markets/re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ater.markets@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1034</Words>
  <Characters>5897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Developing the roadmap for water market reform</vt:lpstr>
    </vt:vector>
  </TitlesOfParts>
  <Company/>
  <LinksUpToDate>false</LinksUpToDate>
  <CharactersWithSpaces>6918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the roadmap for water market reform</dc:title>
  <dc:creator>Department of Agriculture, Water and the Environment</dc:creator>
  <cp:lastPrinted>2019-02-13T02:42:00Z</cp:lastPrinted>
  <dcterms:created xsi:type="dcterms:W3CDTF">2022-01-05T05:54:00Z</dcterms:created>
  <dcterms:modified xsi:type="dcterms:W3CDTF">2022-01-05T05:54:00Z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