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0835" w14:textId="77777777" w:rsidR="006934BB" w:rsidRDefault="006934BB" w:rsidP="006934BB">
      <w:bookmarkStart w:id="0" w:name="_Hlk40349193"/>
      <w:bookmarkStart w:id="1" w:name="_Toc13467573"/>
      <w:bookmarkStart w:id="2" w:name="_Toc13467574"/>
      <w:bookmarkStart w:id="3" w:name="_GoBack"/>
      <w:bookmarkEnd w:id="0"/>
      <w:bookmarkEnd w:id="3"/>
    </w:p>
    <w:p w14:paraId="7EEFDEFF" w14:textId="77777777" w:rsidR="006934BB" w:rsidRDefault="006934BB" w:rsidP="006934BB"/>
    <w:p w14:paraId="534AE5AE" w14:textId="77777777" w:rsidR="006934BB" w:rsidRDefault="006934BB" w:rsidP="006934BB"/>
    <w:p w14:paraId="7B5A2697" w14:textId="77777777" w:rsidR="006934BB" w:rsidRDefault="006934BB" w:rsidP="006934BB"/>
    <w:p w14:paraId="4C875BA7" w14:textId="77777777" w:rsidR="006934BB" w:rsidRDefault="006934BB" w:rsidP="006934BB"/>
    <w:p w14:paraId="7FD3E59D" w14:textId="77777777" w:rsidR="006934BB" w:rsidRDefault="006934BB" w:rsidP="006934BB"/>
    <w:p w14:paraId="7F1CB0F7" w14:textId="77777777" w:rsidR="006934BB" w:rsidRDefault="006934BB" w:rsidP="006934BB">
      <w:pPr>
        <w:sectPr w:rsidR="006934BB" w:rsidSect="003737D8">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851" w:left="964" w:header="142" w:footer="502" w:gutter="0"/>
          <w:pgNumType w:start="1"/>
          <w:cols w:space="708"/>
          <w:docGrid w:linePitch="360"/>
        </w:sectPr>
      </w:pPr>
      <w:r w:rsidRPr="006821CB">
        <w:rPr>
          <w:noProof/>
        </w:rPr>
        <mc:AlternateContent>
          <mc:Choice Requires="wps">
            <w:drawing>
              <wp:anchor distT="0" distB="0" distL="114300" distR="114300" simplePos="0" relativeHeight="251660291" behindDoc="0" locked="0" layoutInCell="1" allowOverlap="1" wp14:anchorId="65EF852F" wp14:editId="30D5419A">
                <wp:simplePos x="0" y="0"/>
                <wp:positionH relativeFrom="margin">
                  <wp:align>center</wp:align>
                </wp:positionH>
                <wp:positionV relativeFrom="margin">
                  <wp:posOffset>2937510</wp:posOffset>
                </wp:positionV>
                <wp:extent cx="5429250" cy="50126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1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16A6C" w14:textId="77777777" w:rsidR="006934BB" w:rsidRDefault="006934BB" w:rsidP="006934BB">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736CB122" w14:textId="77777777" w:rsidR="006934BB" w:rsidRPr="0033384E" w:rsidRDefault="006934BB" w:rsidP="006934BB">
                            <w:pPr>
                              <w:rPr>
                                <w:lang w:val="en-GB" w:eastAsia="en-US"/>
                              </w:rPr>
                            </w:pPr>
                          </w:p>
                          <w:p w14:paraId="2BD467E1" w14:textId="77777777" w:rsidR="006934BB" w:rsidRPr="002A2D9C" w:rsidRDefault="006934BB" w:rsidP="006934BB">
                            <w:pPr>
                              <w:pStyle w:val="Title"/>
                              <w:jc w:val="left"/>
                              <w:rPr>
                                <w:lang w:eastAsia="en-US"/>
                              </w:rPr>
                            </w:pPr>
                          </w:p>
                          <w:p w14:paraId="0EA1E667" w14:textId="77777777" w:rsidR="006934BB" w:rsidRPr="002A2D9C" w:rsidRDefault="006934BB" w:rsidP="006934BB">
                            <w:pPr>
                              <w:pStyle w:val="Title"/>
                              <w:jc w:val="left"/>
                              <w:rPr>
                                <w:lang w:eastAsia="en-US"/>
                              </w:rPr>
                            </w:pPr>
                          </w:p>
                          <w:p w14:paraId="7410B1B7" w14:textId="77777777" w:rsidR="006934BB" w:rsidRPr="002A2D9C" w:rsidRDefault="006934BB" w:rsidP="006934BB">
                            <w:pPr>
                              <w:pStyle w:val="Title"/>
                              <w:jc w:val="left"/>
                              <w:rPr>
                                <w:lang w:eastAsia="en-US"/>
                              </w:rPr>
                            </w:pPr>
                          </w:p>
                          <w:p w14:paraId="3F7EB171" w14:textId="77777777" w:rsidR="006934BB" w:rsidRPr="00BC3A2B" w:rsidRDefault="006934BB" w:rsidP="006934BB">
                            <w:pPr>
                              <w:pStyle w:val="Title"/>
                              <w:jc w:val="left"/>
                              <w:rPr>
                                <w:lang w:eastAsia="en-US"/>
                              </w:rPr>
                            </w:pPr>
                            <w:r>
                              <w:rPr>
                                <w:lang w:eastAsia="en-US"/>
                              </w:rPr>
                              <w:t xml:space="preserve">Water Management </w:t>
                            </w:r>
                            <w:r w:rsidRPr="00BC3A2B">
                              <w:rPr>
                                <w:lang w:eastAsia="en-US"/>
                              </w:rPr>
                              <w:t>Plan</w:t>
                            </w:r>
                          </w:p>
                          <w:p w14:paraId="7A6A0E8B" w14:textId="15D953C3" w:rsidR="006934BB" w:rsidRPr="00340C8B" w:rsidRDefault="006934BB" w:rsidP="006934BB">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2</w:t>
                            </w:r>
                            <w:r w:rsidRPr="00340C8B">
                              <w:rPr>
                                <w:color w:val="808080" w:themeColor="background1" w:themeShade="80"/>
                                <w:sz w:val="36"/>
                                <w:szCs w:val="36"/>
                                <w:lang w:eastAsia="en-US"/>
                              </w:rPr>
                              <w:t xml:space="preserve"> – </w:t>
                            </w:r>
                            <w:r>
                              <w:rPr>
                                <w:color w:val="808080" w:themeColor="background1" w:themeShade="80"/>
                                <w:sz w:val="36"/>
                                <w:szCs w:val="36"/>
                                <w:lang w:eastAsia="en-US"/>
                              </w:rPr>
                              <w:t>Condamine-Balonne</w:t>
                            </w:r>
                          </w:p>
                          <w:p w14:paraId="51BCEA2C" w14:textId="77777777" w:rsidR="006934BB" w:rsidRDefault="006934BB" w:rsidP="006934BB">
                            <w:pPr>
                              <w:pStyle w:val="Title"/>
                              <w:jc w:val="left"/>
                              <w:rPr>
                                <w:lang w:eastAsia="en-US"/>
                              </w:rPr>
                            </w:pPr>
                          </w:p>
                          <w:p w14:paraId="5770879A" w14:textId="77777777" w:rsidR="006934BB" w:rsidRDefault="006934BB" w:rsidP="006934BB">
                            <w:pPr>
                              <w:rPr>
                                <w:lang w:val="en-GB" w:eastAsia="en-US"/>
                              </w:rPr>
                            </w:pPr>
                          </w:p>
                          <w:p w14:paraId="130F152F" w14:textId="77777777" w:rsidR="006934BB" w:rsidRDefault="006934BB" w:rsidP="006934BB">
                            <w:pPr>
                              <w:rPr>
                                <w:lang w:val="en-GB" w:eastAsia="en-US"/>
                              </w:rPr>
                            </w:pPr>
                          </w:p>
                          <w:p w14:paraId="44AC77AD" w14:textId="77777777" w:rsidR="006934BB" w:rsidRDefault="006934BB" w:rsidP="006934BB">
                            <w:pPr>
                              <w:rPr>
                                <w:lang w:val="en-GB" w:eastAsia="en-US"/>
                              </w:rPr>
                            </w:pPr>
                          </w:p>
                          <w:p w14:paraId="27780C41" w14:textId="77777777" w:rsidR="006934BB" w:rsidRDefault="006934BB" w:rsidP="006934BB">
                            <w:pPr>
                              <w:rPr>
                                <w:lang w:val="en-GB" w:eastAsia="en-US"/>
                              </w:rPr>
                            </w:pPr>
                          </w:p>
                          <w:p w14:paraId="437ADC60" w14:textId="77777777" w:rsidR="006934BB" w:rsidRDefault="006934BB" w:rsidP="006934BB">
                            <w:pPr>
                              <w:rPr>
                                <w:lang w:val="en-GB" w:eastAsia="en-US"/>
                              </w:rPr>
                            </w:pPr>
                          </w:p>
                          <w:p w14:paraId="5B6522A5" w14:textId="77777777" w:rsidR="006934BB" w:rsidRDefault="006934BB" w:rsidP="006934BB">
                            <w:pPr>
                              <w:rPr>
                                <w:lang w:val="en-GB" w:eastAsia="en-US"/>
                              </w:rPr>
                            </w:pPr>
                          </w:p>
                          <w:p w14:paraId="51EEF0A0" w14:textId="77777777" w:rsidR="006934BB" w:rsidRPr="009A77BC" w:rsidRDefault="006934BB" w:rsidP="006934BB">
                            <w:pPr>
                              <w:rPr>
                                <w:lang w:val="en-GB" w:eastAsia="en-US"/>
                              </w:rPr>
                            </w:pPr>
                          </w:p>
                          <w:p w14:paraId="56921E6A" w14:textId="77777777" w:rsidR="006934BB" w:rsidRPr="009A77BC" w:rsidRDefault="006934BB" w:rsidP="006934BB">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F852F" id="_x0000_t202" coordsize="21600,21600" o:spt="202" path="m,l,21600r21600,l21600,xe">
                <v:stroke joinstyle="miter"/>
                <v:path gradientshapeok="t" o:connecttype="rect"/>
              </v:shapetype>
              <v:shape id="Text Box 4" o:spid="_x0000_s1026" type="#_x0000_t202" style="position:absolute;margin-left:0;margin-top:231.3pt;width:427.5pt;height:394.7pt;z-index:25166029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" stroked="f">
                <v:textbox>
                  <w:txbxContent>
                    <w:p w14:paraId="69516A6C" w14:textId="77777777" w:rsidR="006934BB" w:rsidRDefault="006934BB" w:rsidP="006934BB">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736CB122" w14:textId="77777777" w:rsidR="006934BB" w:rsidRPr="0033384E" w:rsidRDefault="006934BB" w:rsidP="006934BB">
                      <w:pPr>
                        <w:rPr>
                          <w:lang w:val="en-GB" w:eastAsia="en-US"/>
                        </w:rPr>
                      </w:pPr>
                    </w:p>
                    <w:p w14:paraId="2BD467E1" w14:textId="77777777" w:rsidR="006934BB" w:rsidRPr="002A2D9C" w:rsidRDefault="006934BB" w:rsidP="006934BB">
                      <w:pPr>
                        <w:pStyle w:val="Title"/>
                        <w:jc w:val="left"/>
                        <w:rPr>
                          <w:lang w:eastAsia="en-US"/>
                        </w:rPr>
                      </w:pPr>
                    </w:p>
                    <w:p w14:paraId="0EA1E667" w14:textId="77777777" w:rsidR="006934BB" w:rsidRPr="002A2D9C" w:rsidRDefault="006934BB" w:rsidP="006934BB">
                      <w:pPr>
                        <w:pStyle w:val="Title"/>
                        <w:jc w:val="left"/>
                        <w:rPr>
                          <w:lang w:eastAsia="en-US"/>
                        </w:rPr>
                      </w:pPr>
                    </w:p>
                    <w:p w14:paraId="7410B1B7" w14:textId="77777777" w:rsidR="006934BB" w:rsidRPr="002A2D9C" w:rsidRDefault="006934BB" w:rsidP="006934BB">
                      <w:pPr>
                        <w:pStyle w:val="Title"/>
                        <w:jc w:val="left"/>
                        <w:rPr>
                          <w:lang w:eastAsia="en-US"/>
                        </w:rPr>
                      </w:pPr>
                    </w:p>
                    <w:p w14:paraId="3F7EB171" w14:textId="77777777" w:rsidR="006934BB" w:rsidRPr="00BC3A2B" w:rsidRDefault="006934BB" w:rsidP="006934BB">
                      <w:pPr>
                        <w:pStyle w:val="Title"/>
                        <w:jc w:val="left"/>
                        <w:rPr>
                          <w:lang w:eastAsia="en-US"/>
                        </w:rPr>
                      </w:pPr>
                      <w:r>
                        <w:rPr>
                          <w:lang w:eastAsia="en-US"/>
                        </w:rPr>
                        <w:t xml:space="preserve">Water Management </w:t>
                      </w:r>
                      <w:r w:rsidRPr="00BC3A2B">
                        <w:rPr>
                          <w:lang w:eastAsia="en-US"/>
                        </w:rPr>
                        <w:t>Plan</w:t>
                      </w:r>
                    </w:p>
                    <w:p w14:paraId="7A6A0E8B" w14:textId="15D953C3" w:rsidR="006934BB" w:rsidRPr="00340C8B" w:rsidRDefault="006934BB" w:rsidP="006934BB">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2</w:t>
                      </w:r>
                      <w:r w:rsidRPr="00340C8B">
                        <w:rPr>
                          <w:color w:val="808080" w:themeColor="background1" w:themeShade="80"/>
                          <w:sz w:val="36"/>
                          <w:szCs w:val="36"/>
                          <w:lang w:eastAsia="en-US"/>
                        </w:rPr>
                        <w:t xml:space="preserve"> – </w:t>
                      </w:r>
                      <w:r>
                        <w:rPr>
                          <w:color w:val="808080" w:themeColor="background1" w:themeShade="80"/>
                          <w:sz w:val="36"/>
                          <w:szCs w:val="36"/>
                          <w:lang w:eastAsia="en-US"/>
                        </w:rPr>
                        <w:t>Condamine-Balonne</w:t>
                      </w:r>
                    </w:p>
                    <w:p w14:paraId="51BCEA2C" w14:textId="77777777" w:rsidR="006934BB" w:rsidRDefault="006934BB" w:rsidP="006934BB">
                      <w:pPr>
                        <w:pStyle w:val="Title"/>
                        <w:jc w:val="left"/>
                        <w:rPr>
                          <w:lang w:eastAsia="en-US"/>
                        </w:rPr>
                      </w:pPr>
                    </w:p>
                    <w:p w14:paraId="5770879A" w14:textId="77777777" w:rsidR="006934BB" w:rsidRDefault="006934BB" w:rsidP="006934BB">
                      <w:pPr>
                        <w:rPr>
                          <w:lang w:val="en-GB" w:eastAsia="en-US"/>
                        </w:rPr>
                      </w:pPr>
                    </w:p>
                    <w:p w14:paraId="130F152F" w14:textId="77777777" w:rsidR="006934BB" w:rsidRDefault="006934BB" w:rsidP="006934BB">
                      <w:pPr>
                        <w:rPr>
                          <w:lang w:val="en-GB" w:eastAsia="en-US"/>
                        </w:rPr>
                      </w:pPr>
                    </w:p>
                    <w:p w14:paraId="44AC77AD" w14:textId="77777777" w:rsidR="006934BB" w:rsidRDefault="006934BB" w:rsidP="006934BB">
                      <w:pPr>
                        <w:rPr>
                          <w:lang w:val="en-GB" w:eastAsia="en-US"/>
                        </w:rPr>
                      </w:pPr>
                    </w:p>
                    <w:p w14:paraId="27780C41" w14:textId="77777777" w:rsidR="006934BB" w:rsidRDefault="006934BB" w:rsidP="006934BB">
                      <w:pPr>
                        <w:rPr>
                          <w:lang w:val="en-GB" w:eastAsia="en-US"/>
                        </w:rPr>
                      </w:pPr>
                    </w:p>
                    <w:p w14:paraId="437ADC60" w14:textId="77777777" w:rsidR="006934BB" w:rsidRDefault="006934BB" w:rsidP="006934BB">
                      <w:pPr>
                        <w:rPr>
                          <w:lang w:val="en-GB" w:eastAsia="en-US"/>
                        </w:rPr>
                      </w:pPr>
                    </w:p>
                    <w:p w14:paraId="5B6522A5" w14:textId="77777777" w:rsidR="006934BB" w:rsidRDefault="006934BB" w:rsidP="006934BB">
                      <w:pPr>
                        <w:rPr>
                          <w:lang w:val="en-GB" w:eastAsia="en-US"/>
                        </w:rPr>
                      </w:pPr>
                    </w:p>
                    <w:p w14:paraId="51EEF0A0" w14:textId="77777777" w:rsidR="006934BB" w:rsidRPr="009A77BC" w:rsidRDefault="006934BB" w:rsidP="006934BB">
                      <w:pPr>
                        <w:rPr>
                          <w:lang w:val="en-GB" w:eastAsia="en-US"/>
                        </w:rPr>
                      </w:pPr>
                    </w:p>
                    <w:p w14:paraId="56921E6A" w14:textId="77777777" w:rsidR="006934BB" w:rsidRPr="009A77BC" w:rsidRDefault="006934BB" w:rsidP="006934BB">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v:textbox>
                <w10:wrap anchorx="margin" anchory="margin"/>
              </v:shape>
            </w:pict>
          </mc:Fallback>
        </mc:AlternateContent>
      </w:r>
      <w:r w:rsidRPr="006821CB">
        <w:tab/>
      </w:r>
      <w:r w:rsidRPr="006821CB">
        <w:br w:type="page"/>
      </w:r>
    </w:p>
    <w:p w14:paraId="0ABDFA88" w14:textId="77777777" w:rsidR="006934BB" w:rsidRPr="006821CB" w:rsidRDefault="006934BB" w:rsidP="006934BB"/>
    <w:p w14:paraId="3540DE31" w14:textId="77777777" w:rsidR="006934BB" w:rsidRDefault="006934BB" w:rsidP="006934BB">
      <w:pPr>
        <w:rPr>
          <w:rFonts w:ascii="Century Gothic" w:hAnsi="Century Gothic"/>
          <w:szCs w:val="22"/>
        </w:rPr>
      </w:pPr>
      <w:r>
        <w:t xml:space="preserve">This document represents a sub-chapter of </w:t>
      </w:r>
      <w:r w:rsidRPr="006821CB">
        <w:t>‘</w:t>
      </w:r>
      <w:r>
        <w:t>Commonwealth Environmental Water Office Water Management Plan 2020-21, Commonwealth of Australia, 2020</w:t>
      </w:r>
      <w:r w:rsidRPr="00BC3A2B">
        <w:rPr>
          <w:rFonts w:ascii="Century Gothic" w:hAnsi="Century Gothic"/>
          <w:szCs w:val="22"/>
        </w:rPr>
        <w:t>’</w:t>
      </w:r>
      <w:r>
        <w:rPr>
          <w:rFonts w:ascii="Century Gothic" w:hAnsi="Century Gothic"/>
          <w:szCs w:val="22"/>
        </w:rPr>
        <w:t xml:space="preserve">. </w:t>
      </w:r>
    </w:p>
    <w:p w14:paraId="1498CCC7" w14:textId="77777777" w:rsidR="006934BB" w:rsidRDefault="006934BB" w:rsidP="006934BB">
      <w:r w:rsidRPr="00F4275F">
        <w:t xml:space="preserve">Please visit: </w:t>
      </w:r>
      <w:hyperlink r:id="rId16" w:history="1">
        <w:r w:rsidRPr="00123C49">
          <w:rPr>
            <w:rStyle w:val="Hyperlink"/>
            <w:rFonts w:cs="Century Gothic"/>
          </w:rPr>
          <w:t>https://www.environment.gov.au/water/cewo/publications</w:t>
        </w:r>
      </w:hyperlink>
      <w:r>
        <w:rPr>
          <w:rStyle w:val="Hyperlink"/>
        </w:rPr>
        <w:t xml:space="preserve">/water-management-plan-2020-21 </w:t>
      </w:r>
      <w:r>
        <w:t xml:space="preserve"> for links to the main document.</w:t>
      </w:r>
    </w:p>
    <w:p w14:paraId="44F4B301" w14:textId="77777777" w:rsidR="006934BB" w:rsidRPr="006821CB" w:rsidRDefault="006934BB" w:rsidP="006934BB"/>
    <w:p w14:paraId="7A83F67D" w14:textId="77777777" w:rsidR="006934BB" w:rsidRPr="006821CB" w:rsidRDefault="006934BB" w:rsidP="006934BB">
      <w:r w:rsidRPr="006821CB">
        <w:t>Acknowledgement of the Traditional Owners of the Murray–Darling Basin</w:t>
      </w:r>
    </w:p>
    <w:p w14:paraId="33942467" w14:textId="77777777" w:rsidR="006934BB" w:rsidRPr="006821CB" w:rsidRDefault="006934BB" w:rsidP="006934BB">
      <w:r w:rsidRPr="006821CB">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55455B28" w14:textId="77777777" w:rsidR="006934BB" w:rsidRPr="006821CB" w:rsidRDefault="006934BB" w:rsidP="006934BB"/>
    <w:p w14:paraId="60C70245" w14:textId="77777777" w:rsidR="006934BB" w:rsidRPr="006821CB" w:rsidRDefault="006934BB" w:rsidP="006934BB">
      <w:r w:rsidRPr="006821CB">
        <w:t>© Copyright Commonwealth of Australia, 2020.</w:t>
      </w:r>
    </w:p>
    <w:p w14:paraId="4DAEEAC1" w14:textId="77777777" w:rsidR="006934BB" w:rsidRPr="006821CB" w:rsidRDefault="006934BB" w:rsidP="006934BB"/>
    <w:p w14:paraId="4A70D836" w14:textId="77777777" w:rsidR="006934BB" w:rsidRPr="006821CB" w:rsidRDefault="006934BB" w:rsidP="006934BB">
      <w:r w:rsidRPr="006821CB">
        <w:rPr>
          <w:noProof/>
        </w:rPr>
        <w:drawing>
          <wp:inline distT="0" distB="0" distL="0" distR="0" wp14:anchorId="00428F82" wp14:editId="14882A8C">
            <wp:extent cx="1821180" cy="525780"/>
            <wp:effectExtent l="0" t="0" r="7620" b="7620"/>
            <wp:docPr id="10" name="Picture 10"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p>
    <w:p w14:paraId="6623713F" w14:textId="77777777" w:rsidR="006934BB" w:rsidRPr="00BC3A2B" w:rsidRDefault="006934BB" w:rsidP="006934BB">
      <w:r w:rsidRPr="00D84FD2">
        <w:t>Commonwealth Environmental Water Office Water Management Plan 2020-21</w:t>
      </w:r>
      <w:r w:rsidRPr="00D84FD2">
        <w:rPr>
          <w:i/>
        </w:rPr>
        <w:t xml:space="preserve"> </w:t>
      </w:r>
      <w:r w:rsidRPr="00D84FD2">
        <w:t>is licensed by the</w:t>
      </w:r>
      <w:r w:rsidRPr="00BC3A2B">
        <w:t xml:space="preserv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w:t>
      </w:r>
      <w:r w:rsidRPr="00DC42B8">
        <w:t>depicting</w:t>
      </w:r>
      <w:r w:rsidRPr="00BC3A2B">
        <w:t xml:space="preserve"> people. For licence conditions see: https://creativecommons.org/licenses/by/4.0/ </w:t>
      </w:r>
    </w:p>
    <w:p w14:paraId="78BC71B9" w14:textId="77777777" w:rsidR="006934BB" w:rsidRPr="00BC3A2B" w:rsidRDefault="006934BB" w:rsidP="006934BB">
      <w:pPr>
        <w:rPr>
          <w:rFonts w:ascii="Century Gothic" w:hAnsi="Century Gothic"/>
          <w:szCs w:val="22"/>
        </w:rPr>
      </w:pPr>
      <w:r w:rsidRPr="006821CB">
        <w:t>This report should be attributed as ‘</w:t>
      </w:r>
      <w:r>
        <w:t>Commonwealth Environmental Water Office Water Management Plan 2020-21, Commonwealth of Australia, 2020</w:t>
      </w:r>
      <w:r w:rsidRPr="00BC3A2B">
        <w:rPr>
          <w:rFonts w:ascii="Century Gothic" w:hAnsi="Century Gothic"/>
          <w:szCs w:val="22"/>
        </w:rPr>
        <w:t>’.</w:t>
      </w:r>
    </w:p>
    <w:p w14:paraId="7063BF5D" w14:textId="77777777" w:rsidR="006934BB" w:rsidRPr="00BC3A2B" w:rsidRDefault="006934BB" w:rsidP="006934BB">
      <w:pPr>
        <w:rPr>
          <w:rFonts w:ascii="Century Gothic" w:hAnsi="Century Gothic"/>
          <w:szCs w:val="22"/>
        </w:rPr>
      </w:pPr>
      <w:r w:rsidRPr="006821CB">
        <w:t>The Commonwealth of Australia has made all reasonable efforts to identify content supplied by third parties using the following format ‘© Copyright’ noting the third party.</w:t>
      </w:r>
    </w:p>
    <w:p w14:paraId="3DB1480C" w14:textId="77777777" w:rsidR="006934BB" w:rsidRPr="00BC3A2B" w:rsidRDefault="006934BB" w:rsidP="006934BB">
      <w:pPr>
        <w:rPr>
          <w:rFonts w:ascii="Century Gothic" w:hAnsi="Century Gothic"/>
          <w:szCs w:val="22"/>
        </w:rPr>
      </w:pPr>
      <w:r w:rsidRPr="006821CB">
        <w:t xml:space="preserve">The views and opinions expressed in this publication are those of the authors and do not necessarily reflect those of the Australian Government or the Minister for the Environment. </w:t>
      </w:r>
    </w:p>
    <w:p w14:paraId="5525D88A" w14:textId="77777777" w:rsidR="006934BB" w:rsidRPr="006821CB" w:rsidRDefault="006934BB" w:rsidP="006934BB"/>
    <w:p w14:paraId="27F0FA5B" w14:textId="77777777" w:rsidR="006934BB" w:rsidRPr="006821CB" w:rsidRDefault="006934BB" w:rsidP="006934BB">
      <w:r w:rsidRPr="006821CB">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 </w:t>
      </w:r>
    </w:p>
    <w:p w14:paraId="62C12ED4" w14:textId="77777777" w:rsidR="006934BB" w:rsidRPr="006821CB" w:rsidRDefault="006934BB" w:rsidP="006934BB"/>
    <w:p w14:paraId="282E5694" w14:textId="77777777" w:rsidR="006934BB" w:rsidRPr="006821CB" w:rsidRDefault="006934BB" w:rsidP="006934BB">
      <w:r w:rsidRPr="006821CB">
        <w:t>For more information about Commonwealth environmental water, please contact us at:</w:t>
      </w:r>
    </w:p>
    <w:p w14:paraId="14BC4442" w14:textId="77777777" w:rsidR="006934BB" w:rsidRPr="006821CB" w:rsidRDefault="006934BB" w:rsidP="006934BB">
      <w:r w:rsidRPr="006821CB">
        <w:t>1800 803 772</w:t>
      </w:r>
    </w:p>
    <w:p w14:paraId="15935F50" w14:textId="77777777" w:rsidR="006934BB" w:rsidRPr="006821CB" w:rsidRDefault="000273C5" w:rsidP="006934BB">
      <w:hyperlink r:id="rId18" w:history="1">
        <w:r w:rsidR="006934BB" w:rsidRPr="00B9455C">
          <w:rPr>
            <w:rStyle w:val="Hyperlink"/>
          </w:rPr>
          <w:t>ewater@awe.gov.au</w:t>
        </w:r>
      </w:hyperlink>
    </w:p>
    <w:p w14:paraId="51BC308A" w14:textId="77777777" w:rsidR="006934BB" w:rsidRPr="006821CB" w:rsidRDefault="000273C5" w:rsidP="006934BB">
      <w:hyperlink r:id="rId19" w:history="1">
        <w:r w:rsidR="006934BB" w:rsidRPr="006821CB">
          <w:rPr>
            <w:rStyle w:val="Hyperlink"/>
          </w:rPr>
          <w:t>www.environment.gov.au/water/cewo</w:t>
        </w:r>
      </w:hyperlink>
    </w:p>
    <w:p w14:paraId="3B9F0BFA" w14:textId="77777777" w:rsidR="006934BB" w:rsidRPr="006821CB" w:rsidRDefault="006934BB" w:rsidP="006934BB">
      <w:r w:rsidRPr="006821CB">
        <w:t>@theCEWH</w:t>
      </w:r>
    </w:p>
    <w:p w14:paraId="05BFC9DF" w14:textId="77777777" w:rsidR="006934BB" w:rsidRDefault="006934BB" w:rsidP="006934BB">
      <w:pPr>
        <w:sectPr w:rsidR="006934BB" w:rsidSect="00777967">
          <w:headerReference w:type="even" r:id="rId20"/>
          <w:headerReference w:type="default" r:id="rId21"/>
          <w:footerReference w:type="even" r:id="rId22"/>
          <w:footerReference w:type="default" r:id="rId23"/>
          <w:headerReference w:type="first" r:id="rId24"/>
          <w:footerReference w:type="first" r:id="rId25"/>
          <w:pgSz w:w="11906" w:h="16838"/>
          <w:pgMar w:top="851" w:right="1133" w:bottom="1135" w:left="993" w:header="567" w:footer="397" w:gutter="0"/>
          <w:pgNumType w:start="36"/>
          <w:cols w:space="708"/>
          <w:docGrid w:linePitch="360"/>
        </w:sectPr>
      </w:pPr>
      <w:r w:rsidRPr="006821CB">
        <w:t xml:space="preserve">GPO Box </w:t>
      </w:r>
      <w:r>
        <w:t>858</w:t>
      </w:r>
      <w:r w:rsidRPr="006821CB">
        <w:t>, Canberra ACT 2601</w:t>
      </w:r>
    </w:p>
    <w:p w14:paraId="5D061E89" w14:textId="43F6FB8E" w:rsidR="00D02D10" w:rsidRPr="00703F39" w:rsidRDefault="00D02D10" w:rsidP="00703F39">
      <w:pPr>
        <w:pStyle w:val="Heading2"/>
        <w:rPr>
          <w:rFonts w:ascii="Century Gothic" w:hAnsi="Century Gothic"/>
          <w:noProof/>
        </w:rPr>
      </w:pPr>
      <w:r>
        <w:lastRenderedPageBreak/>
        <w:t>Condamine</w:t>
      </w:r>
      <w:r w:rsidR="00713E03">
        <w:t>–</w:t>
      </w:r>
      <w:r>
        <w:t xml:space="preserve">Balonne </w:t>
      </w:r>
      <w:bookmarkEnd w:id="1"/>
    </w:p>
    <w:bookmarkEnd w:id="2"/>
    <w:p w14:paraId="4ECE5BEA" w14:textId="77777777" w:rsidR="00D02D10" w:rsidRDefault="00D02D10" w:rsidP="00D02D10">
      <w:pPr>
        <w:pStyle w:val="Heading3"/>
        <w:rPr>
          <w:noProof/>
        </w:rPr>
      </w:pPr>
      <w:r>
        <w:rPr>
          <w:noProof/>
        </w:rPr>
        <w:t>Region overview</w:t>
      </w:r>
    </w:p>
    <w:p w14:paraId="5DA8FA4B" w14:textId="77777777" w:rsidR="00D02D10" w:rsidRPr="00365FE2" w:rsidRDefault="00D02D10" w:rsidP="003B20D2">
      <w:pPr>
        <w:pStyle w:val="Heading4"/>
      </w:pPr>
      <w:r w:rsidRPr="00365FE2">
        <w:t xml:space="preserve">River </w:t>
      </w:r>
      <w:r>
        <w:t>system</w:t>
      </w:r>
    </w:p>
    <w:p w14:paraId="36970ABB" w14:textId="24599895" w:rsidR="00D02D10" w:rsidRDefault="00D02D10" w:rsidP="00D02D10">
      <w:r>
        <w:t xml:space="preserve">The Condamine–Balonne system is one of the largest catchments in the Murray–Darling Basin and covers the north eastern corner of the Basin. The system is bounded by the Moonie catchment to the east, the Warrego catchment to the west and the Barwon River in the </w:t>
      </w:r>
      <w:r w:rsidRPr="006E3E57">
        <w:t>south (</w:t>
      </w:r>
      <w:r w:rsidR="006E3E57" w:rsidRPr="006E3E57">
        <w:fldChar w:fldCharType="begin"/>
      </w:r>
      <w:r w:rsidR="006E3E57" w:rsidRPr="006E3E57">
        <w:instrText xml:space="preserve"> REF _Ref475454230 \h  \* MERGEFORMAT </w:instrText>
      </w:r>
      <w:r w:rsidR="006E3E57" w:rsidRPr="006E3E57">
        <w:fldChar w:fldCharType="separate"/>
      </w:r>
      <w:r w:rsidR="00B76D86" w:rsidRPr="00B76D86">
        <w:t xml:space="preserve">Figure </w:t>
      </w:r>
      <w:r w:rsidR="00B76D86" w:rsidRPr="00B76D86">
        <w:rPr>
          <w:noProof/>
        </w:rPr>
        <w:t>1</w:t>
      </w:r>
      <w:r w:rsidR="006E3E57" w:rsidRPr="006E3E57">
        <w:fldChar w:fldCharType="end"/>
      </w:r>
      <w:r w:rsidRPr="006E3E57">
        <w:t>). The</w:t>
      </w:r>
      <w:r>
        <w:t xml:space="preserve"> main rivers of the catchment, the Condamine and the Maranoa, rise in elevated country in Queensland. Two-thirds of the catchment is flat floodplain country, with a complex system of rivers and creeks joining and breaking away from the Balonne River as</w:t>
      </w:r>
      <w:r w:rsidR="004315E9">
        <w:t xml:space="preserve"> it</w:t>
      </w:r>
      <w:r>
        <w:t xml:space="preserve"> moves downstream of St George. This system of creeks, channels and flat floodplain areas is generally referred to as the Lower Balonne Floodplain. </w:t>
      </w:r>
    </w:p>
    <w:p w14:paraId="5B836898" w14:textId="789B383D" w:rsidR="00D02D10" w:rsidRDefault="00D02D10" w:rsidP="00D02D10">
      <w:r>
        <w:t>While a few main waterways of the catchment flow to the Barwon River, most end in lakes and wetlands in south west Queensland and north-west New South Wales</w:t>
      </w:r>
      <w:r w:rsidR="004315E9">
        <w:t xml:space="preserve"> (NSW)</w:t>
      </w:r>
      <w:r>
        <w:t>. Most of the catchment is located in Queensland with only 16</w:t>
      </w:r>
      <w:r w:rsidR="004315E9">
        <w:t xml:space="preserve"> per cent</w:t>
      </w:r>
      <w:r>
        <w:t xml:space="preserve"> in </w:t>
      </w:r>
      <w:r w:rsidR="004315E9">
        <w:t>NSW</w:t>
      </w:r>
      <w:r>
        <w:t>.</w:t>
      </w:r>
    </w:p>
    <w:p w14:paraId="5B50860E" w14:textId="4D38C905" w:rsidR="00D02D10" w:rsidRDefault="00D02D10" w:rsidP="00D02D10">
      <w:r>
        <w:t>The catchment’s extensive floodplains provide habitat for a diverse range of plants</w:t>
      </w:r>
      <w:r w:rsidR="00634392">
        <w:t xml:space="preserve">, including </w:t>
      </w:r>
      <w:r>
        <w:t xml:space="preserve">endangered </w:t>
      </w:r>
      <w:r w:rsidR="00634392">
        <w:t xml:space="preserve">vegetation </w:t>
      </w:r>
      <w:r>
        <w:t>communities. The region also provides habitat for waterbirds, native fish and many vulnerable and endangered species. There are several wetlands of national importance in the region as well as the Ramsar-listed Narran Lake Nature Reserve.</w:t>
      </w:r>
    </w:p>
    <w:p w14:paraId="3B33A413" w14:textId="17B2F174" w:rsidR="00D02D10" w:rsidRDefault="00D02D10" w:rsidP="00D02D10">
      <w:r>
        <w:t>T</w:t>
      </w:r>
      <w:r w:rsidRPr="002A6227">
        <w:t>he extent of river regulation in the Condamine–Balonne is low. Public dams account for only 13</w:t>
      </w:r>
      <w:r w:rsidR="00634392">
        <w:t xml:space="preserve"> per cent</w:t>
      </w:r>
      <w:r w:rsidRPr="002A6227">
        <w:t xml:space="preserve"> of stored water in the catchment. The </w:t>
      </w:r>
      <w:r w:rsidR="00634392">
        <w:t>two</w:t>
      </w:r>
      <w:r w:rsidRPr="002A6227">
        <w:t xml:space="preserve"> largest public storages are Leslie Dam (106 </w:t>
      </w:r>
      <w:r w:rsidR="00634392">
        <w:t>gigalitres</w:t>
      </w:r>
      <w:r w:rsidRPr="002A6227">
        <w:t>) near Warwick</w:t>
      </w:r>
      <w:r w:rsidR="00634392">
        <w:t>,</w:t>
      </w:r>
      <w:r w:rsidRPr="002A6227">
        <w:t xml:space="preserve"> and Beardmore Dam (82 </w:t>
      </w:r>
      <w:r w:rsidR="00634392">
        <w:t>gigalitres</w:t>
      </w:r>
      <w:r w:rsidRPr="002A6227">
        <w:t>) near St George</w:t>
      </w:r>
      <w:r w:rsidR="00634392">
        <w:t>, which</w:t>
      </w:r>
      <w:r>
        <w:t xml:space="preserve"> </w:t>
      </w:r>
      <w:r w:rsidRPr="002A6227">
        <w:t xml:space="preserve">were built in the 1960s to secure town water </w:t>
      </w:r>
      <w:r w:rsidR="00634392">
        <w:t>and irrigation</w:t>
      </w:r>
      <w:r w:rsidRPr="002A6227">
        <w:t xml:space="preserve"> supplies.</w:t>
      </w:r>
    </w:p>
    <w:p w14:paraId="472A3056" w14:textId="77777777" w:rsidR="00D02D10" w:rsidRPr="00365FE2" w:rsidRDefault="00D02D10" w:rsidP="00D02D10">
      <w:r w:rsidRPr="00F64D62">
        <w:t xml:space="preserve">Large-scale irrigation in the region is supported by large capacity pumps </w:t>
      </w:r>
      <w:r>
        <w:t xml:space="preserve">or large regulating structures </w:t>
      </w:r>
      <w:r w:rsidRPr="00F64D62">
        <w:t xml:space="preserve">that divert water during </w:t>
      </w:r>
      <w:r>
        <w:t>natural</w:t>
      </w:r>
      <w:r w:rsidRPr="00F64D62">
        <w:t xml:space="preserve"> flow events into on-farm storages for later use. Most of the water use and entitlement is in the form of diversion of river flows and water during </w:t>
      </w:r>
      <w:r>
        <w:t xml:space="preserve">natural </w:t>
      </w:r>
      <w:r w:rsidRPr="00F64D62">
        <w:t xml:space="preserve">flow events that breaks out of rivers and becomes overland flows across floodplains. </w:t>
      </w:r>
    </w:p>
    <w:p w14:paraId="388D3F5D" w14:textId="4AB16676" w:rsidR="00D02D10" w:rsidRPr="00365FE2" w:rsidRDefault="00D02D10" w:rsidP="00D02D10">
      <w:pPr>
        <w:pStyle w:val="Heading4"/>
      </w:pPr>
      <w:r w:rsidRPr="00365FE2">
        <w:t xml:space="preserve">Traditional </w:t>
      </w:r>
      <w:r w:rsidR="009074C6">
        <w:t>O</w:t>
      </w:r>
      <w:r w:rsidRPr="00365FE2">
        <w:t>wners</w:t>
      </w:r>
    </w:p>
    <w:p w14:paraId="1DC4B0BF" w14:textId="5961EE19" w:rsidR="00D02D10" w:rsidRPr="00F81593" w:rsidRDefault="00D02D10" w:rsidP="00703F39">
      <w:r w:rsidRPr="00F81593">
        <w:t>The lands of the Condamine–Balonne catchment have been important to Aboriginal people for thousands of years. Many First Nations retain a connection with the region, and their history, culture and livelihoods are closely intertwined with its river systems. First Nations of the region include Barunggam, Bidjara, Bigambul, Euahlayi, Gomeroi/Kamilaroi, Giabel, Githabul, Gunggari, Guwamu/Kooma, Jarowair, Kambuwal, Mandandanji, Murrawarri, and Wakka Wakka</w:t>
      </w:r>
      <w:r w:rsidR="00D1275B">
        <w:t>.</w:t>
      </w:r>
      <w:r w:rsidRPr="00F81593">
        <w:t xml:space="preserve"> </w:t>
      </w:r>
    </w:p>
    <w:p w14:paraId="1DBD60B0" w14:textId="77777777" w:rsidR="00D02D10" w:rsidRPr="00365FE2" w:rsidRDefault="00D02D10" w:rsidP="00D02D10">
      <w:pPr>
        <w:pStyle w:val="Heading4"/>
      </w:pPr>
      <w:r>
        <w:t xml:space="preserve">Important sites and </w:t>
      </w:r>
      <w:r w:rsidRPr="00365FE2">
        <w:t>values</w:t>
      </w:r>
    </w:p>
    <w:p w14:paraId="0532F67D" w14:textId="77777777" w:rsidR="00D02D10" w:rsidRDefault="00D02D10" w:rsidP="00703F39">
      <w:r>
        <w:t>The floodplains of the Condamine–Balonne catchment are ecologically significant because they support endangered ecological communities, such as the brigalow–gidgee woodland/shrubland in the Mulga Lands and Darling Riverine Plains Bioregions. The wetlands support a diverse range of flora and fauna providing habitat for migratory birds and vulnerable and endangered species, such as silver perch, Murray cod, freckled duck, Australian painted snipe, the great egret and the cattle egret.</w:t>
      </w:r>
    </w:p>
    <w:p w14:paraId="0F26D5E1" w14:textId="18472D20" w:rsidR="00D02D10" w:rsidRDefault="00D02D10" w:rsidP="00703F39">
      <w:r>
        <w:t>Wetlands of national importance include the Great Artesian Basin Springs, Lake Broadwater, The Gums Lagoon, the Culgoa River Floodplain</w:t>
      </w:r>
      <w:r w:rsidR="008843E9">
        <w:t>,</w:t>
      </w:r>
      <w:r>
        <w:t xml:space="preserve"> and</w:t>
      </w:r>
      <w:r w:rsidR="008843E9">
        <w:t xml:space="preserve"> the</w:t>
      </w:r>
      <w:r>
        <w:t xml:space="preserve"> Dalrymple and Blackfellow creeks.</w:t>
      </w:r>
    </w:p>
    <w:p w14:paraId="5FE7E29E" w14:textId="7D9AF65E" w:rsidR="00D02D10" w:rsidRDefault="00D02D10" w:rsidP="00703F39">
      <w:r>
        <w:t>The Lower Balonne is a complex floodplain channel system containing a number of nationally significant wetlands, as well as the internationally significant Narran Lake Nature Reserve</w:t>
      </w:r>
      <w:r w:rsidR="008843E9">
        <w:t>,</w:t>
      </w:r>
      <w:r>
        <w:t xml:space="preserve"> which includes significant areas of Ramsar-listed wetlands. </w:t>
      </w:r>
    </w:p>
    <w:p w14:paraId="5DEDA4FB" w14:textId="77777777" w:rsidR="00D02D10" w:rsidRDefault="00D02D10" w:rsidP="00D02D10">
      <w:pPr>
        <w:rPr>
          <w:b/>
          <w:bCs/>
        </w:rPr>
      </w:pPr>
      <w:bookmarkStart w:id="4" w:name="_Hlk40337695"/>
    </w:p>
    <w:p w14:paraId="00DF2C5F" w14:textId="77777777" w:rsidR="00D02D10" w:rsidRDefault="00D02D10" w:rsidP="00D02D10">
      <w:pPr>
        <w:rPr>
          <w:b/>
          <w:bCs/>
        </w:rPr>
      </w:pPr>
    </w:p>
    <w:p w14:paraId="0CB5DD4E" w14:textId="77777777" w:rsidR="00D02D10" w:rsidRPr="005F4750" w:rsidRDefault="00D02D10" w:rsidP="00703F39">
      <w:pPr>
        <w:pStyle w:val="Heading5"/>
      </w:pPr>
      <w:r w:rsidRPr="005F4750">
        <w:t>Narran Lake Nature Reserve</w:t>
      </w:r>
      <w:r>
        <w:t xml:space="preserve"> </w:t>
      </w:r>
    </w:p>
    <w:bookmarkEnd w:id="4"/>
    <w:p w14:paraId="37F7B3EF" w14:textId="1224487F" w:rsidR="00D02D10" w:rsidRDefault="00D02D10" w:rsidP="00D02D10">
      <w:r>
        <w:t xml:space="preserve">The Ramsar site within the Narran Lake Nature Reserve is in north-west </w:t>
      </w:r>
      <w:r w:rsidR="008843E9">
        <w:t>NSW</w:t>
      </w:r>
      <w:r>
        <w:t xml:space="preserve"> about 50 kilometres east of Brewarrina. One section of the site was listed under the convention in 1999, and a further 3</w:t>
      </w:r>
      <w:r w:rsidR="008843E9">
        <w:t xml:space="preserve"> </w:t>
      </w:r>
      <w:r>
        <w:t>104 hectares were added in 2015. The site was extended to capture more breeding and feeding habitat for waterbirds. Currently the site covers a total area of 8</w:t>
      </w:r>
      <w:r w:rsidR="008843E9">
        <w:t xml:space="preserve"> </w:t>
      </w:r>
      <w:r>
        <w:t>447 hectares and comprises the whole floodplain area within Narran Lake Nature Reserve. The site was listed under the Ramsar Convention because</w:t>
      </w:r>
      <w:r w:rsidR="00724E88">
        <w:t xml:space="preserve"> of</w:t>
      </w:r>
      <w:r>
        <w:t xml:space="preserve"> its significant values, which include:</w:t>
      </w:r>
    </w:p>
    <w:p w14:paraId="34BE9873" w14:textId="041FF8D3" w:rsidR="00D02D10" w:rsidRDefault="00D02D10" w:rsidP="00703F39">
      <w:pPr>
        <w:pStyle w:val="DotStyle1"/>
      </w:pPr>
      <w:r w:rsidRPr="00A278F7">
        <w:t xml:space="preserve">some of the largest expanses of lignum in </w:t>
      </w:r>
      <w:r w:rsidR="00724E88">
        <w:t>NSW</w:t>
      </w:r>
    </w:p>
    <w:p w14:paraId="0EEB53FD" w14:textId="77777777" w:rsidR="00D02D10" w:rsidRDefault="00D02D10" w:rsidP="00703F39">
      <w:pPr>
        <w:pStyle w:val="DotStyle1"/>
      </w:pPr>
      <w:r>
        <w:t>the ability to support:</w:t>
      </w:r>
    </w:p>
    <w:p w14:paraId="7501CD13" w14:textId="7BB92C04" w:rsidR="00D02D10" w:rsidRDefault="00D02D10" w:rsidP="00703F39">
      <w:pPr>
        <w:pStyle w:val="DotStyle2"/>
      </w:pPr>
      <w:r>
        <w:t xml:space="preserve">three wetland dependent threatened species </w:t>
      </w:r>
      <w:r w:rsidR="00724E88">
        <w:t>–</w:t>
      </w:r>
      <w:r>
        <w:t xml:space="preserve"> Australasian bittern, Murray cod and winged peppercress</w:t>
      </w:r>
    </w:p>
    <w:p w14:paraId="61254CA2" w14:textId="09DA7E5B" w:rsidR="00D02D10" w:rsidRDefault="00724E88" w:rsidP="00703F39">
      <w:pPr>
        <w:pStyle w:val="DotStyle2"/>
      </w:pPr>
      <w:r>
        <w:t>a</w:t>
      </w:r>
      <w:r w:rsidR="00D02D10">
        <w:t xml:space="preserve"> large number of migratory bird species, including 19 listed under international agreements</w:t>
      </w:r>
    </w:p>
    <w:p w14:paraId="6EF9D112" w14:textId="6BBE71C8" w:rsidR="00D02D10" w:rsidRDefault="00D02D10" w:rsidP="00703F39">
      <w:pPr>
        <w:pStyle w:val="DotStyle2"/>
      </w:pPr>
      <w:r>
        <w:t>substantial breeding of waterbirds, including colonial nesting species such as ibises, cormorants, egrets and spoonbills</w:t>
      </w:r>
      <w:r w:rsidR="00703F39">
        <w:t>.</w:t>
      </w:r>
    </w:p>
    <w:p w14:paraId="00D680CD" w14:textId="77777777" w:rsidR="00D02D10" w:rsidRDefault="00D02D10" w:rsidP="00703F39">
      <w:pPr>
        <w:pStyle w:val="DotStyle1"/>
      </w:pPr>
      <w:r>
        <w:t>the capacity to provide drought refuge for waterbirds following floods.</w:t>
      </w:r>
    </w:p>
    <w:p w14:paraId="4017E342" w14:textId="77777777" w:rsidR="00D02D10" w:rsidRDefault="00D02D10" w:rsidP="00D02D10">
      <w:r>
        <w:t xml:space="preserve">The Nature Reserve is also important to Aboriginal people and they are involved in managing the site through the Narran Lake Nature Reserve Aboriginal Co-Management Committee. Key values of the site for Aboriginal people include: </w:t>
      </w:r>
    </w:p>
    <w:p w14:paraId="6F7629F3" w14:textId="77777777" w:rsidR="00D02D10" w:rsidRDefault="00D02D10" w:rsidP="00703F39">
      <w:pPr>
        <w:pStyle w:val="DotStyle1"/>
      </w:pPr>
      <w:r>
        <w:t>being a traditional meeting place for Aboriginal tribes in the region</w:t>
      </w:r>
    </w:p>
    <w:p w14:paraId="233445D1" w14:textId="77777777" w:rsidR="00D02D10" w:rsidRDefault="00D02D10" w:rsidP="00703F39">
      <w:pPr>
        <w:pStyle w:val="DotStyle1"/>
      </w:pPr>
      <w:r>
        <w:t>several Dreaming paths culminate at the lakes</w:t>
      </w:r>
    </w:p>
    <w:p w14:paraId="27672431" w14:textId="77777777" w:rsidR="00D02D10" w:rsidRPr="00365FE2" w:rsidRDefault="00D02D10" w:rsidP="00703F39">
      <w:pPr>
        <w:pStyle w:val="DotStyle1"/>
      </w:pPr>
      <w:r>
        <w:t>containing many relatively undisturbed Aboriginal objects.</w:t>
      </w:r>
    </w:p>
    <w:p w14:paraId="3AE4274B" w14:textId="77777777" w:rsidR="00D02D10" w:rsidRPr="00365FE2" w:rsidRDefault="00D02D10" w:rsidP="00D02D10">
      <w:pPr>
        <w:pStyle w:val="Heading4"/>
      </w:pPr>
      <w:r w:rsidRPr="00365FE2">
        <w:t>Stakeholder engagement</w:t>
      </w:r>
    </w:p>
    <w:p w14:paraId="4E6FC8EC" w14:textId="02E265FD" w:rsidR="00D02D10" w:rsidRDefault="00D02D10" w:rsidP="00D02D10">
      <w:pPr>
        <w:rPr>
          <w:color w:val="auto"/>
        </w:rPr>
      </w:pPr>
      <w:r w:rsidRPr="00B10E74">
        <w:t xml:space="preserve">In the </w:t>
      </w:r>
      <w:r>
        <w:t>Condamine</w:t>
      </w:r>
      <w:r w:rsidR="002B46CC">
        <w:t>–</w:t>
      </w:r>
      <w:r>
        <w:t>Balonne system</w:t>
      </w:r>
      <w:r w:rsidRPr="00B10E74">
        <w:t>, the planning</w:t>
      </w:r>
      <w:r>
        <w:t xml:space="preserve"> and </w:t>
      </w:r>
      <w:r w:rsidRPr="00B10E74">
        <w:t>management</w:t>
      </w:r>
      <w:r>
        <w:t xml:space="preserve"> </w:t>
      </w:r>
      <w:r w:rsidRPr="00B10E74">
        <w:t>of Commonwealth water for the environment is undertaken in conjunction with a range of partners and stakeholder groups. Key stakeholders include the Queensland Departments of Natural Resources, Mines and Energy</w:t>
      </w:r>
      <w:r>
        <w:t xml:space="preserve"> (DNRME)</w:t>
      </w:r>
      <w:r w:rsidRPr="00B10E74">
        <w:t>, Environment and Science</w:t>
      </w:r>
      <w:r w:rsidR="004B6FF1">
        <w:t xml:space="preserve"> (DES)</w:t>
      </w:r>
      <w:r w:rsidRPr="00B10E74">
        <w:t xml:space="preserve"> and Agriculture and Fisheries, NSW Department of Planning, Industry and Environment</w:t>
      </w:r>
      <w:r w:rsidR="00E37CB1">
        <w:t xml:space="preserve"> (DPIE)</w:t>
      </w:r>
      <w:r w:rsidRPr="00B10E74">
        <w:t>, NSW Department of Primary Industries (DPI) –</w:t>
      </w:r>
      <w:r w:rsidR="00E37CB1">
        <w:t xml:space="preserve"> </w:t>
      </w:r>
      <w:r w:rsidRPr="00B10E74">
        <w:t>Fisheries, SunWater</w:t>
      </w:r>
      <w:r w:rsidR="00E37CB1">
        <w:t>,</w:t>
      </w:r>
      <w:r w:rsidRPr="00B10E74">
        <w:t xml:space="preserve"> WaterNSW</w:t>
      </w:r>
      <w:r>
        <w:t>, the Narran Lake Nature Reserve Aboriginal Co-Management Committee</w:t>
      </w:r>
      <w:r w:rsidR="00E37CB1">
        <w:t>,</w:t>
      </w:r>
      <w:r>
        <w:t xml:space="preserve"> and the Lower Balonne Working Group.</w:t>
      </w:r>
    </w:p>
    <w:p w14:paraId="317BD5AF" w14:textId="77777777" w:rsidR="00D02D10" w:rsidRPr="00C942DF" w:rsidRDefault="00D02D10" w:rsidP="00D02D10">
      <w:pPr>
        <w:rPr>
          <w:color w:val="auto"/>
        </w:rPr>
        <w:sectPr w:rsidR="00D02D10" w:rsidRPr="00C942DF" w:rsidSect="00777967">
          <w:headerReference w:type="default" r:id="rId26"/>
          <w:footerReference w:type="default" r:id="rId27"/>
          <w:pgSz w:w="11906" w:h="16838"/>
          <w:pgMar w:top="851" w:right="1133" w:bottom="1135" w:left="993" w:header="567" w:footer="397" w:gutter="0"/>
          <w:pgNumType w:start="36"/>
          <w:cols w:space="708"/>
          <w:docGrid w:linePitch="360"/>
        </w:sectPr>
      </w:pPr>
    </w:p>
    <w:p w14:paraId="791AA498" w14:textId="77777777" w:rsidR="006E3E57" w:rsidRDefault="006E3E57" w:rsidP="00D02D10"/>
    <w:p w14:paraId="6157CA91" w14:textId="77777777" w:rsidR="006E3E57" w:rsidRDefault="006E3E57" w:rsidP="00D02D10"/>
    <w:p w14:paraId="0EDCFEED" w14:textId="77777777" w:rsidR="006E3E57" w:rsidRDefault="006E3E57" w:rsidP="00D02D10"/>
    <w:p w14:paraId="07B2AE36" w14:textId="65BFCDA7" w:rsidR="00D02D10" w:rsidRPr="00806C05" w:rsidRDefault="006E3E57" w:rsidP="00D02D10">
      <w:r>
        <w:rPr>
          <w:noProof/>
        </w:rPr>
        <mc:AlternateContent>
          <mc:Choice Requires="wps">
            <w:drawing>
              <wp:anchor distT="0" distB="0" distL="114300" distR="114300" simplePos="0" relativeHeight="251658243" behindDoc="0" locked="0" layoutInCell="1" allowOverlap="1" wp14:anchorId="7E1DB100" wp14:editId="38700A6F">
                <wp:simplePos x="0" y="0"/>
                <wp:positionH relativeFrom="column">
                  <wp:posOffset>2185914</wp:posOffset>
                </wp:positionH>
                <wp:positionV relativeFrom="paragraph">
                  <wp:posOffset>3286013</wp:posOffset>
                </wp:positionV>
                <wp:extent cx="3503944" cy="507149"/>
                <wp:effectExtent l="38100" t="0" r="20320" b="83820"/>
                <wp:wrapNone/>
                <wp:docPr id="7" name="Straight Arrow Connector 7"/>
                <wp:cNvGraphicFramePr/>
                <a:graphic xmlns:a="http://schemas.openxmlformats.org/drawingml/2006/main">
                  <a:graphicData uri="http://schemas.microsoft.com/office/word/2010/wordprocessingShape">
                    <wps:wsp>
                      <wps:cNvCnPr/>
                      <wps:spPr>
                        <a:xfrm flipH="1">
                          <a:off x="0" y="0"/>
                          <a:ext cx="3503944" cy="50714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77171" id="_x0000_t32" coordsize="21600,21600" o:spt="32" o:oned="t" path="m,l21600,21600e" filled="f">
                <v:path arrowok="t" fillok="f" o:connecttype="none"/>
                <o:lock v:ext="edit" shapetype="t"/>
              </v:shapetype>
              <v:shape id="Straight Arrow Connector 7" o:spid="_x0000_s1026" type="#_x0000_t32" style="position:absolute;margin-left:172.1pt;margin-top:258.75pt;width:275.9pt;height:39.9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" strokecolor="black [3213]" strokeweight="1pt">
                <v:stroke endarrow="block"/>
              </v:shape>
            </w:pict>
          </mc:Fallback>
        </mc:AlternateContent>
      </w:r>
      <w:r w:rsidR="005E7E62">
        <w:rPr>
          <w:noProof/>
        </w:rPr>
        <w:drawing>
          <wp:anchor distT="0" distB="0" distL="114300" distR="114300" simplePos="0" relativeHeight="251658242" behindDoc="0" locked="0" layoutInCell="1" allowOverlap="1" wp14:anchorId="5A1E746A" wp14:editId="7D0662AB">
            <wp:simplePos x="0" y="0"/>
            <wp:positionH relativeFrom="column">
              <wp:posOffset>5680075</wp:posOffset>
            </wp:positionH>
            <wp:positionV relativeFrom="paragraph">
              <wp:posOffset>255905</wp:posOffset>
            </wp:positionV>
            <wp:extent cx="3728720" cy="3041650"/>
            <wp:effectExtent l="0" t="0" r="5080" b="6350"/>
            <wp:wrapThrough wrapText="bothSides">
              <wp:wrapPolygon edited="0">
                <wp:start x="0" y="0"/>
                <wp:lineTo x="0" y="21510"/>
                <wp:lineTo x="21519" y="21510"/>
                <wp:lineTo x="2151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28720" cy="3041650"/>
                    </a:xfrm>
                    <a:prstGeom prst="rect">
                      <a:avLst/>
                    </a:prstGeom>
                    <a:noFill/>
                  </pic:spPr>
                </pic:pic>
              </a:graphicData>
            </a:graphic>
            <wp14:sizeRelH relativeFrom="margin">
              <wp14:pctWidth>0</wp14:pctWidth>
            </wp14:sizeRelH>
            <wp14:sizeRelV relativeFrom="margin">
              <wp14:pctHeight>0</wp14:pctHeight>
            </wp14:sizeRelV>
          </wp:anchor>
        </w:drawing>
      </w:r>
      <w:r w:rsidR="00D02D10">
        <w:rPr>
          <w:rFonts w:ascii="Century Gothic"/>
          <w:b/>
          <w:noProof/>
        </w:rPr>
        <w:drawing>
          <wp:anchor distT="0" distB="0" distL="114300" distR="114300" simplePos="0" relativeHeight="251658240" behindDoc="1" locked="0" layoutInCell="1" allowOverlap="1" wp14:anchorId="29F5A707" wp14:editId="4DD9FB63">
            <wp:simplePos x="0" y="0"/>
            <wp:positionH relativeFrom="margin">
              <wp:align>left</wp:align>
            </wp:positionH>
            <wp:positionV relativeFrom="paragraph">
              <wp:posOffset>245745</wp:posOffset>
            </wp:positionV>
            <wp:extent cx="5467350" cy="4250055"/>
            <wp:effectExtent l="0" t="0" r="0" b="0"/>
            <wp:wrapTight wrapText="bothSides">
              <wp:wrapPolygon edited="0">
                <wp:start x="0" y="0"/>
                <wp:lineTo x="0" y="21494"/>
                <wp:lineTo x="21525" y="21494"/>
                <wp:lineTo x="21525" y="0"/>
                <wp:lineTo x="0" y="0"/>
              </wp:wrapPolygon>
            </wp:wrapTight>
            <wp:docPr id="5" name="Picture 5" descr="Figure 1: Map of the Condamine-Balonne&#10;&#10;A map of the Condamine-Balonne and surrounding systems including major towns and tributaries. The map also shows an inset of the internationally significant Narran Lakes system, including Long Arm, Back Lake, and Clear Lake in the Ramsar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book_nth.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69712" cy="4251970"/>
                    </a:xfrm>
                    <a:prstGeom prst="rect">
                      <a:avLst/>
                    </a:prstGeom>
                  </pic:spPr>
                </pic:pic>
              </a:graphicData>
            </a:graphic>
            <wp14:sizeRelH relativeFrom="margin">
              <wp14:pctWidth>0</wp14:pctWidth>
            </wp14:sizeRelH>
            <wp14:sizeRelV relativeFrom="margin">
              <wp14:pctHeight>0</wp14:pctHeight>
            </wp14:sizeRelV>
          </wp:anchor>
        </w:drawing>
      </w:r>
    </w:p>
    <w:p w14:paraId="6CD1F34E" w14:textId="77777777" w:rsidR="00D02D10" w:rsidRPr="00806C05" w:rsidRDefault="00D02D10" w:rsidP="00D02D10"/>
    <w:p w14:paraId="4D6FDF30" w14:textId="4E4F3A75" w:rsidR="00D02D10" w:rsidRDefault="006E3E57" w:rsidP="00D02D10">
      <w:r>
        <w:rPr>
          <w:rFonts w:ascii="Century Gothic"/>
          <w:b/>
          <w:noProof/>
        </w:rPr>
        <mc:AlternateContent>
          <mc:Choice Requires="wps">
            <w:drawing>
              <wp:anchor distT="0" distB="0" distL="114300" distR="114300" simplePos="0" relativeHeight="251658241" behindDoc="0" locked="0" layoutInCell="1" allowOverlap="1" wp14:anchorId="61F3A243" wp14:editId="46D8F8E6">
                <wp:simplePos x="0" y="0"/>
                <wp:positionH relativeFrom="column">
                  <wp:posOffset>1587500</wp:posOffset>
                </wp:positionH>
                <wp:positionV relativeFrom="paragraph">
                  <wp:posOffset>220345</wp:posOffset>
                </wp:positionV>
                <wp:extent cx="596900" cy="2413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596900" cy="241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D1FF0" id="Rectangle 2" o:spid="_x0000_s1026" style="position:absolute;margin-left:125pt;margin-top:17.35pt;width:47pt;height:1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" filled="f" strokecolor="black [3213]" strokeweight=".5pt"/>
            </w:pict>
          </mc:Fallback>
        </mc:AlternateContent>
      </w:r>
    </w:p>
    <w:p w14:paraId="241EE4EF" w14:textId="50417BAA" w:rsidR="00703F39" w:rsidRDefault="00703F39" w:rsidP="00D02D10"/>
    <w:p w14:paraId="7B321699" w14:textId="77777777" w:rsidR="00703F39" w:rsidRPr="00806C05" w:rsidRDefault="00703F39" w:rsidP="00D02D10"/>
    <w:p w14:paraId="57D204FC" w14:textId="77777777" w:rsidR="00D02D10" w:rsidRDefault="00D02D10" w:rsidP="00703F39"/>
    <w:p w14:paraId="2F161B81" w14:textId="48531E0D" w:rsidR="00D02D10" w:rsidRPr="00806C05" w:rsidRDefault="00D02D10" w:rsidP="00D02D10">
      <w:bookmarkStart w:id="5" w:name="_Ref475454230"/>
      <w:r w:rsidRPr="00C942DF">
        <w:rPr>
          <w:b/>
        </w:rPr>
        <w:t xml:space="preserve">Figure </w:t>
      </w:r>
      <w:r w:rsidRPr="00C942DF">
        <w:rPr>
          <w:b/>
        </w:rPr>
        <w:fldChar w:fldCharType="begin"/>
      </w:r>
      <w:r w:rsidRPr="00C942DF">
        <w:rPr>
          <w:b/>
        </w:rPr>
        <w:instrText xml:space="preserve"> SEQ Figure \* ARABIC </w:instrText>
      </w:r>
      <w:r w:rsidRPr="00C942DF">
        <w:rPr>
          <w:b/>
        </w:rPr>
        <w:fldChar w:fldCharType="separate"/>
      </w:r>
      <w:r w:rsidR="00B76D86">
        <w:rPr>
          <w:b/>
          <w:noProof/>
        </w:rPr>
        <w:t>1</w:t>
      </w:r>
      <w:r w:rsidRPr="00C942DF">
        <w:rPr>
          <w:b/>
        </w:rPr>
        <w:fldChar w:fldCharType="end"/>
      </w:r>
      <w:bookmarkEnd w:id="5"/>
      <w:r w:rsidRPr="004932F2">
        <w:t xml:space="preserve">: Map </w:t>
      </w:r>
      <w:r w:rsidRPr="0047254B">
        <w:t>of the Condamine</w:t>
      </w:r>
      <w:r w:rsidR="00E37CB1">
        <w:t>–</w:t>
      </w:r>
      <w:r w:rsidRPr="0047254B">
        <w:t>Balonne and surrounding systems, including an inset of the internationally significant Narran Lakes system.</w:t>
      </w:r>
    </w:p>
    <w:p w14:paraId="1708E857" w14:textId="77777777" w:rsidR="00D02D10" w:rsidRPr="00806C05" w:rsidRDefault="00D02D10" w:rsidP="00D02D10"/>
    <w:p w14:paraId="4BC60A07" w14:textId="77777777" w:rsidR="00D02D10" w:rsidRPr="00806C05" w:rsidRDefault="00D02D10" w:rsidP="00D02D10">
      <w:pPr>
        <w:sectPr w:rsidR="00D02D10" w:rsidRPr="00806C05" w:rsidSect="00703F39">
          <w:pgSz w:w="16838" w:h="11906" w:orient="landscape"/>
          <w:pgMar w:top="851" w:right="992" w:bottom="567" w:left="993" w:header="567" w:footer="397" w:gutter="0"/>
          <w:cols w:space="708"/>
          <w:docGrid w:linePitch="360"/>
        </w:sectPr>
      </w:pPr>
    </w:p>
    <w:p w14:paraId="077B7FC5" w14:textId="77777777" w:rsidR="00D02D10" w:rsidRDefault="00D02D10" w:rsidP="00D02D10">
      <w:pPr>
        <w:pStyle w:val="Heading3"/>
        <w:rPr>
          <w:noProof/>
        </w:rPr>
      </w:pPr>
      <w:r w:rsidRPr="00365FE2">
        <w:t>Environmental</w:t>
      </w:r>
      <w:r>
        <w:rPr>
          <w:noProof/>
        </w:rPr>
        <w:t xml:space="preserve"> objectives</w:t>
      </w:r>
    </w:p>
    <w:p w14:paraId="27E15826" w14:textId="4A2C5BE8" w:rsidR="00D02D10" w:rsidRPr="00365FE2" w:rsidRDefault="00D02D10" w:rsidP="00D02D10">
      <w:r w:rsidRPr="00365FE2">
        <w:t xml:space="preserve">Based on long-term environmental objectives in the Basin Plan, </w:t>
      </w:r>
      <w:r>
        <w:t>relevant</w:t>
      </w:r>
      <w:r w:rsidRPr="00365FE2">
        <w:t xml:space="preserve"> state long-term watering plans, </w:t>
      </w:r>
      <w:r>
        <w:t xml:space="preserve">site management plans (including Ramsar site ecological character descriptions), </w:t>
      </w:r>
      <w:r w:rsidRPr="00365FE2">
        <w:t xml:space="preserve">and best available knowledge, the following objectives are relevant for environmental watering in the </w:t>
      </w:r>
      <w:r>
        <w:t>Condamine</w:t>
      </w:r>
      <w:r w:rsidR="00E37CB1">
        <w:t>–</w:t>
      </w:r>
      <w:r>
        <w:t>Balonne system</w:t>
      </w:r>
      <w:r w:rsidRPr="00365FE2">
        <w:t>.</w:t>
      </w:r>
    </w:p>
    <w:p w14:paraId="0AFF6A65" w14:textId="3CDE6923" w:rsidR="00D02D10" w:rsidRPr="00365FE2" w:rsidRDefault="00D02D10" w:rsidP="00D02D10">
      <w:bookmarkStart w:id="6" w:name="_Hlk40872460"/>
      <w:r>
        <w:t>Because of the generally unregulated nature of the Condamine</w:t>
      </w:r>
      <w:r w:rsidR="00E37CB1">
        <w:t>–</w:t>
      </w:r>
      <w:r>
        <w:t>Balonne system, t</w:t>
      </w:r>
      <w:r w:rsidRPr="00365FE2">
        <w:t xml:space="preserve">he objectives that </w:t>
      </w:r>
      <w:r>
        <w:t xml:space="preserve">can be achieved </w:t>
      </w:r>
      <w:r w:rsidRPr="00365FE2">
        <w:t>in a particular year may vary</w:t>
      </w:r>
      <w:r>
        <w:t xml:space="preserve"> and are highly dependent on </w:t>
      </w:r>
      <w:r w:rsidRPr="00365FE2">
        <w:t>catchment conditions</w:t>
      </w:r>
      <w:r>
        <w:t xml:space="preserve"> and rainfall events.</w:t>
      </w:r>
      <w:r w:rsidRPr="00365FE2">
        <w:t xml:space="preserve"> These objectives will continue to be revised as part of the Commonwealth Environmental Water Office’s </w:t>
      </w:r>
      <w:r w:rsidR="00E37CB1">
        <w:t xml:space="preserve">(CEWO) </w:t>
      </w:r>
      <w:r w:rsidRPr="00365FE2">
        <w:t>commitment to adaptive management.</w:t>
      </w:r>
    </w:p>
    <w:bookmarkEnd w:id="6"/>
    <w:p w14:paraId="03A16E33" w14:textId="77777777" w:rsidR="00D02D10" w:rsidRPr="00365FE2" w:rsidRDefault="00D02D10" w:rsidP="00D02D10">
      <w:r w:rsidRPr="00365FE2">
        <w:rPr>
          <w:b/>
        </w:rPr>
        <w:t>Vegetation</w:t>
      </w:r>
      <w:r w:rsidRPr="00365FE2">
        <w:t xml:space="preserve">: </w:t>
      </w:r>
      <w:r w:rsidRPr="00A32FB1">
        <w:t>Maintain and improve the condition, growth and survival of riparian, in-channel, floodplain and wetland vegetation.</w:t>
      </w:r>
    </w:p>
    <w:p w14:paraId="630D5545" w14:textId="77777777" w:rsidR="00D02D10" w:rsidRPr="00A32FB1" w:rsidRDefault="00D02D10" w:rsidP="00D02D10">
      <w:pPr>
        <w:rPr>
          <w:rFonts w:ascii="Century Gothic" w:hAnsi="Century Gothic"/>
          <w:sz w:val="20"/>
        </w:rPr>
      </w:pPr>
      <w:r w:rsidRPr="00365FE2">
        <w:rPr>
          <w:b/>
        </w:rPr>
        <w:t>Waterbirds</w:t>
      </w:r>
      <w:r w:rsidRPr="00365FE2">
        <w:t xml:space="preserve">: </w:t>
      </w:r>
      <w:r w:rsidRPr="00A32FB1">
        <w:t>Maintain foraging, roosting and breeding habitats at targeted sites on the floodplain to support waterbirds.</w:t>
      </w:r>
      <w:r w:rsidRPr="00A32FB1">
        <w:rPr>
          <w:rFonts w:ascii="Century Gothic" w:hAnsi="Century Gothic"/>
          <w:sz w:val="20"/>
        </w:rPr>
        <w:t xml:space="preserve"> </w:t>
      </w:r>
      <w:r w:rsidRPr="00365FE2">
        <w:t xml:space="preserve"> </w:t>
      </w:r>
    </w:p>
    <w:p w14:paraId="118D217E" w14:textId="77777777" w:rsidR="00D02D10" w:rsidRPr="00365FE2" w:rsidRDefault="00D02D10" w:rsidP="00D02D10">
      <w:r w:rsidRPr="00365FE2">
        <w:rPr>
          <w:b/>
        </w:rPr>
        <w:t>Native fish</w:t>
      </w:r>
      <w:r w:rsidRPr="00365FE2">
        <w:t xml:space="preserve">: </w:t>
      </w:r>
      <w:r w:rsidRPr="00A32FB1">
        <w:t>Improve habitat condition, and support different life stages (migration, spawning, recruitment and refuge), natural flow variability, and connectivity between river channels, wetlands, anabranches and floodplains.</w:t>
      </w:r>
    </w:p>
    <w:p w14:paraId="6E4AA80D" w14:textId="77777777" w:rsidR="00D02D10" w:rsidRDefault="00D02D10" w:rsidP="00D02D10">
      <w:r w:rsidRPr="00365FE2">
        <w:rPr>
          <w:b/>
        </w:rPr>
        <w:t>Other vertebrates</w:t>
      </w:r>
      <w:r w:rsidRPr="00365FE2">
        <w:t xml:space="preserve">: </w:t>
      </w:r>
      <w:r w:rsidRPr="002A6227">
        <w:t>Support survival and recruitment of other native aquatic species, including frogs and turtles.</w:t>
      </w:r>
    </w:p>
    <w:p w14:paraId="411DED4A" w14:textId="77777777" w:rsidR="00D02D10" w:rsidRPr="002A6227" w:rsidRDefault="00D02D10" w:rsidP="00D02D10">
      <w:r w:rsidRPr="002A6227">
        <w:rPr>
          <w:b/>
          <w:bCs/>
        </w:rPr>
        <w:t>Invertebrates:</w:t>
      </w:r>
      <w:r w:rsidRPr="002A6227">
        <w:t xml:space="preserve"> Maintain and improve the micro and macroinvertebrate communities by providing a variety of habitat and flow conditions.</w:t>
      </w:r>
    </w:p>
    <w:p w14:paraId="3424FF62" w14:textId="77777777" w:rsidR="00D02D10" w:rsidRPr="00365FE2" w:rsidRDefault="00D02D10" w:rsidP="00D02D10">
      <w:r w:rsidRPr="00365FE2">
        <w:rPr>
          <w:b/>
        </w:rPr>
        <w:t>Connectivity</w:t>
      </w:r>
      <w:r w:rsidRPr="00365FE2">
        <w:t xml:space="preserve">: </w:t>
      </w:r>
      <w:r w:rsidRPr="002A6227">
        <w:t>Support longitudinal connectivity, including with the Barwon River, and lateral connectivity with and between the rivers, wetlands and floodplain systems.</w:t>
      </w:r>
      <w:r w:rsidRPr="00365FE2">
        <w:t xml:space="preserve"> </w:t>
      </w:r>
    </w:p>
    <w:p w14:paraId="0A6621BB" w14:textId="77777777" w:rsidR="00D02D10" w:rsidRDefault="00D02D10" w:rsidP="00D02D10">
      <w:r w:rsidRPr="00365FE2">
        <w:rPr>
          <w:b/>
        </w:rPr>
        <w:t>Processes/water quality/resilience</w:t>
      </w:r>
      <w:r w:rsidRPr="0069252A">
        <w:t>: Support key ecosystem functions, biotic dispersal and promote productivity; maintain water quality in channels and pools; and maintain drought refuge habitat.</w:t>
      </w:r>
    </w:p>
    <w:p w14:paraId="0B28AF38" w14:textId="0F2E8F23" w:rsidR="00D02D10" w:rsidRDefault="00D02D10" w:rsidP="00D02D10">
      <w:pPr>
        <w:pStyle w:val="Heading3"/>
      </w:pPr>
      <w:bookmarkStart w:id="7" w:name="_Hlk42787435"/>
      <w:r>
        <w:t>First Nations environmental objectives</w:t>
      </w:r>
    </w:p>
    <w:p w14:paraId="07BFD505" w14:textId="11DFB8A6" w:rsidR="009A4676" w:rsidRDefault="009A4676" w:rsidP="009A4676">
      <w:r w:rsidRPr="001E6073">
        <w:t xml:space="preserve">Representatives of the First Nations peoples of the Condamine-Balonne system have identified environmental objectives for their country for </w:t>
      </w:r>
      <w:r w:rsidRPr="006E3E57">
        <w:t>2020</w:t>
      </w:r>
      <w:r w:rsidR="00A3033F">
        <w:t>–</w:t>
      </w:r>
      <w:r w:rsidRPr="006E3E57">
        <w:t>21 (</w:t>
      </w:r>
      <w:r w:rsidR="006E3E57" w:rsidRPr="006E3E57">
        <w:fldChar w:fldCharType="begin"/>
      </w:r>
      <w:r w:rsidR="006E3E57" w:rsidRPr="006E3E57">
        <w:instrText xml:space="preserve"> REF _Ref43972962 \h </w:instrText>
      </w:r>
      <w:r w:rsidR="006E3E57">
        <w:instrText xml:space="preserve"> \* MERGEFORMAT </w:instrText>
      </w:r>
      <w:r w:rsidR="006E3E57" w:rsidRPr="006E3E57">
        <w:fldChar w:fldCharType="separate"/>
      </w:r>
      <w:r w:rsidR="00B76D86" w:rsidRPr="00B76D86">
        <w:t>Table 1</w:t>
      </w:r>
      <w:r w:rsidR="006E3E57" w:rsidRPr="006E3E57">
        <w:fldChar w:fldCharType="end"/>
      </w:r>
      <w:r w:rsidRPr="006E3E57">
        <w:t>).</w:t>
      </w:r>
      <w:r w:rsidRPr="001E6073">
        <w:t xml:space="preserve"> These objectives were developed through the First Nations Environmental Guidance project undertaken by the Northern Basin Aboriginal Nations organisation. </w:t>
      </w:r>
    </w:p>
    <w:p w14:paraId="655BD198" w14:textId="77777777" w:rsidR="009A4676" w:rsidRPr="001E6073" w:rsidRDefault="009A4676" w:rsidP="009A4676">
      <w:r w:rsidRPr="00E061A2">
        <w:rPr>
          <w:rFonts w:cs="Calibri"/>
        </w:rPr>
        <w:t xml:space="preserve">Some of these objectives sit outside the scope of water for the environment to influence, while for others, the link between water for the environment and the site or </w:t>
      </w:r>
      <w:r>
        <w:rPr>
          <w:rFonts w:cs="Calibri"/>
        </w:rPr>
        <w:t xml:space="preserve">species </w:t>
      </w:r>
      <w:r w:rsidRPr="00E061A2">
        <w:rPr>
          <w:rFonts w:cs="Calibri"/>
        </w:rPr>
        <w:t>is not well understood. </w:t>
      </w:r>
    </w:p>
    <w:p w14:paraId="0E849794" w14:textId="19B4BD52" w:rsidR="009A4676" w:rsidRDefault="009A4676" w:rsidP="009A4676">
      <w:r w:rsidRPr="001E6073">
        <w:t>The CEWO is committed to working with First Nations groups to better understand their objectives.</w:t>
      </w:r>
      <w:r>
        <w:t xml:space="preserve"> </w:t>
      </w:r>
      <w:r w:rsidRPr="001E6073">
        <w:t>The CEWO will use environmental flows to contribute to these objectives where possible and where this is consistent with the Commonwealth Environmental Water Holder’s statutory responsibility of protecting and restoring environmental assets in the Basin.</w:t>
      </w:r>
    </w:p>
    <w:p w14:paraId="59C1902D" w14:textId="77777777" w:rsidR="006E3E57" w:rsidRDefault="006E3E57">
      <w:pPr>
        <w:spacing w:after="0"/>
        <w:rPr>
          <w:b/>
        </w:rPr>
      </w:pPr>
      <w:bookmarkStart w:id="8" w:name="_Ref43387807"/>
      <w:bookmarkStart w:id="9" w:name="_Hlk42786923"/>
      <w:r>
        <w:rPr>
          <w:b/>
        </w:rPr>
        <w:br w:type="page"/>
      </w:r>
    </w:p>
    <w:p w14:paraId="0FB7B6B3" w14:textId="2F6A7F3B" w:rsidR="009A4676" w:rsidRDefault="006E3E57" w:rsidP="006E3E57">
      <w:bookmarkStart w:id="10" w:name="_Ref43972962"/>
      <w:r w:rsidRPr="006E3E57">
        <w:rPr>
          <w:b/>
        </w:rPr>
        <w:t xml:space="preserve">Table </w:t>
      </w:r>
      <w:r w:rsidRPr="006E3E57">
        <w:rPr>
          <w:b/>
        </w:rPr>
        <w:fldChar w:fldCharType="begin"/>
      </w:r>
      <w:r w:rsidRPr="006E3E57">
        <w:rPr>
          <w:b/>
        </w:rPr>
        <w:instrText xml:space="preserve"> SEQ Table \* ARABIC </w:instrText>
      </w:r>
      <w:r w:rsidRPr="006E3E57">
        <w:rPr>
          <w:b/>
        </w:rPr>
        <w:fldChar w:fldCharType="separate"/>
      </w:r>
      <w:r w:rsidR="00B76D86">
        <w:rPr>
          <w:b/>
          <w:noProof/>
        </w:rPr>
        <w:t>1</w:t>
      </w:r>
      <w:r w:rsidRPr="006E3E57">
        <w:rPr>
          <w:b/>
        </w:rPr>
        <w:fldChar w:fldCharType="end"/>
      </w:r>
      <w:bookmarkEnd w:id="10"/>
      <w:r>
        <w:t>:</w:t>
      </w:r>
      <w:bookmarkEnd w:id="8"/>
      <w:r w:rsidR="009A4676" w:rsidRPr="001E6073">
        <w:t xml:space="preserve"> First Nations environmental objectives for the Condamine</w:t>
      </w:r>
      <w:r w:rsidR="009A4676">
        <w:t>-</w:t>
      </w:r>
      <w:r w:rsidR="009A4676" w:rsidRPr="001E6073">
        <w:t>Balonne system for 2020</w:t>
      </w:r>
      <w:r w:rsidR="00A3033F">
        <w:t>–</w:t>
      </w:r>
      <w:r w:rsidR="009A4676" w:rsidRPr="001E6073">
        <w:t xml:space="preserve">21 </w:t>
      </w:r>
      <w:r w:rsidR="009A4676">
        <w:t>(NBAN Ltd. 2020)</w:t>
      </w:r>
    </w:p>
    <w:tbl>
      <w:tblPr>
        <w:tblStyle w:val="TableGrid1"/>
        <w:tblW w:w="9781" w:type="dxa"/>
        <w:tblInd w:w="-5" w:type="dxa"/>
        <w:tblBorders>
          <w:insideH w:val="none" w:sz="0" w:space="0" w:color="auto"/>
          <w:insideV w:val="none" w:sz="0" w:space="0" w:color="auto"/>
        </w:tblBorders>
        <w:tblLook w:val="04A0" w:firstRow="1" w:lastRow="0" w:firstColumn="1" w:lastColumn="0" w:noHBand="0" w:noVBand="1"/>
      </w:tblPr>
      <w:tblGrid>
        <w:gridCol w:w="9781"/>
      </w:tblGrid>
      <w:tr w:rsidR="009A4676" w:rsidRPr="005B3A0C" w14:paraId="1AF883A6" w14:textId="77777777" w:rsidTr="006E3E57">
        <w:tc>
          <w:tcPr>
            <w:tcW w:w="9781" w:type="dxa"/>
            <w:tcBorders>
              <w:top w:val="single" w:sz="4" w:space="0" w:color="auto"/>
              <w:bottom w:val="nil"/>
            </w:tcBorders>
            <w:shd w:val="clear" w:color="auto" w:fill="B6DDE8" w:themeFill="accent5" w:themeFillTint="66"/>
            <w:vAlign w:val="center"/>
          </w:tcPr>
          <w:p w14:paraId="15E8B1C5" w14:textId="77777777" w:rsidR="009A4676" w:rsidRPr="005B3A0C" w:rsidRDefault="009A4676" w:rsidP="00B823D9">
            <w:pPr>
              <w:rPr>
                <w:b/>
                <w:szCs w:val="22"/>
                <w:lang w:val="en-GB"/>
              </w:rPr>
            </w:pPr>
            <w:r w:rsidRPr="005B3A0C">
              <w:rPr>
                <w:b/>
                <w:szCs w:val="22"/>
                <w:lang w:val="en-GB"/>
              </w:rPr>
              <w:t xml:space="preserve"> River flows and Connectivity</w:t>
            </w:r>
          </w:p>
        </w:tc>
      </w:tr>
      <w:tr w:rsidR="009A4676" w:rsidRPr="005B3A0C" w14:paraId="40200A61" w14:textId="77777777" w:rsidTr="00B823D9">
        <w:tc>
          <w:tcPr>
            <w:tcW w:w="9781" w:type="dxa"/>
            <w:tcBorders>
              <w:top w:val="nil"/>
              <w:bottom w:val="single" w:sz="4" w:space="0" w:color="auto"/>
            </w:tcBorders>
          </w:tcPr>
          <w:p w14:paraId="4ADF29CE" w14:textId="77777777" w:rsidR="009A4676" w:rsidRPr="005B3A0C" w:rsidRDefault="009A4676" w:rsidP="00B823D9">
            <w:pPr>
              <w:rPr>
                <w:szCs w:val="22"/>
              </w:rPr>
            </w:pPr>
            <w:r w:rsidRPr="009A4676">
              <w:rPr>
                <w:rStyle w:val="Heading5Char"/>
                <w:lang w:eastAsia="en-AU"/>
              </w:rPr>
              <w:t>Upper Condamine:</w:t>
            </w:r>
            <w:r w:rsidRPr="005B3A0C">
              <w:rPr>
                <w:szCs w:val="22"/>
              </w:rPr>
              <w:t xml:space="preserve"> </w:t>
            </w:r>
            <w:r w:rsidRPr="005B3A0C">
              <w:rPr>
                <w:rFonts w:eastAsia="ArialMT" w:cs="ArialMT"/>
                <w:color w:val="222222"/>
                <w:szCs w:val="22"/>
              </w:rPr>
              <w:t>Maintain a healthy sustainable flow so that native animal and plant species can thrive to benefit everyone.</w:t>
            </w:r>
          </w:p>
          <w:p w14:paraId="6E53AE02" w14:textId="77777777" w:rsidR="009A4676" w:rsidRPr="005B3A0C" w:rsidRDefault="009A4676" w:rsidP="00B823D9">
            <w:pPr>
              <w:rPr>
                <w:szCs w:val="22"/>
              </w:rPr>
            </w:pPr>
            <w:r w:rsidRPr="009A4676">
              <w:rPr>
                <w:rStyle w:val="Heading5Char"/>
                <w:lang w:eastAsia="en-AU"/>
              </w:rPr>
              <w:t>Maranoa-Balonne priority sites:</w:t>
            </w:r>
            <w:r w:rsidRPr="005B3A0C">
              <w:rPr>
                <w:szCs w:val="22"/>
              </w:rPr>
              <w:t xml:space="preserve"> The junction between Maranoa and Balonne rivers; the Lakes that feed off the Maranoa River</w:t>
            </w:r>
          </w:p>
          <w:p w14:paraId="1B476B54" w14:textId="77777777" w:rsidR="009A4676" w:rsidRPr="005B3A0C" w:rsidRDefault="009A4676" w:rsidP="00B823D9">
            <w:pPr>
              <w:rPr>
                <w:szCs w:val="22"/>
              </w:rPr>
            </w:pPr>
            <w:r w:rsidRPr="009A4676">
              <w:rPr>
                <w:rStyle w:val="Heading5Char"/>
                <w:lang w:eastAsia="en-AU"/>
              </w:rPr>
              <w:t>Maranoa-Balonne river connectivity</w:t>
            </w:r>
            <w:r w:rsidRPr="005B3A0C">
              <w:rPr>
                <w:rStyle w:val="Heading5Char"/>
              </w:rPr>
              <w:t>:</w:t>
            </w:r>
            <w:r w:rsidRPr="005B3A0C">
              <w:rPr>
                <w:szCs w:val="22"/>
              </w:rPr>
              <w:t xml:space="preserve"> Flowing water throughout the system, at all times. There are hardly any fish in the Maranoa because of Beardmore Dam.</w:t>
            </w:r>
          </w:p>
          <w:p w14:paraId="1DED3EDF" w14:textId="77777777" w:rsidR="009A4676" w:rsidRPr="005B3A0C" w:rsidRDefault="009A4676" w:rsidP="00B823D9">
            <w:pPr>
              <w:rPr>
                <w:szCs w:val="22"/>
              </w:rPr>
            </w:pPr>
            <w:r w:rsidRPr="009A4676">
              <w:rPr>
                <w:rStyle w:val="Heading5Char"/>
                <w:lang w:eastAsia="en-AU"/>
              </w:rPr>
              <w:t>Narran Lakes:</w:t>
            </w:r>
            <w:r w:rsidRPr="005B3A0C">
              <w:rPr>
                <w:szCs w:val="22"/>
              </w:rPr>
              <w:t xml:space="preserve"> Sufficient flows to support an abundance of birdlife and bird eggs, as well as fish for food during gatherings.</w:t>
            </w:r>
          </w:p>
          <w:p w14:paraId="3191C42F" w14:textId="77777777" w:rsidR="009A4676" w:rsidRPr="005B3A0C" w:rsidRDefault="009A4676" w:rsidP="00B823D9">
            <w:pPr>
              <w:rPr>
                <w:szCs w:val="22"/>
              </w:rPr>
            </w:pPr>
            <w:r w:rsidRPr="009A4676">
              <w:rPr>
                <w:rStyle w:val="Heading5Char"/>
                <w:lang w:eastAsia="en-AU"/>
              </w:rPr>
              <w:t>Culgoa and Nebine rivers:</w:t>
            </w:r>
            <w:r w:rsidRPr="005B3A0C">
              <w:rPr>
                <w:szCs w:val="22"/>
              </w:rPr>
              <w:t xml:space="preserve"> Low and medium flows in both the Culgoa and Nebine Rivers; sufficient flows to increase and protect the health of the rivers; maintain natural flows and restore historical timing of flows. Maintain connectivity.</w:t>
            </w:r>
          </w:p>
        </w:tc>
      </w:tr>
      <w:tr w:rsidR="009A4676" w:rsidRPr="005B3A0C" w14:paraId="78A69FCF" w14:textId="77777777" w:rsidTr="00B823D9">
        <w:tc>
          <w:tcPr>
            <w:tcW w:w="9781" w:type="dxa"/>
            <w:tcBorders>
              <w:top w:val="single" w:sz="4" w:space="0" w:color="auto"/>
              <w:bottom w:val="nil"/>
            </w:tcBorders>
            <w:shd w:val="clear" w:color="auto" w:fill="B6DDE8" w:themeFill="accent5" w:themeFillTint="66"/>
          </w:tcPr>
          <w:p w14:paraId="283AF3C5" w14:textId="77777777" w:rsidR="009A4676" w:rsidRPr="005B3A0C" w:rsidRDefault="009A4676" w:rsidP="00B823D9">
            <w:pPr>
              <w:rPr>
                <w:b/>
                <w:szCs w:val="22"/>
                <w:lang w:val="en-GB"/>
              </w:rPr>
            </w:pPr>
            <w:r w:rsidRPr="005B3A0C">
              <w:rPr>
                <w:b/>
                <w:szCs w:val="22"/>
                <w:lang w:val="en-GB"/>
              </w:rPr>
              <w:t>Native Vegetation</w:t>
            </w:r>
          </w:p>
        </w:tc>
      </w:tr>
      <w:tr w:rsidR="009A4676" w:rsidRPr="005B3A0C" w14:paraId="0398CCEB" w14:textId="77777777" w:rsidTr="00B823D9">
        <w:tc>
          <w:tcPr>
            <w:tcW w:w="9781" w:type="dxa"/>
            <w:tcBorders>
              <w:top w:val="nil"/>
              <w:bottom w:val="single" w:sz="4" w:space="0" w:color="auto"/>
            </w:tcBorders>
          </w:tcPr>
          <w:p w14:paraId="2B4DC0D6" w14:textId="77777777" w:rsidR="009A4676" w:rsidRPr="005B3A0C" w:rsidRDefault="009A4676" w:rsidP="00B823D9">
            <w:pPr>
              <w:rPr>
                <w:szCs w:val="22"/>
              </w:rPr>
            </w:pPr>
            <w:r w:rsidRPr="009A4676">
              <w:rPr>
                <w:rStyle w:val="Heading5Char"/>
                <w:lang w:eastAsia="en-AU"/>
              </w:rPr>
              <w:t>Upper Condamine indicator species:</w:t>
            </w:r>
            <w:r w:rsidRPr="005B3A0C">
              <w:rPr>
                <w:szCs w:val="22"/>
              </w:rPr>
              <w:t xml:space="preserve"> River gum, bulrush, water lily, sedges, sandalwood</w:t>
            </w:r>
            <w:r w:rsidRPr="005B3A0C">
              <w:rPr>
                <w:szCs w:val="22"/>
                <w:vertAlign w:val="superscript"/>
              </w:rPr>
              <w:t>i</w:t>
            </w:r>
            <w:r w:rsidRPr="005B3A0C">
              <w:rPr>
                <w:szCs w:val="22"/>
              </w:rPr>
              <w:t>, iron bark (poplar box)</w:t>
            </w:r>
            <w:r w:rsidRPr="005B3A0C">
              <w:rPr>
                <w:szCs w:val="22"/>
                <w:vertAlign w:val="superscript"/>
              </w:rPr>
              <w:t>i</w:t>
            </w:r>
            <w:r w:rsidRPr="005B3A0C">
              <w:rPr>
                <w:szCs w:val="22"/>
              </w:rPr>
              <w:t>.</w:t>
            </w:r>
          </w:p>
          <w:p w14:paraId="60EB964D" w14:textId="77777777" w:rsidR="009A4676" w:rsidRPr="005B3A0C" w:rsidRDefault="009A4676" w:rsidP="00B823D9">
            <w:pPr>
              <w:rPr>
                <w:szCs w:val="22"/>
              </w:rPr>
            </w:pPr>
            <w:r w:rsidRPr="009A4676">
              <w:rPr>
                <w:rStyle w:val="Heading5Char"/>
                <w:lang w:eastAsia="en-AU"/>
              </w:rPr>
              <w:t>Maranoa -Balonne indicator species</w:t>
            </w:r>
            <w:r w:rsidRPr="005B3A0C">
              <w:rPr>
                <w:rStyle w:val="Heading5Char"/>
              </w:rPr>
              <w:t>:</w:t>
            </w:r>
            <w:r w:rsidRPr="005B3A0C">
              <w:rPr>
                <w:szCs w:val="22"/>
              </w:rPr>
              <w:t xml:space="preserve"> Iron bark</w:t>
            </w:r>
            <w:r w:rsidRPr="005B3A0C">
              <w:rPr>
                <w:szCs w:val="22"/>
                <w:vertAlign w:val="superscript"/>
              </w:rPr>
              <w:t xml:space="preserve"> i</w:t>
            </w:r>
            <w:r w:rsidRPr="005B3A0C">
              <w:rPr>
                <w:szCs w:val="22"/>
              </w:rPr>
              <w:t>, blackberries</w:t>
            </w:r>
            <w:r w:rsidRPr="005B3A0C">
              <w:rPr>
                <w:szCs w:val="22"/>
                <w:vertAlign w:val="superscript"/>
              </w:rPr>
              <w:t xml:space="preserve"> i</w:t>
            </w:r>
            <w:r w:rsidRPr="005B3A0C">
              <w:rPr>
                <w:szCs w:val="22"/>
              </w:rPr>
              <w:t>, wild bananas</w:t>
            </w:r>
            <w:r w:rsidRPr="005B3A0C">
              <w:rPr>
                <w:szCs w:val="22"/>
                <w:vertAlign w:val="superscript"/>
              </w:rPr>
              <w:t xml:space="preserve"> i</w:t>
            </w:r>
            <w:r w:rsidRPr="005B3A0C">
              <w:rPr>
                <w:szCs w:val="22"/>
              </w:rPr>
              <w:t>, salt bush, black box, snotty gobble (mistletoe)</w:t>
            </w:r>
            <w:r w:rsidRPr="005B3A0C">
              <w:rPr>
                <w:szCs w:val="22"/>
                <w:vertAlign w:val="superscript"/>
              </w:rPr>
              <w:t xml:space="preserve"> i</w:t>
            </w:r>
            <w:r w:rsidRPr="005B3A0C">
              <w:rPr>
                <w:szCs w:val="22"/>
              </w:rPr>
              <w:t>.</w:t>
            </w:r>
          </w:p>
          <w:p w14:paraId="48F1E987" w14:textId="77777777" w:rsidR="009A4676" w:rsidRPr="005B3A0C" w:rsidRDefault="009A4676" w:rsidP="00B823D9">
            <w:pPr>
              <w:rPr>
                <w:szCs w:val="22"/>
              </w:rPr>
            </w:pPr>
            <w:r w:rsidRPr="009A4676">
              <w:rPr>
                <w:rStyle w:val="Heading5Char"/>
                <w:lang w:eastAsia="en-AU"/>
              </w:rPr>
              <w:t>Culgoa and Nebine rivers indicator species</w:t>
            </w:r>
            <w:r w:rsidRPr="005B3A0C">
              <w:rPr>
                <w:rStyle w:val="Heading5Char"/>
              </w:rPr>
              <w:t>:</w:t>
            </w:r>
            <w:r w:rsidRPr="005B3A0C">
              <w:rPr>
                <w:szCs w:val="22"/>
              </w:rPr>
              <w:t xml:space="preserve"> Lignum, water grasses, river redgum, Willbill, black box, coolabah, and snotty gobble (mistletoe)</w:t>
            </w:r>
            <w:r w:rsidRPr="005B3A0C">
              <w:rPr>
                <w:szCs w:val="22"/>
                <w:vertAlign w:val="superscript"/>
              </w:rPr>
              <w:t xml:space="preserve"> i</w:t>
            </w:r>
            <w:r w:rsidRPr="005B3A0C">
              <w:rPr>
                <w:szCs w:val="22"/>
              </w:rPr>
              <w:t>.</w:t>
            </w:r>
          </w:p>
        </w:tc>
      </w:tr>
      <w:tr w:rsidR="009A4676" w:rsidRPr="005B3A0C" w14:paraId="6D75698C" w14:textId="77777777" w:rsidTr="00B823D9">
        <w:tc>
          <w:tcPr>
            <w:tcW w:w="9781" w:type="dxa"/>
            <w:tcBorders>
              <w:top w:val="single" w:sz="4" w:space="0" w:color="auto"/>
              <w:bottom w:val="nil"/>
            </w:tcBorders>
            <w:shd w:val="clear" w:color="auto" w:fill="B6DDE8" w:themeFill="accent5" w:themeFillTint="66"/>
          </w:tcPr>
          <w:p w14:paraId="17FA03ED" w14:textId="77777777" w:rsidR="009A4676" w:rsidRPr="005B3A0C" w:rsidRDefault="009A4676" w:rsidP="00B823D9">
            <w:pPr>
              <w:rPr>
                <w:b/>
                <w:szCs w:val="22"/>
                <w:lang w:val="en-GB"/>
              </w:rPr>
            </w:pPr>
            <w:r w:rsidRPr="005B3A0C">
              <w:rPr>
                <w:b/>
                <w:szCs w:val="22"/>
                <w:lang w:val="en-GB"/>
              </w:rPr>
              <w:t>Native Birds</w:t>
            </w:r>
          </w:p>
        </w:tc>
      </w:tr>
      <w:tr w:rsidR="009A4676" w:rsidRPr="005B3A0C" w14:paraId="42524A7B" w14:textId="77777777" w:rsidTr="00B823D9">
        <w:tc>
          <w:tcPr>
            <w:tcW w:w="9781" w:type="dxa"/>
            <w:tcBorders>
              <w:top w:val="nil"/>
              <w:bottom w:val="single" w:sz="4" w:space="0" w:color="auto"/>
            </w:tcBorders>
          </w:tcPr>
          <w:p w14:paraId="4C5F0084" w14:textId="77777777" w:rsidR="009A4676" w:rsidRPr="005B3A0C" w:rsidRDefault="009A4676" w:rsidP="00B823D9">
            <w:pPr>
              <w:rPr>
                <w:szCs w:val="22"/>
              </w:rPr>
            </w:pPr>
            <w:r w:rsidRPr="009A4676">
              <w:rPr>
                <w:rStyle w:val="Heading5Char"/>
                <w:lang w:eastAsia="en-AU"/>
              </w:rPr>
              <w:t>Upper Condamine indicator species</w:t>
            </w:r>
            <w:r w:rsidRPr="005B3A0C">
              <w:rPr>
                <w:rStyle w:val="Heading5Char"/>
              </w:rPr>
              <w:t>:</w:t>
            </w:r>
            <w:r w:rsidRPr="005B3A0C">
              <w:rPr>
                <w:rFonts w:cs="Arial"/>
                <w:color w:val="222222"/>
                <w:szCs w:val="22"/>
              </w:rPr>
              <w:t xml:space="preserve"> Kookaburra</w:t>
            </w:r>
            <w:r w:rsidRPr="005B3A0C">
              <w:rPr>
                <w:szCs w:val="22"/>
                <w:vertAlign w:val="superscript"/>
              </w:rPr>
              <w:t xml:space="preserve"> i</w:t>
            </w:r>
            <w:r w:rsidRPr="005B3A0C">
              <w:rPr>
                <w:rFonts w:cs="Arial"/>
                <w:color w:val="222222"/>
                <w:szCs w:val="22"/>
              </w:rPr>
              <w:t>, kingfisher, black cockatoo</w:t>
            </w:r>
            <w:r w:rsidRPr="005B3A0C">
              <w:rPr>
                <w:szCs w:val="22"/>
                <w:vertAlign w:val="superscript"/>
              </w:rPr>
              <w:t xml:space="preserve"> i</w:t>
            </w:r>
            <w:r w:rsidRPr="005B3A0C">
              <w:rPr>
                <w:rFonts w:cs="Arial"/>
                <w:color w:val="222222"/>
                <w:szCs w:val="22"/>
              </w:rPr>
              <w:t>, crimson wing, duck, water hen, shag.</w:t>
            </w:r>
          </w:p>
          <w:p w14:paraId="73A3AE14" w14:textId="77777777" w:rsidR="009A4676" w:rsidRPr="005B3A0C" w:rsidRDefault="009A4676" w:rsidP="00B823D9">
            <w:pPr>
              <w:rPr>
                <w:rFonts w:cs="Arial"/>
                <w:color w:val="222222"/>
                <w:szCs w:val="22"/>
              </w:rPr>
            </w:pPr>
            <w:r w:rsidRPr="009A4676">
              <w:rPr>
                <w:rStyle w:val="Heading5Char"/>
                <w:lang w:eastAsia="en-AU"/>
              </w:rPr>
              <w:t>Maranoa -Balonne indicator species</w:t>
            </w:r>
            <w:r w:rsidRPr="005B3A0C">
              <w:rPr>
                <w:rStyle w:val="Heading5Char"/>
              </w:rPr>
              <w:t>:</w:t>
            </w:r>
            <w:r w:rsidRPr="005B3A0C">
              <w:rPr>
                <w:rFonts w:cs="Arial"/>
                <w:color w:val="222222"/>
                <w:szCs w:val="22"/>
              </w:rPr>
              <w:t xml:space="preserve"> Night owl</w:t>
            </w:r>
            <w:r w:rsidRPr="005B3A0C">
              <w:rPr>
                <w:szCs w:val="22"/>
                <w:vertAlign w:val="superscript"/>
              </w:rPr>
              <w:t xml:space="preserve"> i</w:t>
            </w:r>
            <w:r w:rsidRPr="005B3A0C">
              <w:rPr>
                <w:rFonts w:cs="Arial"/>
                <w:color w:val="222222"/>
                <w:szCs w:val="22"/>
              </w:rPr>
              <w:t>, barking owl</w:t>
            </w:r>
            <w:r w:rsidRPr="005B3A0C">
              <w:rPr>
                <w:szCs w:val="22"/>
                <w:vertAlign w:val="superscript"/>
              </w:rPr>
              <w:t>i</w:t>
            </w:r>
            <w:r w:rsidRPr="005B3A0C">
              <w:rPr>
                <w:rFonts w:cs="Arial"/>
                <w:color w:val="222222"/>
                <w:szCs w:val="22"/>
              </w:rPr>
              <w:t>, pelican, eagle</w:t>
            </w:r>
            <w:r w:rsidRPr="005B3A0C">
              <w:rPr>
                <w:szCs w:val="22"/>
                <w:vertAlign w:val="superscript"/>
              </w:rPr>
              <w:t>i</w:t>
            </w:r>
            <w:r w:rsidRPr="005B3A0C">
              <w:rPr>
                <w:rFonts w:cs="Arial"/>
                <w:color w:val="222222"/>
                <w:szCs w:val="22"/>
              </w:rPr>
              <w:t>, black hawk</w:t>
            </w:r>
            <w:r w:rsidRPr="005B3A0C">
              <w:rPr>
                <w:szCs w:val="22"/>
                <w:vertAlign w:val="superscript"/>
              </w:rPr>
              <w:t>i</w:t>
            </w:r>
            <w:r w:rsidRPr="005B3A0C">
              <w:rPr>
                <w:rFonts w:cs="Arial"/>
                <w:color w:val="222222"/>
                <w:szCs w:val="22"/>
              </w:rPr>
              <w:t>, white dove</w:t>
            </w:r>
            <w:r w:rsidRPr="005B3A0C">
              <w:rPr>
                <w:szCs w:val="22"/>
                <w:vertAlign w:val="superscript"/>
              </w:rPr>
              <w:t>i</w:t>
            </w:r>
            <w:r w:rsidRPr="005B3A0C">
              <w:rPr>
                <w:rFonts w:cs="Arial"/>
                <w:color w:val="222222"/>
                <w:szCs w:val="22"/>
              </w:rPr>
              <w:t>, brolga.</w:t>
            </w:r>
          </w:p>
          <w:p w14:paraId="695A2535" w14:textId="77777777" w:rsidR="009A4676" w:rsidRPr="005B3A0C" w:rsidRDefault="009A4676" w:rsidP="00B823D9">
            <w:pPr>
              <w:rPr>
                <w:szCs w:val="22"/>
              </w:rPr>
            </w:pPr>
            <w:r w:rsidRPr="009A4676">
              <w:rPr>
                <w:rStyle w:val="Heading5Char"/>
                <w:lang w:eastAsia="en-AU"/>
              </w:rPr>
              <w:t>Culgoa and Nebine rivers indicator species</w:t>
            </w:r>
            <w:r w:rsidRPr="005B3A0C">
              <w:rPr>
                <w:rStyle w:val="Heading5Char"/>
              </w:rPr>
              <w:t>:</w:t>
            </w:r>
            <w:r w:rsidRPr="005B3A0C">
              <w:rPr>
                <w:rFonts w:cs="Arial"/>
                <w:color w:val="222222"/>
                <w:szCs w:val="22"/>
              </w:rPr>
              <w:t xml:space="preserve"> Duck, pelican, heron, ibis, brolga, bush turkey</w:t>
            </w:r>
            <w:r w:rsidRPr="005B3A0C">
              <w:rPr>
                <w:szCs w:val="22"/>
                <w:vertAlign w:val="superscript"/>
              </w:rPr>
              <w:t>i</w:t>
            </w:r>
            <w:r w:rsidRPr="005B3A0C">
              <w:rPr>
                <w:rFonts w:cs="Arial"/>
                <w:color w:val="222222"/>
                <w:szCs w:val="22"/>
              </w:rPr>
              <w:t>, kingfisher, black duck, wood duck and bustard.</w:t>
            </w:r>
          </w:p>
        </w:tc>
      </w:tr>
      <w:tr w:rsidR="009A4676" w:rsidRPr="005B3A0C" w14:paraId="217ADEBA" w14:textId="77777777" w:rsidTr="00B823D9">
        <w:tc>
          <w:tcPr>
            <w:tcW w:w="9781" w:type="dxa"/>
            <w:tcBorders>
              <w:top w:val="single" w:sz="4" w:space="0" w:color="auto"/>
              <w:bottom w:val="nil"/>
            </w:tcBorders>
            <w:shd w:val="clear" w:color="auto" w:fill="B6DDE8" w:themeFill="accent5" w:themeFillTint="66"/>
          </w:tcPr>
          <w:p w14:paraId="6A001D8F" w14:textId="77777777" w:rsidR="009A4676" w:rsidRPr="005B3A0C" w:rsidRDefault="009A4676" w:rsidP="00B823D9">
            <w:pPr>
              <w:rPr>
                <w:b/>
                <w:szCs w:val="22"/>
                <w:lang w:val="en-GB"/>
              </w:rPr>
            </w:pPr>
            <w:r w:rsidRPr="005B3A0C">
              <w:rPr>
                <w:b/>
                <w:szCs w:val="22"/>
                <w:lang w:val="en-GB"/>
              </w:rPr>
              <w:t>Native Animals</w:t>
            </w:r>
          </w:p>
        </w:tc>
      </w:tr>
      <w:tr w:rsidR="009A4676" w:rsidRPr="005B3A0C" w14:paraId="1EB69B40" w14:textId="77777777" w:rsidTr="00B823D9">
        <w:tc>
          <w:tcPr>
            <w:tcW w:w="9781" w:type="dxa"/>
            <w:tcBorders>
              <w:top w:val="nil"/>
              <w:bottom w:val="single" w:sz="4" w:space="0" w:color="auto"/>
            </w:tcBorders>
          </w:tcPr>
          <w:p w14:paraId="01BF4F01" w14:textId="77777777" w:rsidR="009A4676" w:rsidRPr="005B3A0C" w:rsidRDefault="009A4676" w:rsidP="00B823D9">
            <w:pPr>
              <w:rPr>
                <w:szCs w:val="22"/>
              </w:rPr>
            </w:pPr>
            <w:r w:rsidRPr="009A4676">
              <w:rPr>
                <w:rStyle w:val="Heading5Char"/>
                <w:lang w:eastAsia="en-AU"/>
              </w:rPr>
              <w:t>Upper Condamine indicator species</w:t>
            </w:r>
            <w:r w:rsidRPr="005B3A0C">
              <w:rPr>
                <w:rStyle w:val="Heading5Char"/>
              </w:rPr>
              <w:t>:</w:t>
            </w:r>
            <w:r w:rsidRPr="005B3A0C">
              <w:rPr>
                <w:rFonts w:cs="Arial"/>
                <w:color w:val="222222"/>
                <w:szCs w:val="22"/>
              </w:rPr>
              <w:t xml:space="preserve"> River blackfish, spiny crayfish, cod, yellowbelly, platypus</w:t>
            </w:r>
            <w:r w:rsidRPr="005B3A0C">
              <w:rPr>
                <w:szCs w:val="22"/>
                <w:vertAlign w:val="superscript"/>
              </w:rPr>
              <w:t>i</w:t>
            </w:r>
            <w:r w:rsidRPr="005B3A0C">
              <w:rPr>
                <w:rFonts w:cs="Arial"/>
                <w:color w:val="222222"/>
                <w:szCs w:val="22"/>
              </w:rPr>
              <w:t>, catfish, mussel, crayfish, turtle.</w:t>
            </w:r>
          </w:p>
          <w:p w14:paraId="23468D24" w14:textId="77777777" w:rsidR="009A4676" w:rsidRPr="005B3A0C" w:rsidRDefault="009A4676" w:rsidP="00B823D9">
            <w:pPr>
              <w:rPr>
                <w:rFonts w:cs="Arial"/>
                <w:color w:val="222222"/>
                <w:szCs w:val="22"/>
              </w:rPr>
            </w:pPr>
            <w:r w:rsidRPr="009A4676">
              <w:rPr>
                <w:rStyle w:val="Heading5Char"/>
                <w:bCs/>
                <w:lang w:eastAsia="en-AU"/>
              </w:rPr>
              <w:t>Maranoa -Balonne indicator species</w:t>
            </w:r>
            <w:r w:rsidRPr="009A4676">
              <w:rPr>
                <w:rStyle w:val="Heading5Char"/>
                <w:lang w:eastAsia="en-AU"/>
              </w:rPr>
              <w:t>:</w:t>
            </w:r>
            <w:r w:rsidRPr="005B3A0C">
              <w:rPr>
                <w:rFonts w:cs="Arial"/>
                <w:color w:val="222222"/>
                <w:szCs w:val="22"/>
              </w:rPr>
              <w:t xml:space="preserve"> Tiger snake</w:t>
            </w:r>
            <w:r w:rsidRPr="005B3A0C">
              <w:rPr>
                <w:szCs w:val="22"/>
                <w:vertAlign w:val="superscript"/>
              </w:rPr>
              <w:t xml:space="preserve"> i</w:t>
            </w:r>
            <w:r w:rsidRPr="005B3A0C">
              <w:rPr>
                <w:rFonts w:cs="Arial"/>
                <w:color w:val="222222"/>
                <w:szCs w:val="22"/>
              </w:rPr>
              <w:t>, carpet snake</w:t>
            </w:r>
            <w:r w:rsidRPr="005B3A0C">
              <w:rPr>
                <w:szCs w:val="22"/>
                <w:vertAlign w:val="superscript"/>
              </w:rPr>
              <w:t xml:space="preserve"> i</w:t>
            </w:r>
            <w:r w:rsidRPr="005B3A0C">
              <w:rPr>
                <w:rFonts w:cs="Arial"/>
                <w:color w:val="222222"/>
                <w:szCs w:val="22"/>
              </w:rPr>
              <w:t>, black goanna</w:t>
            </w:r>
            <w:r w:rsidRPr="005B3A0C">
              <w:rPr>
                <w:szCs w:val="22"/>
                <w:vertAlign w:val="superscript"/>
              </w:rPr>
              <w:t xml:space="preserve"> i</w:t>
            </w:r>
            <w:r w:rsidRPr="005B3A0C">
              <w:rPr>
                <w:rFonts w:cs="Arial"/>
                <w:color w:val="222222"/>
                <w:szCs w:val="22"/>
              </w:rPr>
              <w:t>, red kangaroo</w:t>
            </w:r>
            <w:r w:rsidRPr="005B3A0C">
              <w:rPr>
                <w:szCs w:val="22"/>
                <w:vertAlign w:val="superscript"/>
              </w:rPr>
              <w:t xml:space="preserve"> i</w:t>
            </w:r>
            <w:r w:rsidRPr="005B3A0C">
              <w:rPr>
                <w:rFonts w:cs="Arial"/>
                <w:color w:val="222222"/>
                <w:szCs w:val="22"/>
              </w:rPr>
              <w:t>, native bee</w:t>
            </w:r>
            <w:r w:rsidRPr="005B3A0C">
              <w:rPr>
                <w:szCs w:val="22"/>
                <w:vertAlign w:val="superscript"/>
              </w:rPr>
              <w:t xml:space="preserve"> i</w:t>
            </w:r>
            <w:r w:rsidRPr="005B3A0C">
              <w:rPr>
                <w:rFonts w:cs="Arial"/>
                <w:color w:val="222222"/>
                <w:szCs w:val="22"/>
              </w:rPr>
              <w:t>, brown frog, crucifix Frog, yellowbelly, cod.</w:t>
            </w:r>
          </w:p>
          <w:p w14:paraId="64A16543" w14:textId="77777777" w:rsidR="009A4676" w:rsidRPr="005B3A0C" w:rsidRDefault="009A4676" w:rsidP="00B823D9">
            <w:pPr>
              <w:rPr>
                <w:rFonts w:cs="Arial"/>
                <w:color w:val="222222"/>
                <w:szCs w:val="22"/>
              </w:rPr>
            </w:pPr>
            <w:r w:rsidRPr="009A4676">
              <w:rPr>
                <w:rStyle w:val="Heading5Char"/>
                <w:bCs/>
                <w:lang w:eastAsia="en-AU"/>
              </w:rPr>
              <w:t>Culgoa and Nebine rivers indicator species</w:t>
            </w:r>
            <w:r w:rsidRPr="005B3A0C">
              <w:rPr>
                <w:szCs w:val="22"/>
              </w:rPr>
              <w:t>:</w:t>
            </w:r>
            <w:r w:rsidRPr="005B3A0C">
              <w:rPr>
                <w:rFonts w:cs="Arial"/>
                <w:color w:val="222222"/>
                <w:szCs w:val="22"/>
              </w:rPr>
              <w:t xml:space="preserve"> Yellowbelly, booglies, black bream (silver perch), cod, shrimps, mussels, catfish, turtles, water spiders, wallabies</w:t>
            </w:r>
            <w:r w:rsidRPr="005B3A0C">
              <w:rPr>
                <w:szCs w:val="22"/>
                <w:vertAlign w:val="superscript"/>
              </w:rPr>
              <w:t xml:space="preserve"> i</w:t>
            </w:r>
            <w:r w:rsidRPr="005B3A0C">
              <w:rPr>
                <w:rFonts w:cs="Arial"/>
                <w:color w:val="222222"/>
                <w:szCs w:val="22"/>
              </w:rPr>
              <w:t>, goanna</w:t>
            </w:r>
            <w:r w:rsidRPr="005B3A0C">
              <w:rPr>
                <w:szCs w:val="22"/>
                <w:vertAlign w:val="superscript"/>
              </w:rPr>
              <w:t xml:space="preserve"> i</w:t>
            </w:r>
            <w:r w:rsidRPr="005B3A0C">
              <w:rPr>
                <w:rFonts w:cs="Arial"/>
                <w:color w:val="222222"/>
                <w:szCs w:val="22"/>
              </w:rPr>
              <w:t>, emu</w:t>
            </w:r>
            <w:r w:rsidRPr="005B3A0C">
              <w:rPr>
                <w:szCs w:val="22"/>
                <w:vertAlign w:val="superscript"/>
              </w:rPr>
              <w:t xml:space="preserve"> i</w:t>
            </w:r>
            <w:r w:rsidRPr="005B3A0C">
              <w:rPr>
                <w:rFonts w:cs="Arial"/>
                <w:color w:val="222222"/>
                <w:szCs w:val="22"/>
              </w:rPr>
              <w:t xml:space="preserve"> and frogs.</w:t>
            </w:r>
          </w:p>
        </w:tc>
      </w:tr>
      <w:tr w:rsidR="009A4676" w:rsidRPr="005B3A0C" w14:paraId="56EC2522" w14:textId="77777777" w:rsidTr="00B823D9">
        <w:tc>
          <w:tcPr>
            <w:tcW w:w="9781" w:type="dxa"/>
            <w:tcBorders>
              <w:top w:val="single" w:sz="4" w:space="0" w:color="auto"/>
            </w:tcBorders>
            <w:shd w:val="clear" w:color="auto" w:fill="B6DDE8" w:themeFill="accent5" w:themeFillTint="66"/>
          </w:tcPr>
          <w:p w14:paraId="5E6EACE8" w14:textId="77777777" w:rsidR="009A4676" w:rsidRPr="005B3A0C" w:rsidRDefault="009A4676" w:rsidP="00B823D9">
            <w:pPr>
              <w:rPr>
                <w:b/>
                <w:szCs w:val="22"/>
                <w:lang w:val="en-GB"/>
              </w:rPr>
            </w:pPr>
            <w:r w:rsidRPr="005B3A0C">
              <w:rPr>
                <w:b/>
                <w:szCs w:val="22"/>
                <w:lang w:val="en-GB"/>
              </w:rPr>
              <w:t>Connecting with Country</w:t>
            </w:r>
          </w:p>
        </w:tc>
      </w:tr>
      <w:tr w:rsidR="009A4676" w:rsidRPr="005B3A0C" w14:paraId="1F53C640" w14:textId="77777777" w:rsidTr="006E3E57">
        <w:tc>
          <w:tcPr>
            <w:tcW w:w="9781" w:type="dxa"/>
            <w:tcBorders>
              <w:bottom w:val="single" w:sz="12" w:space="0" w:color="auto"/>
            </w:tcBorders>
          </w:tcPr>
          <w:p w14:paraId="3C5975EC" w14:textId="77777777" w:rsidR="009A4676" w:rsidRPr="005B3A0C" w:rsidRDefault="009A4676" w:rsidP="00B823D9">
            <w:pPr>
              <w:rPr>
                <w:szCs w:val="22"/>
              </w:rPr>
            </w:pPr>
            <w:r w:rsidRPr="009A4676">
              <w:rPr>
                <w:rStyle w:val="Heading5Char"/>
                <w:lang w:eastAsia="en-AU"/>
              </w:rPr>
              <w:t>Upper Condamine:</w:t>
            </w:r>
            <w:r w:rsidRPr="005B3A0C">
              <w:rPr>
                <w:szCs w:val="22"/>
              </w:rPr>
              <w:t xml:space="preserve"> </w:t>
            </w:r>
            <w:r w:rsidRPr="005B3A0C">
              <w:rPr>
                <w:rFonts w:eastAsia="ArialMT"/>
                <w:szCs w:val="22"/>
              </w:rPr>
              <w:t>Water quality to ensure downstream river health.</w:t>
            </w:r>
          </w:p>
          <w:p w14:paraId="4F0DC024" w14:textId="77777777" w:rsidR="009A4676" w:rsidRPr="005B3A0C" w:rsidRDefault="009A4676" w:rsidP="00B823D9">
            <w:pPr>
              <w:rPr>
                <w:rFonts w:eastAsia="ArialMT"/>
                <w:szCs w:val="22"/>
              </w:rPr>
            </w:pPr>
            <w:r w:rsidRPr="009A4676">
              <w:rPr>
                <w:rStyle w:val="Heading5Char"/>
                <w:bCs/>
                <w:lang w:eastAsia="en-AU"/>
              </w:rPr>
              <w:t>Maranoa -Balonne:</w:t>
            </w:r>
            <w:r w:rsidRPr="005B3A0C">
              <w:rPr>
                <w:rFonts w:eastAsia="ArialMT"/>
                <w:szCs w:val="22"/>
              </w:rPr>
              <w:t xml:space="preserve"> Ceremonies based around water.</w:t>
            </w:r>
          </w:p>
          <w:p w14:paraId="5D910403" w14:textId="77777777" w:rsidR="009A4676" w:rsidRPr="005B3A0C" w:rsidRDefault="009A4676" w:rsidP="00B823D9">
            <w:pPr>
              <w:rPr>
                <w:szCs w:val="22"/>
              </w:rPr>
            </w:pPr>
            <w:r w:rsidRPr="009A4676">
              <w:rPr>
                <w:rStyle w:val="Heading5Char"/>
                <w:lang w:eastAsia="en-AU"/>
              </w:rPr>
              <w:t>Culgoa and Nebine rivers</w:t>
            </w:r>
            <w:r w:rsidRPr="005B3A0C">
              <w:rPr>
                <w:szCs w:val="22"/>
              </w:rPr>
              <w:t>: Increased populations of native birds, as they are a food source and totemic species, which are important for Gatherings.</w:t>
            </w:r>
          </w:p>
        </w:tc>
      </w:tr>
    </w:tbl>
    <w:p w14:paraId="6BE952F3" w14:textId="77777777" w:rsidR="009A4676" w:rsidRPr="001E6073" w:rsidRDefault="009A4676" w:rsidP="009A4676">
      <w:pPr>
        <w:rPr>
          <w:sz w:val="20"/>
          <w:lang w:val="en-GB"/>
        </w:rPr>
      </w:pPr>
      <w:r w:rsidRPr="00B95704">
        <w:rPr>
          <w:vertAlign w:val="superscript"/>
        </w:rPr>
        <w:t>i</w:t>
      </w:r>
      <w:r w:rsidRPr="001E6073">
        <w:rPr>
          <w:sz w:val="20"/>
          <w:lang w:val="en-GB"/>
        </w:rPr>
        <w:t xml:space="preserve"> </w:t>
      </w:r>
      <w:r w:rsidRPr="001E6073">
        <w:rPr>
          <w:sz w:val="20"/>
        </w:rPr>
        <w:t>Water for the environment targeting</w:t>
      </w:r>
      <w:r>
        <w:rPr>
          <w:sz w:val="20"/>
        </w:rPr>
        <w:t xml:space="preserve"> other</w:t>
      </w:r>
      <w:r w:rsidRPr="001E6073">
        <w:rPr>
          <w:sz w:val="20"/>
        </w:rPr>
        <w:t xml:space="preserve"> environmental outcomes may</w:t>
      </w:r>
      <w:r>
        <w:rPr>
          <w:sz w:val="20"/>
        </w:rPr>
        <w:t xml:space="preserve"> influence this species or objective</w:t>
      </w:r>
    </w:p>
    <w:p w14:paraId="0835F47B" w14:textId="6894E13F" w:rsidR="009A4676" w:rsidRPr="009A4676" w:rsidRDefault="009A4676" w:rsidP="009A4676">
      <w:pPr>
        <w:spacing w:after="0"/>
      </w:pPr>
    </w:p>
    <w:bookmarkEnd w:id="9"/>
    <w:bookmarkEnd w:id="7"/>
    <w:p w14:paraId="6B541E3F" w14:textId="77777777" w:rsidR="00D02D10" w:rsidRPr="00365FE2" w:rsidRDefault="00D02D10" w:rsidP="00E03258">
      <w:pPr>
        <w:pStyle w:val="Heading3"/>
      </w:pPr>
      <w:r w:rsidRPr="00365FE2">
        <w:t>Recent conditions and seasonal outlook</w:t>
      </w:r>
    </w:p>
    <w:p w14:paraId="15195897" w14:textId="77777777" w:rsidR="00D02D10" w:rsidRPr="00365FE2" w:rsidRDefault="00D02D10" w:rsidP="00D02D10">
      <w:pPr>
        <w:pStyle w:val="Heading4"/>
      </w:pPr>
      <w:r w:rsidRPr="00365FE2">
        <w:t xml:space="preserve">Recent conditions </w:t>
      </w:r>
      <w:r w:rsidRPr="00237831">
        <w:t>and environmental water use</w:t>
      </w:r>
    </w:p>
    <w:p w14:paraId="08685C85" w14:textId="382303C7" w:rsidR="00D02D10" w:rsidRDefault="00D02D10" w:rsidP="00D02D10">
      <w:r w:rsidRPr="002F23F1">
        <w:t xml:space="preserve">The </w:t>
      </w:r>
      <w:r>
        <w:t>Condamine</w:t>
      </w:r>
      <w:r w:rsidR="00E03258">
        <w:t>–</w:t>
      </w:r>
      <w:r>
        <w:t>Balonne system</w:t>
      </w:r>
      <w:r w:rsidRPr="002F23F1">
        <w:t xml:space="preserve"> experienced very hot and dry conditions </w:t>
      </w:r>
      <w:r>
        <w:t xml:space="preserve">between July </w:t>
      </w:r>
      <w:r w:rsidRPr="002F23F1">
        <w:t>2017</w:t>
      </w:r>
      <w:r>
        <w:t xml:space="preserve"> and January</w:t>
      </w:r>
      <w:r w:rsidR="003154EB">
        <w:t> </w:t>
      </w:r>
      <w:r>
        <w:t>2020</w:t>
      </w:r>
      <w:r w:rsidRPr="002F23F1">
        <w:t xml:space="preserve">, with rainfall being well below average, and </w:t>
      </w:r>
      <w:r>
        <w:t xml:space="preserve">maximum temperatures </w:t>
      </w:r>
      <w:r w:rsidR="00E03258">
        <w:t xml:space="preserve">the highest on record </w:t>
      </w:r>
      <w:r>
        <w:t>for some months</w:t>
      </w:r>
      <w:r w:rsidR="00E03258">
        <w:t xml:space="preserve">. </w:t>
      </w:r>
      <w:r>
        <w:t>F</w:t>
      </w:r>
      <w:r w:rsidRPr="002F23F1">
        <w:t xml:space="preserve">lows </w:t>
      </w:r>
      <w:r>
        <w:t>pass</w:t>
      </w:r>
      <w:r w:rsidR="00E03258">
        <w:t>ed</w:t>
      </w:r>
      <w:r>
        <w:t xml:space="preserve"> St George </w:t>
      </w:r>
      <w:r w:rsidRPr="002F23F1">
        <w:t>have</w:t>
      </w:r>
      <w:r>
        <w:t xml:space="preserve"> also </w:t>
      </w:r>
      <w:r w:rsidRPr="002F23F1">
        <w:t>been extremely low during this time</w:t>
      </w:r>
      <w:r>
        <w:t xml:space="preserve">.  </w:t>
      </w:r>
    </w:p>
    <w:p w14:paraId="26B20E9E" w14:textId="4DEFE184" w:rsidR="00D02D10" w:rsidRDefault="00D02D10" w:rsidP="00D02D10">
      <w:r>
        <w:t>These factors resulted in some downstream sections of the Narran River not flowing for over 650 days</w:t>
      </w:r>
      <w:r w:rsidR="00E03258">
        <w:t>, and the Culgoa River for</w:t>
      </w:r>
      <w:r>
        <w:t xml:space="preserve"> 390 days. These long periods of low or no flow saw a reduction in the number and quality of refuge pools within the river channels of the Lower Balonne floodplain. The reduction in drought refuges is likely to have had a significant impact on the aquatic communities of the Culgoa, Narran and Birrie/Bokhara River systems. </w:t>
      </w:r>
    </w:p>
    <w:p w14:paraId="17E79500" w14:textId="596A4787" w:rsidR="00D02D10" w:rsidRDefault="00D02D10" w:rsidP="00D02D10">
      <w:r>
        <w:t>During late summer</w:t>
      </w:r>
      <w:r w:rsidR="00C410CD">
        <w:t xml:space="preserve"> and</w:t>
      </w:r>
      <w:r>
        <w:t xml:space="preserve"> early autumn 2020</w:t>
      </w:r>
      <w:r w:rsidR="00C410CD">
        <w:t>,</w:t>
      </w:r>
      <w:r>
        <w:t xml:space="preserve"> widespread rainfall occurred across most of the Condamine</w:t>
      </w:r>
      <w:r w:rsidR="003154EB">
        <w:noBreakHyphen/>
      </w:r>
      <w:r>
        <w:t>Balonne system</w:t>
      </w:r>
      <w:r w:rsidR="00C410CD">
        <w:t>. This saw</w:t>
      </w:r>
      <w:r>
        <w:t xml:space="preserve"> most parts of the system receive around 100 mm of rain. During this period</w:t>
      </w:r>
      <w:r w:rsidR="00D1275B">
        <w:t>,</w:t>
      </w:r>
      <w:r>
        <w:t xml:space="preserve"> a series intense summer storms saw 200</w:t>
      </w:r>
      <w:r w:rsidR="003154EB">
        <w:t>-</w:t>
      </w:r>
      <w:r>
        <w:t xml:space="preserve">350 mm of rain fall across the mid and upper sections of the Condamine and Maranoa catchments.  </w:t>
      </w:r>
    </w:p>
    <w:p w14:paraId="4B077F7D" w14:textId="1049716E" w:rsidR="00D02D10" w:rsidRPr="009F6E94" w:rsidRDefault="00D02D10" w:rsidP="00D02D10">
      <w:r>
        <w:t>The rainfall generated significant flows particularly in the Condamine and Maranoa Rivers with flows at St</w:t>
      </w:r>
      <w:r w:rsidR="009F6E94">
        <w:t> </w:t>
      </w:r>
      <w:r>
        <w:t>George peaking at around 190</w:t>
      </w:r>
      <w:r w:rsidR="00C410CD">
        <w:t xml:space="preserve"> </w:t>
      </w:r>
      <w:r>
        <w:t>000 ML/d. The flows recorded at St George passed the full length of the Lower Balonne system filling the three lakes within the Narran Lake Nature Reserve</w:t>
      </w:r>
      <w:r w:rsidR="00C410CD">
        <w:t>. It also</w:t>
      </w:r>
      <w:r>
        <w:t xml:space="preserve"> connect</w:t>
      </w:r>
      <w:r w:rsidR="00C410CD">
        <w:t>ed to</w:t>
      </w:r>
      <w:r>
        <w:t xml:space="preserve"> the Barwon and Darling </w:t>
      </w:r>
      <w:r w:rsidR="003A6E01">
        <w:t>r</w:t>
      </w:r>
      <w:r>
        <w:t xml:space="preserve">ivers. Flow rates and total flow volumes for various parts of the Lower Balonne network are </w:t>
      </w:r>
      <w:r w:rsidRPr="009F6E94">
        <w:t xml:space="preserve">shown </w:t>
      </w:r>
      <w:r w:rsidR="003A6E01" w:rsidRPr="009F6E94">
        <w:t xml:space="preserve">in </w:t>
      </w:r>
      <w:r w:rsidR="009F6E94" w:rsidRPr="009F6E94">
        <w:fldChar w:fldCharType="begin"/>
      </w:r>
      <w:r w:rsidR="009F6E94" w:rsidRPr="009F6E94">
        <w:instrText xml:space="preserve"> REF _Ref43973031 \h </w:instrText>
      </w:r>
      <w:r w:rsidR="009F6E94">
        <w:instrText xml:space="preserve"> \* MERGEFORMAT </w:instrText>
      </w:r>
      <w:r w:rsidR="009F6E94" w:rsidRPr="009F6E94">
        <w:fldChar w:fldCharType="separate"/>
      </w:r>
      <w:r w:rsidR="00B76D86" w:rsidRPr="00B76D86">
        <w:t>Table 2</w:t>
      </w:r>
      <w:r w:rsidR="009F6E94" w:rsidRPr="009F6E94">
        <w:fldChar w:fldCharType="end"/>
      </w:r>
      <w:r w:rsidRPr="009F6E94">
        <w:t>.</w:t>
      </w:r>
    </w:p>
    <w:p w14:paraId="0B7D42D8" w14:textId="073F5D6F" w:rsidR="003A6E01" w:rsidRPr="003A6E01" w:rsidRDefault="006E3E57" w:rsidP="006E3E57">
      <w:bookmarkStart w:id="11" w:name="_Ref43973031"/>
      <w:r w:rsidRPr="006E3E57">
        <w:rPr>
          <w:b/>
        </w:rPr>
        <w:t xml:space="preserve">Table </w:t>
      </w:r>
      <w:r w:rsidRPr="006E3E57">
        <w:rPr>
          <w:b/>
        </w:rPr>
        <w:fldChar w:fldCharType="begin"/>
      </w:r>
      <w:r w:rsidRPr="006E3E57">
        <w:rPr>
          <w:b/>
        </w:rPr>
        <w:instrText xml:space="preserve"> SEQ Table \* ARABIC </w:instrText>
      </w:r>
      <w:r w:rsidRPr="006E3E57">
        <w:rPr>
          <w:b/>
        </w:rPr>
        <w:fldChar w:fldCharType="separate"/>
      </w:r>
      <w:r w:rsidR="00B76D86">
        <w:rPr>
          <w:b/>
          <w:noProof/>
        </w:rPr>
        <w:t>2</w:t>
      </w:r>
      <w:r w:rsidRPr="006E3E57">
        <w:rPr>
          <w:b/>
        </w:rPr>
        <w:fldChar w:fldCharType="end"/>
      </w:r>
      <w:bookmarkEnd w:id="11"/>
      <w:r>
        <w:t>:</w:t>
      </w:r>
      <w:r w:rsidR="003A6E01">
        <w:t xml:space="preserve"> </w:t>
      </w:r>
      <w:r w:rsidR="00FC0615">
        <w:t>Maximum flow rate, duration and total flow volume at key flow gauges across the Lower Balonne distributaries</w:t>
      </w:r>
    </w:p>
    <w:tbl>
      <w:tblPr>
        <w:tblStyle w:val="TableGrid"/>
        <w:tblW w:w="9634" w:type="dxa"/>
        <w:tblLook w:val="04A0" w:firstRow="1" w:lastRow="0" w:firstColumn="1" w:lastColumn="0" w:noHBand="0" w:noVBand="1"/>
      </w:tblPr>
      <w:tblGrid>
        <w:gridCol w:w="1809"/>
        <w:gridCol w:w="3998"/>
        <w:gridCol w:w="1275"/>
        <w:gridCol w:w="1276"/>
        <w:gridCol w:w="1276"/>
      </w:tblGrid>
      <w:tr w:rsidR="00FC0615" w14:paraId="3B7F773E" w14:textId="77777777" w:rsidTr="00377753">
        <w:trPr>
          <w:cnfStyle w:val="100000000000" w:firstRow="1" w:lastRow="0" w:firstColumn="0" w:lastColumn="0" w:oddVBand="0" w:evenVBand="0" w:oddHBand="0" w:evenHBand="0" w:firstRowFirstColumn="0" w:firstRowLastColumn="0" w:lastRowFirstColumn="0" w:lastRowLastColumn="0"/>
        </w:trPr>
        <w:tc>
          <w:tcPr>
            <w:tcW w:w="1809" w:type="dxa"/>
            <w:shd w:val="clear" w:color="auto" w:fill="B6DDE8" w:themeFill="accent5" w:themeFillTint="66"/>
            <w:vAlign w:val="center"/>
          </w:tcPr>
          <w:p w14:paraId="79B2ADE8" w14:textId="77777777" w:rsidR="00FC0615" w:rsidRPr="006A5E10" w:rsidRDefault="00FC0615" w:rsidP="00FC0615">
            <w:pPr>
              <w:rPr>
                <w:b/>
                <w:bCs/>
              </w:rPr>
            </w:pPr>
            <w:r w:rsidRPr="006A5E10">
              <w:rPr>
                <w:b/>
                <w:bCs/>
              </w:rPr>
              <w:t>Site</w:t>
            </w:r>
          </w:p>
        </w:tc>
        <w:tc>
          <w:tcPr>
            <w:tcW w:w="3998" w:type="dxa"/>
            <w:shd w:val="clear" w:color="auto" w:fill="B6DDE8" w:themeFill="accent5" w:themeFillTint="66"/>
            <w:vAlign w:val="center"/>
          </w:tcPr>
          <w:p w14:paraId="56C692C5" w14:textId="77777777" w:rsidR="00FC0615" w:rsidRPr="006A5E10" w:rsidRDefault="00FC0615" w:rsidP="00FC0615">
            <w:pPr>
              <w:rPr>
                <w:b/>
                <w:bCs/>
              </w:rPr>
            </w:pPr>
            <w:r w:rsidRPr="006A5E10">
              <w:rPr>
                <w:b/>
                <w:bCs/>
              </w:rPr>
              <w:t>Description</w:t>
            </w:r>
          </w:p>
        </w:tc>
        <w:tc>
          <w:tcPr>
            <w:tcW w:w="1275" w:type="dxa"/>
            <w:shd w:val="clear" w:color="auto" w:fill="B6DDE8" w:themeFill="accent5" w:themeFillTint="66"/>
          </w:tcPr>
          <w:p w14:paraId="2FD30EE8" w14:textId="799E6B2D" w:rsidR="00FC0615" w:rsidRPr="006A5E10" w:rsidRDefault="00FC0615" w:rsidP="00FC0615">
            <w:pPr>
              <w:jc w:val="center"/>
              <w:rPr>
                <w:b/>
                <w:bCs/>
              </w:rPr>
            </w:pPr>
            <w:r w:rsidRPr="006A5E10">
              <w:rPr>
                <w:b/>
                <w:bCs/>
              </w:rPr>
              <w:t>Maximum Flow Rate (ML/d)</w:t>
            </w:r>
          </w:p>
        </w:tc>
        <w:tc>
          <w:tcPr>
            <w:tcW w:w="1276" w:type="dxa"/>
            <w:shd w:val="clear" w:color="auto" w:fill="B6DDE8" w:themeFill="accent5" w:themeFillTint="66"/>
          </w:tcPr>
          <w:p w14:paraId="1AF96237" w14:textId="2878B5AD" w:rsidR="00FC0615" w:rsidRPr="006A5E10" w:rsidRDefault="00FC0615" w:rsidP="00FC0615">
            <w:pPr>
              <w:jc w:val="center"/>
              <w:rPr>
                <w:b/>
                <w:bCs/>
              </w:rPr>
            </w:pPr>
            <w:r w:rsidRPr="006A5E10">
              <w:rPr>
                <w:b/>
                <w:bCs/>
              </w:rPr>
              <w:t>Flow Duration (Days)</w:t>
            </w:r>
          </w:p>
        </w:tc>
        <w:tc>
          <w:tcPr>
            <w:tcW w:w="1276" w:type="dxa"/>
            <w:shd w:val="clear" w:color="auto" w:fill="B6DDE8" w:themeFill="accent5" w:themeFillTint="66"/>
          </w:tcPr>
          <w:p w14:paraId="78AA6206" w14:textId="77777777" w:rsidR="00FC0615" w:rsidRPr="006A5E10" w:rsidRDefault="00FC0615" w:rsidP="00FC0615">
            <w:pPr>
              <w:jc w:val="center"/>
              <w:rPr>
                <w:b/>
                <w:bCs/>
              </w:rPr>
            </w:pPr>
            <w:r w:rsidRPr="006A5E10">
              <w:rPr>
                <w:b/>
                <w:bCs/>
              </w:rPr>
              <w:t>Total Flow Volume (</w:t>
            </w:r>
            <w:r>
              <w:rPr>
                <w:b/>
                <w:bCs/>
              </w:rPr>
              <w:t>M</w:t>
            </w:r>
            <w:r w:rsidRPr="006A5E10">
              <w:rPr>
                <w:b/>
                <w:bCs/>
              </w:rPr>
              <w:t>L)</w:t>
            </w:r>
          </w:p>
        </w:tc>
      </w:tr>
      <w:tr w:rsidR="00FC0615" w14:paraId="7F02E1E0" w14:textId="77777777" w:rsidTr="00377753">
        <w:trPr>
          <w:cnfStyle w:val="000000100000" w:firstRow="0" w:lastRow="0" w:firstColumn="0" w:lastColumn="0" w:oddVBand="0" w:evenVBand="0" w:oddHBand="1" w:evenHBand="0" w:firstRowFirstColumn="0" w:firstRowLastColumn="0" w:lastRowFirstColumn="0" w:lastRowLastColumn="0"/>
        </w:trPr>
        <w:tc>
          <w:tcPr>
            <w:tcW w:w="1809" w:type="dxa"/>
            <w:vAlign w:val="center"/>
          </w:tcPr>
          <w:p w14:paraId="240E5121" w14:textId="77777777" w:rsidR="00FC0615" w:rsidRDefault="00FC0615" w:rsidP="00FC0615">
            <w:r>
              <w:t xml:space="preserve">Wilby Wilby (Narran River) </w:t>
            </w:r>
          </w:p>
        </w:tc>
        <w:tc>
          <w:tcPr>
            <w:tcW w:w="3998" w:type="dxa"/>
            <w:vAlign w:val="center"/>
          </w:tcPr>
          <w:p w14:paraId="544B1D07" w14:textId="77777777" w:rsidR="00FC0615" w:rsidRDefault="00FC0615" w:rsidP="00FC0615">
            <w:r>
              <w:t xml:space="preserve">Located mid-way between the Queensland/NSW border and the </w:t>
            </w:r>
            <w:bookmarkStart w:id="12" w:name="_Hlk40427137"/>
            <w:r>
              <w:t>Narran Lake Nature Reserve</w:t>
            </w:r>
            <w:bookmarkEnd w:id="12"/>
          </w:p>
        </w:tc>
        <w:tc>
          <w:tcPr>
            <w:tcW w:w="1275" w:type="dxa"/>
            <w:vAlign w:val="center"/>
          </w:tcPr>
          <w:p w14:paraId="59BBBD0D" w14:textId="4D828F17" w:rsidR="00FC0615" w:rsidRDefault="00FC0615" w:rsidP="00FC0615">
            <w:pPr>
              <w:jc w:val="center"/>
            </w:pPr>
            <w:r>
              <w:t>5 700</w:t>
            </w:r>
          </w:p>
        </w:tc>
        <w:tc>
          <w:tcPr>
            <w:tcW w:w="1276" w:type="dxa"/>
            <w:vAlign w:val="center"/>
          </w:tcPr>
          <w:p w14:paraId="60A57EAA" w14:textId="528D1101" w:rsidR="00FC0615" w:rsidRDefault="00FC0615" w:rsidP="00FC0615">
            <w:pPr>
              <w:jc w:val="center"/>
            </w:pPr>
            <w:r>
              <w:t xml:space="preserve">~55 </w:t>
            </w:r>
          </w:p>
        </w:tc>
        <w:tc>
          <w:tcPr>
            <w:tcW w:w="1276" w:type="dxa"/>
            <w:vAlign w:val="center"/>
          </w:tcPr>
          <w:p w14:paraId="3F2EBC84" w14:textId="5B6AE9B8" w:rsidR="00FC0615" w:rsidRDefault="00FC0615" w:rsidP="00FC0615">
            <w:pPr>
              <w:jc w:val="center"/>
            </w:pPr>
            <w:r>
              <w:t>89 000</w:t>
            </w:r>
          </w:p>
        </w:tc>
      </w:tr>
      <w:tr w:rsidR="00FC0615" w14:paraId="5785AFE1" w14:textId="77777777" w:rsidTr="00377753">
        <w:trPr>
          <w:cnfStyle w:val="000000010000" w:firstRow="0" w:lastRow="0" w:firstColumn="0" w:lastColumn="0" w:oddVBand="0" w:evenVBand="0" w:oddHBand="0" w:evenHBand="1" w:firstRowFirstColumn="0" w:firstRowLastColumn="0" w:lastRowFirstColumn="0" w:lastRowLastColumn="0"/>
        </w:trPr>
        <w:tc>
          <w:tcPr>
            <w:tcW w:w="1809" w:type="dxa"/>
            <w:vAlign w:val="center"/>
          </w:tcPr>
          <w:p w14:paraId="2CA04AFB" w14:textId="77777777" w:rsidR="00FC0615" w:rsidRDefault="00FC0615" w:rsidP="00FC0615">
            <w:r>
              <w:t>Narran Park (Narran River)</w:t>
            </w:r>
          </w:p>
        </w:tc>
        <w:tc>
          <w:tcPr>
            <w:tcW w:w="3998" w:type="dxa"/>
            <w:vAlign w:val="center"/>
          </w:tcPr>
          <w:p w14:paraId="1C695BB9" w14:textId="77777777" w:rsidR="00FC0615" w:rsidRDefault="00FC0615" w:rsidP="00FC0615">
            <w:r>
              <w:t xml:space="preserve">Located on the western boundary of the Narran Lake Nature Reserve </w:t>
            </w:r>
          </w:p>
        </w:tc>
        <w:tc>
          <w:tcPr>
            <w:tcW w:w="1275" w:type="dxa"/>
            <w:vAlign w:val="center"/>
          </w:tcPr>
          <w:p w14:paraId="32515E2E" w14:textId="24B83502" w:rsidR="00FC0615" w:rsidRDefault="00FC0615" w:rsidP="00FC0615">
            <w:pPr>
              <w:jc w:val="center"/>
            </w:pPr>
            <w:r>
              <w:t>3 300</w:t>
            </w:r>
          </w:p>
        </w:tc>
        <w:tc>
          <w:tcPr>
            <w:tcW w:w="1276" w:type="dxa"/>
            <w:vAlign w:val="center"/>
          </w:tcPr>
          <w:p w14:paraId="10F08833" w14:textId="2BEBE14E" w:rsidR="00FC0615" w:rsidRDefault="00FC0615" w:rsidP="00FC0615">
            <w:pPr>
              <w:jc w:val="center"/>
            </w:pPr>
            <w:r>
              <w:t xml:space="preserve">~55 </w:t>
            </w:r>
          </w:p>
        </w:tc>
        <w:tc>
          <w:tcPr>
            <w:tcW w:w="1276" w:type="dxa"/>
            <w:vAlign w:val="center"/>
          </w:tcPr>
          <w:p w14:paraId="5075F004" w14:textId="042D7FC0" w:rsidR="00FC0615" w:rsidRDefault="00FC0615" w:rsidP="00FC0615">
            <w:pPr>
              <w:jc w:val="center"/>
            </w:pPr>
            <w:r>
              <w:t>61 000</w:t>
            </w:r>
          </w:p>
        </w:tc>
      </w:tr>
      <w:tr w:rsidR="00FC0615" w14:paraId="301432A4" w14:textId="77777777" w:rsidTr="00377753">
        <w:trPr>
          <w:cnfStyle w:val="000000100000" w:firstRow="0" w:lastRow="0" w:firstColumn="0" w:lastColumn="0" w:oddVBand="0" w:evenVBand="0" w:oddHBand="1" w:evenHBand="0" w:firstRowFirstColumn="0" w:firstRowLastColumn="0" w:lastRowFirstColumn="0" w:lastRowLastColumn="0"/>
        </w:trPr>
        <w:tc>
          <w:tcPr>
            <w:tcW w:w="1809" w:type="dxa"/>
            <w:vAlign w:val="center"/>
          </w:tcPr>
          <w:p w14:paraId="3EB93031" w14:textId="77777777" w:rsidR="00FC0615" w:rsidRDefault="00FC0615" w:rsidP="00FC0615">
            <w:pPr>
              <w:spacing w:after="0"/>
            </w:pPr>
            <w:r>
              <w:t xml:space="preserve">Brenda </w:t>
            </w:r>
          </w:p>
          <w:p w14:paraId="617A9F64" w14:textId="77777777" w:rsidR="00FC0615" w:rsidRDefault="00FC0615" w:rsidP="00FC0615">
            <w:r>
              <w:t>(Culgoa River)</w:t>
            </w:r>
          </w:p>
        </w:tc>
        <w:tc>
          <w:tcPr>
            <w:tcW w:w="3998" w:type="dxa"/>
            <w:vAlign w:val="center"/>
          </w:tcPr>
          <w:p w14:paraId="3841A621" w14:textId="77777777" w:rsidR="00FC0615" w:rsidRDefault="00FC0615" w:rsidP="00FC0615">
            <w:r>
              <w:t xml:space="preserve">Located near the </w:t>
            </w:r>
            <w:r w:rsidRPr="00EA50A1">
              <w:t>Queensland/NSW border</w:t>
            </w:r>
          </w:p>
        </w:tc>
        <w:tc>
          <w:tcPr>
            <w:tcW w:w="1275" w:type="dxa"/>
            <w:vAlign w:val="center"/>
          </w:tcPr>
          <w:p w14:paraId="5E7C5095" w14:textId="49D6446D" w:rsidR="00FC0615" w:rsidRDefault="00FC0615" w:rsidP="00FC0615">
            <w:pPr>
              <w:jc w:val="center"/>
            </w:pPr>
            <w:r>
              <w:t>14 000</w:t>
            </w:r>
          </w:p>
        </w:tc>
        <w:tc>
          <w:tcPr>
            <w:tcW w:w="1276" w:type="dxa"/>
            <w:vAlign w:val="center"/>
          </w:tcPr>
          <w:p w14:paraId="498F21EB" w14:textId="77E7D122" w:rsidR="00FC0615" w:rsidRDefault="00FC0615" w:rsidP="00FC0615">
            <w:pPr>
              <w:jc w:val="center"/>
            </w:pPr>
            <w:r>
              <w:t xml:space="preserve">&gt;80 </w:t>
            </w:r>
          </w:p>
        </w:tc>
        <w:tc>
          <w:tcPr>
            <w:tcW w:w="1276" w:type="dxa"/>
            <w:vAlign w:val="center"/>
          </w:tcPr>
          <w:p w14:paraId="2C220485" w14:textId="41DA2042" w:rsidR="00FC0615" w:rsidRDefault="00FC0615" w:rsidP="00FC0615">
            <w:pPr>
              <w:jc w:val="center"/>
            </w:pPr>
            <w:r>
              <w:t>174 000</w:t>
            </w:r>
          </w:p>
        </w:tc>
      </w:tr>
      <w:tr w:rsidR="00FC0615" w14:paraId="4E707E6D" w14:textId="77777777" w:rsidTr="00377753">
        <w:trPr>
          <w:cnfStyle w:val="000000010000" w:firstRow="0" w:lastRow="0" w:firstColumn="0" w:lastColumn="0" w:oddVBand="0" w:evenVBand="0" w:oddHBand="0" w:evenHBand="1" w:firstRowFirstColumn="0" w:firstRowLastColumn="0" w:lastRowFirstColumn="0" w:lastRowLastColumn="0"/>
        </w:trPr>
        <w:tc>
          <w:tcPr>
            <w:tcW w:w="1809" w:type="dxa"/>
            <w:vAlign w:val="center"/>
          </w:tcPr>
          <w:p w14:paraId="11E78CA1" w14:textId="77777777" w:rsidR="00FC0615" w:rsidRDefault="00FC0615" w:rsidP="00FC0615">
            <w:r>
              <w:t>Downstream of Collerina (Culgoa River)</w:t>
            </w:r>
          </w:p>
        </w:tc>
        <w:tc>
          <w:tcPr>
            <w:tcW w:w="3998" w:type="dxa"/>
            <w:vAlign w:val="center"/>
          </w:tcPr>
          <w:p w14:paraId="7B0AC82A" w14:textId="77777777" w:rsidR="00FC0615" w:rsidRDefault="00FC0615" w:rsidP="00FC0615">
            <w:r>
              <w:t xml:space="preserve">Downstream of where Nebine and Birrie systems connect to the Culgoa River.  The most downstream gauge </w:t>
            </w:r>
          </w:p>
        </w:tc>
        <w:tc>
          <w:tcPr>
            <w:tcW w:w="1275" w:type="dxa"/>
            <w:vAlign w:val="center"/>
          </w:tcPr>
          <w:p w14:paraId="19BB49D1" w14:textId="3C0BD401" w:rsidR="00FC0615" w:rsidRDefault="00FC0615" w:rsidP="00FC0615">
            <w:pPr>
              <w:jc w:val="center"/>
            </w:pPr>
            <w:r>
              <w:t>8 800</w:t>
            </w:r>
          </w:p>
        </w:tc>
        <w:tc>
          <w:tcPr>
            <w:tcW w:w="1276" w:type="dxa"/>
            <w:vAlign w:val="center"/>
          </w:tcPr>
          <w:p w14:paraId="67ADDEA1" w14:textId="29254999" w:rsidR="00FC0615" w:rsidRDefault="00FC0615" w:rsidP="00FC0615">
            <w:pPr>
              <w:jc w:val="center"/>
            </w:pPr>
            <w:r>
              <w:t>&gt;85</w:t>
            </w:r>
          </w:p>
        </w:tc>
        <w:tc>
          <w:tcPr>
            <w:tcW w:w="1276" w:type="dxa"/>
            <w:vAlign w:val="center"/>
          </w:tcPr>
          <w:p w14:paraId="5CBCB4CA" w14:textId="37A6F571" w:rsidR="00FC0615" w:rsidRDefault="00FC0615" w:rsidP="00FC0615">
            <w:pPr>
              <w:jc w:val="center"/>
            </w:pPr>
            <w:r>
              <w:t>176 000</w:t>
            </w:r>
          </w:p>
        </w:tc>
      </w:tr>
      <w:tr w:rsidR="00FC0615" w14:paraId="12DB1EEE" w14:textId="77777777" w:rsidTr="00377753">
        <w:trPr>
          <w:cnfStyle w:val="000000100000" w:firstRow="0" w:lastRow="0" w:firstColumn="0" w:lastColumn="0" w:oddVBand="0" w:evenVBand="0" w:oddHBand="1" w:evenHBand="0" w:firstRowFirstColumn="0" w:firstRowLastColumn="0" w:lastRowFirstColumn="0" w:lastRowLastColumn="0"/>
        </w:trPr>
        <w:tc>
          <w:tcPr>
            <w:tcW w:w="1809" w:type="dxa"/>
            <w:vAlign w:val="center"/>
          </w:tcPr>
          <w:p w14:paraId="4CAEFBA8" w14:textId="77777777" w:rsidR="00FC0615" w:rsidRDefault="00FC0615" w:rsidP="00FC0615">
            <w:r>
              <w:t>Bokhara (Bokhara River)</w:t>
            </w:r>
          </w:p>
        </w:tc>
        <w:tc>
          <w:tcPr>
            <w:tcW w:w="3998" w:type="dxa"/>
            <w:vAlign w:val="center"/>
          </w:tcPr>
          <w:p w14:paraId="6FF9309F" w14:textId="77777777" w:rsidR="00FC0615" w:rsidRDefault="00FC0615" w:rsidP="00FC0615">
            <w:r>
              <w:t xml:space="preserve">The most downstream gauge </w:t>
            </w:r>
          </w:p>
        </w:tc>
        <w:tc>
          <w:tcPr>
            <w:tcW w:w="1275" w:type="dxa"/>
            <w:vAlign w:val="center"/>
          </w:tcPr>
          <w:p w14:paraId="45B69372" w14:textId="2CD0EC01" w:rsidR="00FC0615" w:rsidRDefault="00FC0615" w:rsidP="00FC0615">
            <w:pPr>
              <w:jc w:val="center"/>
            </w:pPr>
            <w:r>
              <w:t>2 100</w:t>
            </w:r>
          </w:p>
        </w:tc>
        <w:tc>
          <w:tcPr>
            <w:tcW w:w="1276" w:type="dxa"/>
            <w:vAlign w:val="center"/>
          </w:tcPr>
          <w:p w14:paraId="45CB46BD" w14:textId="04DC9330" w:rsidR="00FC0615" w:rsidRDefault="00FC0615" w:rsidP="00FC0615">
            <w:pPr>
              <w:jc w:val="center"/>
            </w:pPr>
            <w:r>
              <w:t>~60</w:t>
            </w:r>
          </w:p>
        </w:tc>
        <w:tc>
          <w:tcPr>
            <w:tcW w:w="1276" w:type="dxa"/>
            <w:vAlign w:val="center"/>
          </w:tcPr>
          <w:p w14:paraId="2C1092C3" w14:textId="215A397C" w:rsidR="00FC0615" w:rsidRDefault="00FC0615" w:rsidP="00FC0615">
            <w:pPr>
              <w:jc w:val="center"/>
            </w:pPr>
            <w:r>
              <w:t>32 000</w:t>
            </w:r>
          </w:p>
        </w:tc>
      </w:tr>
    </w:tbl>
    <w:p w14:paraId="7B3E4D00" w14:textId="33BCA1C4" w:rsidR="00D02D10" w:rsidRDefault="00D02D10" w:rsidP="001F3B5C">
      <w:pPr>
        <w:spacing w:before="240"/>
      </w:pPr>
      <w:r w:rsidRPr="008E03A3">
        <w:t xml:space="preserve">As part of these flows, </w:t>
      </w:r>
      <w:r>
        <w:t>o</w:t>
      </w:r>
      <w:r w:rsidRPr="000C2F9A">
        <w:t>ver 150</w:t>
      </w:r>
      <w:r w:rsidR="003A6E01">
        <w:t xml:space="preserve"> </w:t>
      </w:r>
      <w:r>
        <w:t>000</w:t>
      </w:r>
      <w:r w:rsidRPr="000C2F9A">
        <w:t> </w:t>
      </w:r>
      <w:r w:rsidR="003A6E01">
        <w:t>megalitres</w:t>
      </w:r>
      <w:r w:rsidRPr="000C2F9A">
        <w:t> of Commonwealth water for the environment</w:t>
      </w:r>
      <w:r>
        <w:t xml:space="preserve">, </w:t>
      </w:r>
      <w:r w:rsidRPr="000C2F9A">
        <w:t>along with 10</w:t>
      </w:r>
      <w:r w:rsidR="003A6E01">
        <w:t> </w:t>
      </w:r>
      <w:r>
        <w:t>000</w:t>
      </w:r>
      <w:r w:rsidRPr="000C2F9A">
        <w:t> </w:t>
      </w:r>
      <w:r w:rsidR="003A6E01">
        <w:t>megalitres</w:t>
      </w:r>
      <w:r w:rsidRPr="000C2F9A">
        <w:t xml:space="preserve"> contributed by Cubbie Station </w:t>
      </w:r>
      <w:r>
        <w:t>helped</w:t>
      </w:r>
      <w:r w:rsidR="003A6E01">
        <w:t xml:space="preserve"> to</w:t>
      </w:r>
      <w:r>
        <w:t xml:space="preserve"> enhance the condition of the </w:t>
      </w:r>
      <w:r w:rsidRPr="000C2F9A">
        <w:t>Lower Balonne system</w:t>
      </w:r>
      <w:r>
        <w:t xml:space="preserve">. </w:t>
      </w:r>
      <w:r w:rsidRPr="000C2F9A">
        <w:t> </w:t>
      </w:r>
    </w:p>
    <w:p w14:paraId="201CF037" w14:textId="7983CB67" w:rsidR="00D02D10" w:rsidRDefault="00D02D10" w:rsidP="001F3B5C">
      <w:r>
        <w:t>To further enhance the condition of habitat within the Narran Lakes Nature Reserve Ramsar Site, the Commonwealth implemented the</w:t>
      </w:r>
      <w:r w:rsidRPr="000C2F9A">
        <w:t xml:space="preserve"> </w:t>
      </w:r>
      <w:r>
        <w:t>Narran Lakes Water Reimbursement Project. Through this project, a water allocation holder that was legally entitled to pump water from rivers that flow to the Narran Lakes was provided with a grant not to pump from the flow event. The grant contributed a further 9</w:t>
      </w:r>
      <w:r w:rsidR="003A6E01">
        <w:t xml:space="preserve"> </w:t>
      </w:r>
      <w:r>
        <w:t xml:space="preserve">000 </w:t>
      </w:r>
      <w:r w:rsidR="003A6E01">
        <w:t>megalitres</w:t>
      </w:r>
      <w:r>
        <w:t xml:space="preserve"> of water for the environment, most of which inundated the Ramsar site.</w:t>
      </w:r>
    </w:p>
    <w:p w14:paraId="11382129" w14:textId="7A201F05" w:rsidR="00D02D10" w:rsidRDefault="00D02D10" w:rsidP="001F3B5C">
      <w:r>
        <w:t>The project was a pilot (or ‘interim measure’) from which the lessons learned will support any future implementation of event-based mechanisms. Event-based mechanisms are a ‘Toolkit measure’ under the Intergovernmental Agreement on Water Reform in the Murray</w:t>
      </w:r>
      <w:r w:rsidR="001F3B5C">
        <w:t>–</w:t>
      </w:r>
      <w:r>
        <w:t xml:space="preserve">Darling Basin. </w:t>
      </w:r>
      <w:r w:rsidRPr="0075772E">
        <w:t>The CEWO will evaluate the benefits from the trial before any consideration of any future implementation of event-based mechanisms</w:t>
      </w:r>
      <w:r>
        <w:t>.</w:t>
      </w:r>
    </w:p>
    <w:p w14:paraId="315CD7B2" w14:textId="520757A3" w:rsidR="00D02D10" w:rsidRDefault="001F3B5C" w:rsidP="001F3B5C">
      <w:r>
        <w:t>Before</w:t>
      </w:r>
      <w:r w:rsidR="00D02D10">
        <w:t xml:space="preserve"> these flows, floodplain and terminal wetland systems, including the Narran Lakes Nature Reserve Ramsar site, had not been inundated for an extended period. The last time flows where </w:t>
      </w:r>
      <w:r>
        <w:t>sufficient</w:t>
      </w:r>
      <w:r w:rsidR="00D02D10">
        <w:t xml:space="preserve"> to enter Clear Lake (the largest of the Lakes contained with the Ramsar Site) was</w:t>
      </w:r>
      <w:r>
        <w:t xml:space="preserve"> in</w:t>
      </w:r>
      <w:r w:rsidR="00D02D10">
        <w:t xml:space="preserve"> October 2016.</w:t>
      </w:r>
      <w:r>
        <w:t xml:space="preserve"> Similarly, </w:t>
      </w:r>
      <w:r w:rsidR="00D02D10">
        <w:t xml:space="preserve">core lignum areas within the Ramsar site </w:t>
      </w:r>
      <w:r w:rsidR="004B6FF1">
        <w:t>had</w:t>
      </w:r>
      <w:r w:rsidR="00D02D10">
        <w:t xml:space="preserve"> not been completely inundated since March 2013</w:t>
      </w:r>
      <w:r>
        <w:t xml:space="preserve">, and </w:t>
      </w:r>
      <w:r w:rsidR="00D02D10">
        <w:t xml:space="preserve">extensive inundation of the broader Lower Balonne floodplain </w:t>
      </w:r>
      <w:r w:rsidR="004B6FF1">
        <w:t>had</w:t>
      </w:r>
      <w:r w:rsidR="00D02D10">
        <w:t xml:space="preserve"> not occurred since February 2012. The extended period between watering events has resulted in a significant decline in the condition of lignum shrublands across the Ramsar site as well as riparian and floodplain vegetation communities located across the entire Lower Balonne floodplain. </w:t>
      </w:r>
    </w:p>
    <w:p w14:paraId="51CB8B2C" w14:textId="77777777" w:rsidR="00D02D10" w:rsidRPr="00365FE2" w:rsidRDefault="00D02D10" w:rsidP="00D02D10">
      <w:pPr>
        <w:pStyle w:val="Heading4"/>
      </w:pPr>
      <w:r w:rsidRPr="00365FE2">
        <w:t>Seasonal outloo</w:t>
      </w:r>
      <w:r>
        <w:t>k</w:t>
      </w:r>
    </w:p>
    <w:p w14:paraId="5C7A3B90" w14:textId="2C097573" w:rsidR="001F3B5C" w:rsidRPr="00365FE2" w:rsidRDefault="00D02D10" w:rsidP="00D02D10">
      <w:r>
        <w:t>According to the Bureau of Meteorology outlook</w:t>
      </w:r>
      <w:r w:rsidR="001F3B5C">
        <w:t xml:space="preserve"> </w:t>
      </w:r>
      <w:r w:rsidR="00B16919">
        <w:t xml:space="preserve">on </w:t>
      </w:r>
      <w:r w:rsidR="00A3033F">
        <w:t>2 July</w:t>
      </w:r>
      <w:r w:rsidR="00B16919">
        <w:t xml:space="preserve"> 2020</w:t>
      </w:r>
      <w:r>
        <w:t xml:space="preserve">, </w:t>
      </w:r>
      <w:r w:rsidR="001F3B5C">
        <w:t xml:space="preserve">above median rainfall is forecast to occur </w:t>
      </w:r>
      <w:r>
        <w:t>across the Condamine</w:t>
      </w:r>
      <w:r w:rsidR="001F3B5C">
        <w:t>–</w:t>
      </w:r>
      <w:r>
        <w:t>Balonne system</w:t>
      </w:r>
      <w:r w:rsidR="001F3B5C">
        <w:t xml:space="preserve"> </w:t>
      </w:r>
      <w:r w:rsidR="00A3033F">
        <w:t>from winter through into spring</w:t>
      </w:r>
      <w:r w:rsidR="001F3B5C">
        <w:t>. While this forecast suggests that the recent severe dry conditions may continue to ease somewhat, follow up rain over the forthcoming summer is needed to ensure continued recovery from the drought. Wetter conditions can return suddenly in the northern Basin. Maximum temperatures are also forecast to remain above average over the coming months.</w:t>
      </w:r>
    </w:p>
    <w:p w14:paraId="57D1CEB2" w14:textId="77777777" w:rsidR="00D02D10" w:rsidRPr="00365FE2" w:rsidRDefault="00D02D10" w:rsidP="00D02D10">
      <w:pPr>
        <w:pStyle w:val="Heading4"/>
      </w:pPr>
      <w:r w:rsidRPr="00365FE2">
        <w:t>Water availability</w:t>
      </w:r>
    </w:p>
    <w:p w14:paraId="26F35C0E" w14:textId="14BF0A36" w:rsidR="00D02D10" w:rsidRDefault="00D02D10" w:rsidP="00D02D10">
      <w:r>
        <w:t>The Condamine</w:t>
      </w:r>
      <w:r w:rsidR="00A867B2">
        <w:t>–</w:t>
      </w:r>
      <w:r>
        <w:t xml:space="preserve">Balonne’s two main public storages have a combined storage volume of 188 </w:t>
      </w:r>
      <w:r w:rsidR="00A867B2">
        <w:t>gigalitres,</w:t>
      </w:r>
      <w:r>
        <w:t xml:space="preserve"> while the average annual stream flow at St George is 1</w:t>
      </w:r>
      <w:r w:rsidR="00A867B2">
        <w:t xml:space="preserve"> </w:t>
      </w:r>
      <w:r>
        <w:t xml:space="preserve">305 </w:t>
      </w:r>
      <w:r w:rsidR="00A867B2">
        <w:t>gigalitres</w:t>
      </w:r>
      <w:r>
        <w:t xml:space="preserve">. Thus, entitlements reliant on regulated releases from these storages are relatively small compared to the entitlements used to access unregulated or natural flow events. Consistent with this, Commonwealth </w:t>
      </w:r>
      <w:r w:rsidR="00A867B2">
        <w:t>e</w:t>
      </w:r>
      <w:r>
        <w:t xml:space="preserve">nvironmental </w:t>
      </w:r>
      <w:r w:rsidR="00A867B2">
        <w:t>w</w:t>
      </w:r>
      <w:r>
        <w:t xml:space="preserve">ater </w:t>
      </w:r>
      <w:r w:rsidR="00A867B2">
        <w:t>h</w:t>
      </w:r>
      <w:r>
        <w:t>oldings in the Condamine</w:t>
      </w:r>
      <w:r w:rsidR="00B06FB3">
        <w:t>–</w:t>
      </w:r>
      <w:r>
        <w:t xml:space="preserve">Balonne system are almost exclusively made up of unregulated entitlements and can only be sourced as a share of an unregulated flow event determined by entitlement conditions.  </w:t>
      </w:r>
    </w:p>
    <w:p w14:paraId="611F534F" w14:textId="2A91913F" w:rsidR="00D02D10" w:rsidRDefault="006C7F3C" w:rsidP="00D02D10">
      <w:r>
        <w:t>A</w:t>
      </w:r>
      <w:r w:rsidR="00D02D10">
        <w:t>vailability</w:t>
      </w:r>
      <w:r>
        <w:t xml:space="preserve"> of water for the environment</w:t>
      </w:r>
      <w:r w:rsidR="00D02D10">
        <w:t xml:space="preserve"> in the Condamine</w:t>
      </w:r>
      <w:r>
        <w:t>–</w:t>
      </w:r>
      <w:r w:rsidR="00D02D10">
        <w:t xml:space="preserve">Balonne depends </w:t>
      </w:r>
      <w:bookmarkStart w:id="13" w:name="_Hlk40451282"/>
      <w:r w:rsidR="00D02D10">
        <w:t>on the nature of flow events that occur</w:t>
      </w:r>
      <w:bookmarkEnd w:id="13"/>
      <w:r w:rsidR="00D02D10">
        <w:t>. Unregulated entitlements provide opportunistic access to unregulated river flows and overland flows when water resource plan rules are triggered, and a period of access is announced. Each entitlement will contribute to restoring in-stream flows reflecting its particular flow access windows, take rates and location. Daily, instantaneous, annual or multi-year limits cap overall diversions in any given year or flow event, and likewise the in-stream contributions that can be attributed to unregulated Commonwealth entitlements.</w:t>
      </w:r>
    </w:p>
    <w:p w14:paraId="09CBEFD2" w14:textId="77777777" w:rsidR="00D02D10" w:rsidRPr="00365FE2" w:rsidRDefault="00D02D10" w:rsidP="00D02D10">
      <w:pPr>
        <w:pStyle w:val="Heading4"/>
      </w:pPr>
      <w:r w:rsidRPr="00365FE2">
        <w:t>Environmental demands</w:t>
      </w:r>
    </w:p>
    <w:p w14:paraId="6FBBF0E7" w14:textId="45010873" w:rsidR="00D02D10" w:rsidRDefault="00D02D10" w:rsidP="00D02D10">
      <w:r w:rsidRPr="000E14BB">
        <w:t>Considering the prolonged drought and</w:t>
      </w:r>
      <w:r>
        <w:t xml:space="preserve"> the</w:t>
      </w:r>
      <w:r w:rsidRPr="000E14BB">
        <w:t xml:space="preserve"> need to support recovery </w:t>
      </w:r>
      <w:r>
        <w:t xml:space="preserve">of </w:t>
      </w:r>
      <w:r w:rsidRPr="000E14BB">
        <w:t>key assets, there are a number of environmental demands that require water in 2020</w:t>
      </w:r>
      <w:r w:rsidR="00A3033F">
        <w:t>–</w:t>
      </w:r>
      <w:r w:rsidRPr="000E14BB">
        <w:t xml:space="preserve">21. </w:t>
      </w:r>
    </w:p>
    <w:p w14:paraId="1815AECE" w14:textId="54D696F0" w:rsidR="00D02D10" w:rsidRPr="00365FE2" w:rsidRDefault="00D02D10" w:rsidP="00D02D10">
      <w:r w:rsidRPr="00365FE2">
        <w:t xml:space="preserve">The environmental water demands for assets in the </w:t>
      </w:r>
      <w:r>
        <w:t>Condamine</w:t>
      </w:r>
      <w:r w:rsidR="003154EB">
        <w:t>-</w:t>
      </w:r>
      <w:r>
        <w:t>Balonne system</w:t>
      </w:r>
      <w:r w:rsidRPr="00365FE2">
        <w:t xml:space="preserve"> in 2020</w:t>
      </w:r>
      <w:r w:rsidR="00A3033F">
        <w:t>–</w:t>
      </w:r>
      <w:r w:rsidRPr="00365FE2">
        <w:t xml:space="preserve">21 are represented </w:t>
      </w:r>
      <w:r w:rsidRPr="003E4127">
        <w:t xml:space="preserve">in </w:t>
      </w:r>
      <w:r w:rsidR="003E4127" w:rsidRPr="003E4127">
        <w:fldChar w:fldCharType="begin"/>
      </w:r>
      <w:r w:rsidR="003E4127" w:rsidRPr="003E4127">
        <w:instrText xml:space="preserve"> REF _Ref43974419 \h  \* MERGEFORMAT </w:instrText>
      </w:r>
      <w:r w:rsidR="003E4127" w:rsidRPr="003E4127">
        <w:fldChar w:fldCharType="separate"/>
      </w:r>
      <w:r w:rsidR="00B76D86" w:rsidRPr="00B76D86">
        <w:t xml:space="preserve">Table </w:t>
      </w:r>
      <w:r w:rsidR="00B76D86" w:rsidRPr="00B76D86">
        <w:rPr>
          <w:noProof/>
        </w:rPr>
        <w:t>3</w:t>
      </w:r>
      <w:r w:rsidR="003E4127" w:rsidRPr="003E4127">
        <w:fldChar w:fldCharType="end"/>
      </w:r>
      <w:r w:rsidRPr="003E4127">
        <w:t>. Note</w:t>
      </w:r>
      <w:r w:rsidRPr="00365FE2">
        <w:t xml:space="preserve"> that the capacity to contribute to these environmental demands is contingent </w:t>
      </w:r>
      <w:r>
        <w:t>on the nature of flow events that occur</w:t>
      </w:r>
      <w:r w:rsidRPr="00365FE2">
        <w:t xml:space="preserve"> in the catchment.</w:t>
      </w:r>
    </w:p>
    <w:p w14:paraId="12DFC312" w14:textId="77777777" w:rsidR="00D02D10" w:rsidRPr="000F4C60" w:rsidRDefault="00D02D10" w:rsidP="00D02D10">
      <w:pPr>
        <w:pStyle w:val="NormalWeb"/>
        <w:spacing w:before="0" w:beforeAutospacing="0" w:after="240" w:afterAutospacing="0"/>
        <w:jc w:val="left"/>
        <w:rPr>
          <w:rFonts w:ascii="Century Gothic" w:hAnsi="Century Gothic"/>
        </w:rPr>
        <w:sectPr w:rsidR="00D02D10" w:rsidRPr="000F4C60" w:rsidSect="006E3E57">
          <w:pgSz w:w="11906" w:h="16838"/>
          <w:pgMar w:top="1134" w:right="1133" w:bottom="1135" w:left="993" w:header="567" w:footer="397" w:gutter="0"/>
          <w:cols w:space="708"/>
          <w:docGrid w:linePitch="360"/>
        </w:sectPr>
      </w:pPr>
    </w:p>
    <w:p w14:paraId="2D4B3FCA" w14:textId="40FC4D7B" w:rsidR="00D02D10" w:rsidRPr="00365FE2" w:rsidRDefault="00663F10" w:rsidP="00663F10">
      <w:pPr>
        <w:rPr>
          <w:rFonts w:eastAsia="Century Gothic" w:hAnsi="Century Gothic"/>
          <w:bCs/>
          <w:spacing w:val="-1"/>
          <w:sz w:val="18"/>
          <w:szCs w:val="18"/>
        </w:rPr>
      </w:pPr>
      <w:bookmarkStart w:id="14" w:name="_Ref43974419"/>
      <w:r w:rsidRPr="00663F10">
        <w:rPr>
          <w:b/>
        </w:rPr>
        <w:t xml:space="preserve">Table </w:t>
      </w:r>
      <w:r w:rsidRPr="00663F10">
        <w:rPr>
          <w:b/>
        </w:rPr>
        <w:fldChar w:fldCharType="begin"/>
      </w:r>
      <w:r w:rsidRPr="00663F10">
        <w:rPr>
          <w:b/>
        </w:rPr>
        <w:instrText xml:space="preserve"> SEQ Table \* ARABIC </w:instrText>
      </w:r>
      <w:r w:rsidRPr="00663F10">
        <w:rPr>
          <w:b/>
        </w:rPr>
        <w:fldChar w:fldCharType="separate"/>
      </w:r>
      <w:r w:rsidR="00B76D86">
        <w:rPr>
          <w:b/>
          <w:noProof/>
        </w:rPr>
        <w:t>3</w:t>
      </w:r>
      <w:r w:rsidRPr="00663F10">
        <w:rPr>
          <w:b/>
        </w:rPr>
        <w:fldChar w:fldCharType="end"/>
      </w:r>
      <w:bookmarkEnd w:id="14"/>
      <w:r>
        <w:t>:</w:t>
      </w:r>
      <w:r w:rsidR="00D02D10" w:rsidRPr="00B461DE">
        <w:t xml:space="preserve"> Environmental demands, priority for watering in 2020–21 and outlook for coming year in the </w:t>
      </w:r>
      <w:r w:rsidR="00D02D10">
        <w:t>Condamine</w:t>
      </w:r>
      <w:r w:rsidR="003154EB">
        <w:t>-</w:t>
      </w:r>
      <w:r w:rsidR="00D02D10">
        <w:t>Balonne System</w:t>
      </w:r>
      <w:r w:rsidR="00D02D10" w:rsidRPr="00B461DE">
        <w:t>.</w:t>
      </w:r>
      <w:r w:rsidR="00D02D10" w:rsidRPr="00365FE2">
        <w:rPr>
          <w:rFonts w:eastAsia="Century Gothic" w:hAnsi="Century Gothic"/>
          <w:bCs/>
          <w:spacing w:val="-1"/>
          <w:sz w:val="18"/>
          <w:szCs w:val="18"/>
        </w:rPr>
        <w:t xml:space="preserve"> </w:t>
      </w:r>
    </w:p>
    <w:tbl>
      <w:tblPr>
        <w:tblW w:w="21972" w:type="dxa"/>
        <w:tblInd w:w="-15" w:type="dxa"/>
        <w:tblLayout w:type="fixed"/>
        <w:tblCellMar>
          <w:left w:w="28" w:type="dxa"/>
          <w:right w:w="28" w:type="dxa"/>
        </w:tblCellMar>
        <w:tblLook w:val="04A0" w:firstRow="1" w:lastRow="0" w:firstColumn="1" w:lastColumn="0" w:noHBand="0" w:noVBand="1"/>
        <w:tblCaption w:val="Table 3: Environmental demands and priorities for active management of Commonwealth environmental water in the Lower Balonne for 2019–20"/>
        <w:tblDescription w:val="Table 3: Environmental demands and priorities for active management of Commonwealth environmental water in the Lower Balonne for 2019–20"/>
      </w:tblPr>
      <w:tblGrid>
        <w:gridCol w:w="1843"/>
        <w:gridCol w:w="1559"/>
        <w:gridCol w:w="3969"/>
        <w:gridCol w:w="1418"/>
        <w:gridCol w:w="5954"/>
        <w:gridCol w:w="1984"/>
        <w:gridCol w:w="2977"/>
        <w:gridCol w:w="2268"/>
      </w:tblGrid>
      <w:tr w:rsidR="009412EE" w:rsidRPr="009412EE" w14:paraId="39C722FC" w14:textId="77777777" w:rsidTr="009412EE">
        <w:trPr>
          <w:trHeight w:val="349"/>
          <w:tblHeader/>
        </w:trPr>
        <w:tc>
          <w:tcPr>
            <w:tcW w:w="1843" w:type="dxa"/>
            <w:vMerge w:val="restart"/>
            <w:tcBorders>
              <w:top w:val="single" w:sz="12" w:space="0" w:color="auto"/>
              <w:left w:val="single" w:sz="12" w:space="0" w:color="auto"/>
              <w:right w:val="single" w:sz="4" w:space="0" w:color="auto"/>
            </w:tcBorders>
            <w:shd w:val="clear" w:color="auto" w:fill="B6DDE8" w:themeFill="accent5" w:themeFillTint="66"/>
            <w:vAlign w:val="center"/>
          </w:tcPr>
          <w:p w14:paraId="7C1CB6F7"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Environmental assets</w:t>
            </w:r>
          </w:p>
        </w:tc>
        <w:tc>
          <w:tcPr>
            <w:tcW w:w="6946" w:type="dxa"/>
            <w:gridSpan w:val="3"/>
            <w:tcBorders>
              <w:top w:val="single" w:sz="12" w:space="0" w:color="auto"/>
              <w:left w:val="single" w:sz="4" w:space="0" w:color="auto"/>
              <w:bottom w:val="single" w:sz="8" w:space="0" w:color="000000"/>
              <w:right w:val="single" w:sz="4" w:space="0" w:color="auto"/>
            </w:tcBorders>
            <w:shd w:val="clear" w:color="auto" w:fill="B6DDE8" w:themeFill="accent5" w:themeFillTint="66"/>
            <w:vAlign w:val="center"/>
          </w:tcPr>
          <w:p w14:paraId="74A4242E"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 xml:space="preserve">Indicative demand (for </w:t>
            </w:r>
            <w:r w:rsidRPr="009412EE">
              <w:rPr>
                <w:rFonts w:cstheme="minorHAnsi"/>
                <w:b/>
                <w:bCs/>
                <w:color w:val="auto"/>
                <w:sz w:val="18"/>
                <w:szCs w:val="18"/>
                <w:u w:val="single"/>
              </w:rPr>
              <w:t>all sources of water</w:t>
            </w:r>
            <w:r w:rsidRPr="009412EE">
              <w:rPr>
                <w:rFonts w:cstheme="minorHAnsi"/>
                <w:b/>
                <w:bCs/>
                <w:color w:val="auto"/>
                <w:sz w:val="18"/>
                <w:szCs w:val="18"/>
              </w:rPr>
              <w:t xml:space="preserve"> in the system)</w:t>
            </w:r>
          </w:p>
        </w:tc>
        <w:tc>
          <w:tcPr>
            <w:tcW w:w="5954"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14:paraId="580CDBB1"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Watering history</w:t>
            </w:r>
          </w:p>
        </w:tc>
        <w:tc>
          <w:tcPr>
            <w:tcW w:w="4961" w:type="dxa"/>
            <w:gridSpan w:val="2"/>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14:paraId="0054ED32"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2020–2021</w:t>
            </w:r>
          </w:p>
        </w:tc>
        <w:tc>
          <w:tcPr>
            <w:tcW w:w="2268" w:type="dxa"/>
            <w:tcBorders>
              <w:top w:val="single" w:sz="12" w:space="0" w:color="auto"/>
              <w:left w:val="single" w:sz="4" w:space="0" w:color="auto"/>
              <w:bottom w:val="single" w:sz="4" w:space="0" w:color="auto"/>
              <w:right w:val="single" w:sz="12" w:space="0" w:color="auto"/>
            </w:tcBorders>
            <w:shd w:val="clear" w:color="auto" w:fill="B6DDE8" w:themeFill="accent5" w:themeFillTint="66"/>
          </w:tcPr>
          <w:p w14:paraId="551C4D1D"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Implications for future demands</w:t>
            </w:r>
          </w:p>
        </w:tc>
      </w:tr>
      <w:tr w:rsidR="009412EE" w:rsidRPr="009412EE" w14:paraId="3CE29FCE" w14:textId="77777777" w:rsidTr="009412EE">
        <w:trPr>
          <w:trHeight w:val="633"/>
          <w:tblHeader/>
        </w:trPr>
        <w:tc>
          <w:tcPr>
            <w:tcW w:w="1843" w:type="dxa"/>
            <w:vMerge/>
            <w:tcBorders>
              <w:left w:val="single" w:sz="12" w:space="0" w:color="auto"/>
              <w:bottom w:val="nil"/>
              <w:right w:val="single" w:sz="4" w:space="0" w:color="auto"/>
            </w:tcBorders>
            <w:shd w:val="clear" w:color="auto" w:fill="B6DDE8" w:themeFill="accent5" w:themeFillTint="66"/>
            <w:vAlign w:val="center"/>
            <w:hideMark/>
          </w:tcPr>
          <w:p w14:paraId="2795F06B" w14:textId="77777777" w:rsidR="00D02D10" w:rsidRPr="009412EE" w:rsidRDefault="00D02D10" w:rsidP="00273793">
            <w:pPr>
              <w:spacing w:before="60" w:after="60"/>
              <w:jc w:val="center"/>
              <w:rPr>
                <w:rFonts w:cstheme="minorHAnsi"/>
                <w:b/>
                <w:bCs/>
                <w:color w:val="auto"/>
                <w:sz w:val="18"/>
                <w:szCs w:val="18"/>
              </w:rPr>
            </w:pPr>
          </w:p>
        </w:tc>
        <w:tc>
          <w:tcPr>
            <w:tcW w:w="1559" w:type="dxa"/>
            <w:tcBorders>
              <w:top w:val="single" w:sz="4" w:space="0" w:color="auto"/>
              <w:left w:val="single" w:sz="4" w:space="0" w:color="auto"/>
              <w:bottom w:val="single" w:sz="8" w:space="0" w:color="000000"/>
              <w:right w:val="single" w:sz="4" w:space="0" w:color="auto"/>
            </w:tcBorders>
            <w:shd w:val="clear" w:color="auto" w:fill="B6DDE8" w:themeFill="accent5" w:themeFillTint="66"/>
            <w:vAlign w:val="center"/>
            <w:hideMark/>
          </w:tcPr>
          <w:p w14:paraId="3E350EAA"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Physical and process assets</w:t>
            </w:r>
          </w:p>
        </w:tc>
        <w:tc>
          <w:tcPr>
            <w:tcW w:w="3969" w:type="dxa"/>
            <w:tcBorders>
              <w:top w:val="single" w:sz="4" w:space="0" w:color="auto"/>
              <w:left w:val="nil"/>
              <w:bottom w:val="single" w:sz="12" w:space="0" w:color="auto"/>
              <w:right w:val="single" w:sz="4" w:space="0" w:color="auto"/>
            </w:tcBorders>
            <w:shd w:val="clear" w:color="auto" w:fill="B6DDE8" w:themeFill="accent5" w:themeFillTint="66"/>
            <w:vAlign w:val="center"/>
            <w:hideMark/>
          </w:tcPr>
          <w:p w14:paraId="148068C7"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Flow/volume</w:t>
            </w:r>
          </w:p>
        </w:tc>
        <w:tc>
          <w:tcPr>
            <w:tcW w:w="1418" w:type="dxa"/>
            <w:tcBorders>
              <w:top w:val="single" w:sz="4" w:space="0" w:color="auto"/>
              <w:left w:val="single" w:sz="4" w:space="0" w:color="auto"/>
              <w:bottom w:val="single" w:sz="8" w:space="0" w:color="000000"/>
              <w:right w:val="single" w:sz="4" w:space="0" w:color="auto"/>
            </w:tcBorders>
            <w:shd w:val="clear" w:color="auto" w:fill="B6DDE8" w:themeFill="accent5" w:themeFillTint="66"/>
            <w:vAlign w:val="center"/>
            <w:hideMark/>
          </w:tcPr>
          <w:p w14:paraId="1D4045AE"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Average required frequency (maximum interval)</w:t>
            </w:r>
          </w:p>
        </w:tc>
        <w:tc>
          <w:tcPr>
            <w:tcW w:w="5954" w:type="dxa"/>
            <w:tcBorders>
              <w:top w:val="single" w:sz="4" w:space="0" w:color="auto"/>
              <w:left w:val="single" w:sz="4" w:space="0" w:color="auto"/>
              <w:bottom w:val="single" w:sz="12" w:space="0" w:color="auto"/>
              <w:right w:val="single" w:sz="4" w:space="0" w:color="auto"/>
            </w:tcBorders>
            <w:shd w:val="clear" w:color="auto" w:fill="B6DDE8" w:themeFill="accent5" w:themeFillTint="66"/>
            <w:vAlign w:val="center"/>
          </w:tcPr>
          <w:p w14:paraId="45BDDE35" w14:textId="77777777" w:rsidR="00D02D10" w:rsidRPr="009412EE" w:rsidRDefault="00D02D10" w:rsidP="00273793">
            <w:pPr>
              <w:spacing w:before="60" w:after="60"/>
              <w:jc w:val="center"/>
              <w:rPr>
                <w:rFonts w:cstheme="minorHAnsi"/>
                <w:b/>
                <w:bCs/>
                <w:color w:val="auto"/>
                <w:sz w:val="18"/>
                <w:szCs w:val="18"/>
              </w:rPr>
            </w:pPr>
          </w:p>
          <w:p w14:paraId="2002615C"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(from all sources of water)</w:t>
            </w:r>
          </w:p>
        </w:tc>
        <w:tc>
          <w:tcPr>
            <w:tcW w:w="1984" w:type="dxa"/>
            <w:tcBorders>
              <w:top w:val="single" w:sz="4" w:space="0" w:color="auto"/>
              <w:left w:val="single" w:sz="4" w:space="0" w:color="auto"/>
              <w:bottom w:val="nil"/>
              <w:right w:val="single" w:sz="4" w:space="0" w:color="auto"/>
            </w:tcBorders>
            <w:shd w:val="clear" w:color="auto" w:fill="B6DDE8" w:themeFill="accent5" w:themeFillTint="66"/>
            <w:vAlign w:val="center"/>
            <w:hideMark/>
          </w:tcPr>
          <w:p w14:paraId="165DD28D"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Environmental demands for water</w:t>
            </w:r>
          </w:p>
        </w:tc>
        <w:tc>
          <w:tcPr>
            <w:tcW w:w="2977" w:type="dxa"/>
            <w:tcBorders>
              <w:top w:val="single" w:sz="4" w:space="0" w:color="auto"/>
              <w:left w:val="single" w:sz="4" w:space="0" w:color="auto"/>
              <w:bottom w:val="nil"/>
              <w:right w:val="single" w:sz="4" w:space="0" w:color="auto"/>
            </w:tcBorders>
            <w:shd w:val="clear" w:color="auto" w:fill="B6DDE8" w:themeFill="accent5" w:themeFillTint="66"/>
            <w:vAlign w:val="center"/>
          </w:tcPr>
          <w:p w14:paraId="286333AE"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Potential Commonwealth environmental water contribution</w:t>
            </w:r>
          </w:p>
        </w:tc>
        <w:tc>
          <w:tcPr>
            <w:tcW w:w="2268" w:type="dxa"/>
            <w:tcBorders>
              <w:top w:val="single" w:sz="4" w:space="0" w:color="auto"/>
              <w:left w:val="single" w:sz="4" w:space="0" w:color="auto"/>
              <w:bottom w:val="nil"/>
              <w:right w:val="single" w:sz="12" w:space="0" w:color="auto"/>
            </w:tcBorders>
            <w:shd w:val="clear" w:color="auto" w:fill="B6DDE8" w:themeFill="accent5" w:themeFillTint="66"/>
          </w:tcPr>
          <w:p w14:paraId="00C2667E" w14:textId="77777777" w:rsidR="00D02D10" w:rsidRPr="009412EE" w:rsidRDefault="00D02D10" w:rsidP="00273793">
            <w:pPr>
              <w:spacing w:before="60" w:after="60"/>
              <w:jc w:val="center"/>
              <w:rPr>
                <w:rFonts w:cstheme="minorHAnsi"/>
                <w:b/>
                <w:bCs/>
                <w:color w:val="auto"/>
                <w:sz w:val="18"/>
                <w:szCs w:val="18"/>
              </w:rPr>
            </w:pPr>
            <w:r w:rsidRPr="009412EE">
              <w:rPr>
                <w:rFonts w:cstheme="minorHAnsi"/>
                <w:b/>
                <w:bCs/>
                <w:color w:val="auto"/>
                <w:sz w:val="18"/>
                <w:szCs w:val="18"/>
              </w:rPr>
              <w:t>Likely urgency of demand in 2021–22 if watering occurred as planned in 2020–21</w:t>
            </w:r>
          </w:p>
        </w:tc>
      </w:tr>
      <w:tr w:rsidR="009412EE" w:rsidRPr="009412EE" w14:paraId="3F0D6112" w14:textId="77777777" w:rsidTr="009412EE">
        <w:trPr>
          <w:trHeight w:val="712"/>
        </w:trPr>
        <w:tc>
          <w:tcPr>
            <w:tcW w:w="1843" w:type="dxa"/>
            <w:vMerge w:val="restart"/>
            <w:tcBorders>
              <w:top w:val="single" w:sz="12" w:space="0" w:color="auto"/>
              <w:left w:val="single" w:sz="12" w:space="0" w:color="auto"/>
              <w:right w:val="single" w:sz="4" w:space="0" w:color="auto"/>
            </w:tcBorders>
            <w:shd w:val="clear" w:color="auto" w:fill="auto"/>
            <w:hideMark/>
          </w:tcPr>
          <w:p w14:paraId="5D1965DF" w14:textId="44AA7AA8" w:rsidR="00D02D10" w:rsidRPr="009412EE" w:rsidRDefault="00D02D10" w:rsidP="00A867B2">
            <w:pPr>
              <w:rPr>
                <w:rFonts w:cstheme="minorHAnsi"/>
                <w:b/>
                <w:bCs/>
                <w:color w:val="auto"/>
                <w:sz w:val="18"/>
                <w:szCs w:val="18"/>
              </w:rPr>
            </w:pPr>
            <w:r w:rsidRPr="009412EE">
              <w:rPr>
                <w:rFonts w:cstheme="minorHAnsi"/>
                <w:b/>
                <w:bCs/>
                <w:color w:val="auto"/>
                <w:sz w:val="18"/>
                <w:szCs w:val="18"/>
              </w:rPr>
              <w:t>Lower Balonne River channels (Culgoa River, Narran River and inner distributary channels) and Barwon</w:t>
            </w:r>
            <w:r w:rsidR="0023698B" w:rsidRPr="009412EE">
              <w:rPr>
                <w:rFonts w:cstheme="minorHAnsi"/>
                <w:b/>
                <w:bCs/>
                <w:color w:val="auto"/>
                <w:sz w:val="18"/>
                <w:szCs w:val="18"/>
              </w:rPr>
              <w:t>–</w:t>
            </w:r>
            <w:r w:rsidRPr="009412EE">
              <w:rPr>
                <w:rFonts w:cstheme="minorHAnsi"/>
                <w:b/>
                <w:bCs/>
                <w:color w:val="auto"/>
                <w:sz w:val="18"/>
                <w:szCs w:val="18"/>
              </w:rPr>
              <w:t>Darling</w:t>
            </w:r>
          </w:p>
        </w:tc>
        <w:tc>
          <w:tcPr>
            <w:tcW w:w="1559" w:type="dxa"/>
            <w:vMerge w:val="restart"/>
            <w:tcBorders>
              <w:top w:val="single" w:sz="12" w:space="0" w:color="auto"/>
              <w:left w:val="single" w:sz="4" w:space="0" w:color="auto"/>
              <w:right w:val="single" w:sz="4" w:space="0" w:color="auto"/>
            </w:tcBorders>
            <w:shd w:val="clear" w:color="auto" w:fill="auto"/>
            <w:vAlign w:val="center"/>
            <w:hideMark/>
          </w:tcPr>
          <w:p w14:paraId="3265FE9E" w14:textId="77777777" w:rsidR="00D02D10" w:rsidRPr="009412EE" w:rsidRDefault="00D02D10" w:rsidP="00273793">
            <w:pPr>
              <w:ind w:left="111"/>
              <w:rPr>
                <w:rFonts w:cstheme="minorHAnsi"/>
                <w:color w:val="auto"/>
                <w:sz w:val="18"/>
                <w:szCs w:val="18"/>
              </w:rPr>
            </w:pPr>
            <w:r w:rsidRPr="009412EE">
              <w:rPr>
                <w:rFonts w:cstheme="minorHAnsi"/>
                <w:color w:val="auto"/>
                <w:sz w:val="18"/>
                <w:szCs w:val="18"/>
              </w:rPr>
              <w:t>Drought refuge (waterholes)</w:t>
            </w:r>
          </w:p>
        </w:tc>
        <w:tc>
          <w:tcPr>
            <w:tcW w:w="3969" w:type="dxa"/>
            <w:tcBorders>
              <w:top w:val="single" w:sz="12" w:space="0" w:color="auto"/>
              <w:left w:val="nil"/>
              <w:right w:val="single" w:sz="4" w:space="0" w:color="auto"/>
            </w:tcBorders>
            <w:shd w:val="clear" w:color="auto" w:fill="auto"/>
            <w:vAlign w:val="center"/>
            <w:hideMark/>
          </w:tcPr>
          <w:p w14:paraId="0DE5CEBD"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Flow reaches end of all channels within a three-month period, indicated by:</w:t>
            </w:r>
          </w:p>
        </w:tc>
        <w:tc>
          <w:tcPr>
            <w:tcW w:w="1418" w:type="dxa"/>
            <w:vMerge w:val="restart"/>
            <w:tcBorders>
              <w:top w:val="single" w:sz="12" w:space="0" w:color="auto"/>
              <w:left w:val="single" w:sz="4" w:space="0" w:color="auto"/>
              <w:right w:val="single" w:sz="4" w:space="0" w:color="auto"/>
            </w:tcBorders>
            <w:shd w:val="clear" w:color="auto" w:fill="auto"/>
            <w:vAlign w:val="center"/>
            <w:hideMark/>
          </w:tcPr>
          <w:p w14:paraId="4438EC3F"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Annually</w:t>
            </w:r>
          </w:p>
          <w:p w14:paraId="6B3F29D8"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(no longer than 12 months between last flow)</w:t>
            </w:r>
          </w:p>
        </w:tc>
        <w:tc>
          <w:tcPr>
            <w:tcW w:w="5954" w:type="dxa"/>
            <w:vMerge w:val="restart"/>
            <w:tcBorders>
              <w:top w:val="single" w:sz="12" w:space="0" w:color="auto"/>
              <w:left w:val="single" w:sz="4" w:space="0" w:color="auto"/>
              <w:right w:val="single" w:sz="4" w:space="0" w:color="auto"/>
            </w:tcBorders>
            <w:shd w:val="clear" w:color="auto" w:fill="auto"/>
            <w:vAlign w:val="center"/>
          </w:tcPr>
          <w:p w14:paraId="71353BE0" w14:textId="29BD7E4F" w:rsidR="00D02D10" w:rsidRPr="009412EE" w:rsidRDefault="00D02D10" w:rsidP="00273793">
            <w:pPr>
              <w:spacing w:before="120"/>
              <w:jc w:val="center"/>
              <w:rPr>
                <w:rFonts w:cstheme="minorHAnsi"/>
                <w:color w:val="auto"/>
                <w:sz w:val="18"/>
                <w:szCs w:val="18"/>
                <w:u w:val="single"/>
              </w:rPr>
            </w:pPr>
            <w:r w:rsidRPr="009412EE">
              <w:rPr>
                <w:rFonts w:cstheme="minorHAnsi"/>
                <w:color w:val="auto"/>
                <w:sz w:val="18"/>
                <w:szCs w:val="18"/>
              </w:rPr>
              <w:t>Water is required annually to replenish refugial waterholes (contributing to persistence, connectivity and quality). Since 2009</w:t>
            </w:r>
            <w:r w:rsidR="00987190" w:rsidRPr="009412EE">
              <w:rPr>
                <w:rFonts w:cstheme="minorHAnsi"/>
                <w:color w:val="auto"/>
                <w:sz w:val="18"/>
                <w:szCs w:val="18"/>
              </w:rPr>
              <w:t>–</w:t>
            </w:r>
            <w:r w:rsidRPr="009412EE">
              <w:rPr>
                <w:rFonts w:cstheme="minorHAnsi"/>
                <w:color w:val="auto"/>
                <w:sz w:val="18"/>
                <w:szCs w:val="18"/>
              </w:rPr>
              <w:t>10</w:t>
            </w:r>
            <w:r w:rsidR="00987190" w:rsidRPr="009412EE">
              <w:rPr>
                <w:rFonts w:cstheme="minorHAnsi"/>
                <w:color w:val="auto"/>
                <w:sz w:val="18"/>
                <w:szCs w:val="18"/>
              </w:rPr>
              <w:t>,</w:t>
            </w:r>
            <w:r w:rsidRPr="009412EE">
              <w:rPr>
                <w:rFonts w:cstheme="minorHAnsi"/>
                <w:color w:val="auto"/>
                <w:sz w:val="18"/>
                <w:szCs w:val="18"/>
              </w:rPr>
              <w:t xml:space="preserve"> flow requirements for the mainten</w:t>
            </w:r>
            <w:r w:rsidR="00987190" w:rsidRPr="009412EE">
              <w:rPr>
                <w:rFonts w:cstheme="minorHAnsi"/>
                <w:color w:val="auto"/>
                <w:sz w:val="18"/>
                <w:szCs w:val="18"/>
              </w:rPr>
              <w:t>an</w:t>
            </w:r>
            <w:r w:rsidRPr="009412EE">
              <w:rPr>
                <w:rFonts w:cstheme="minorHAnsi"/>
                <w:color w:val="auto"/>
                <w:sz w:val="18"/>
                <w:szCs w:val="18"/>
              </w:rPr>
              <w:t>ce of drought refuges have generally been met. Requirements specified for the Bokhara and Culgoa have been met each year since 2009</w:t>
            </w:r>
            <w:r w:rsidR="00987190" w:rsidRPr="009412EE">
              <w:rPr>
                <w:rFonts w:cstheme="minorHAnsi"/>
                <w:color w:val="auto"/>
                <w:sz w:val="18"/>
                <w:szCs w:val="18"/>
              </w:rPr>
              <w:t>–</w:t>
            </w:r>
            <w:r w:rsidRPr="009412EE">
              <w:rPr>
                <w:rFonts w:cstheme="minorHAnsi"/>
                <w:color w:val="auto"/>
                <w:sz w:val="18"/>
                <w:szCs w:val="18"/>
              </w:rPr>
              <w:t>10.  The requirements specified for the Birrie and Bokhara systems are more difficult to achieve, with the Birrie requirement met 8 out of 11 years and the Narran requirement met 10 out of 11 years.  While a filling flow recently passed through each of the 4 targets systems (March</w:t>
            </w:r>
            <w:r w:rsidR="00987190" w:rsidRPr="009412EE">
              <w:rPr>
                <w:rFonts w:cstheme="minorHAnsi"/>
                <w:color w:val="auto"/>
                <w:sz w:val="18"/>
                <w:szCs w:val="18"/>
              </w:rPr>
              <w:t>–</w:t>
            </w:r>
            <w:r w:rsidRPr="009412EE">
              <w:rPr>
                <w:rFonts w:cstheme="minorHAnsi"/>
                <w:color w:val="auto"/>
                <w:sz w:val="18"/>
                <w:szCs w:val="18"/>
              </w:rPr>
              <w:t>April 2020), these flows are needed each year, so the requirement remains high.</w:t>
            </w:r>
          </w:p>
        </w:tc>
        <w:tc>
          <w:tcPr>
            <w:tcW w:w="1984" w:type="dxa"/>
            <w:vMerge w:val="restart"/>
            <w:tcBorders>
              <w:top w:val="single" w:sz="12" w:space="0" w:color="auto"/>
              <w:left w:val="single" w:sz="4" w:space="0" w:color="auto"/>
              <w:right w:val="single" w:sz="4" w:space="0" w:color="auto"/>
            </w:tcBorders>
            <w:shd w:val="clear" w:color="auto" w:fill="FF0000"/>
            <w:vAlign w:val="center"/>
            <w:hideMark/>
          </w:tcPr>
          <w:p w14:paraId="2246FCAF" w14:textId="77777777" w:rsidR="00D02D10" w:rsidRPr="009412EE" w:rsidRDefault="00D02D10" w:rsidP="00273793">
            <w:pPr>
              <w:jc w:val="center"/>
              <w:rPr>
                <w:rFonts w:cstheme="minorHAnsi"/>
                <w:bCs/>
                <w:color w:val="auto"/>
                <w:sz w:val="18"/>
                <w:szCs w:val="18"/>
              </w:rPr>
            </w:pPr>
            <w:r w:rsidRPr="009412EE">
              <w:rPr>
                <w:rFonts w:cstheme="minorHAnsi"/>
                <w:bCs/>
                <w:color w:val="auto"/>
                <w:sz w:val="18"/>
                <w:szCs w:val="18"/>
              </w:rPr>
              <w:t xml:space="preserve">High </w:t>
            </w:r>
          </w:p>
          <w:p w14:paraId="1858863D" w14:textId="77777777" w:rsidR="00D02D10" w:rsidRPr="009412EE" w:rsidRDefault="00D02D10" w:rsidP="00273793">
            <w:pPr>
              <w:jc w:val="center"/>
              <w:rPr>
                <w:rFonts w:cstheme="minorHAnsi"/>
                <w:bCs/>
                <w:color w:val="auto"/>
                <w:sz w:val="18"/>
                <w:szCs w:val="18"/>
              </w:rPr>
            </w:pPr>
            <w:r w:rsidRPr="009412EE">
              <w:rPr>
                <w:rFonts w:cstheme="minorHAnsi"/>
                <w:bCs/>
                <w:color w:val="auto"/>
                <w:sz w:val="18"/>
                <w:szCs w:val="18"/>
              </w:rPr>
              <w:br/>
            </w:r>
          </w:p>
        </w:tc>
        <w:tc>
          <w:tcPr>
            <w:tcW w:w="2977" w:type="dxa"/>
            <w:vMerge w:val="restart"/>
            <w:tcBorders>
              <w:top w:val="single" w:sz="12" w:space="0" w:color="auto"/>
              <w:left w:val="single" w:sz="4" w:space="0" w:color="auto"/>
              <w:right w:val="single" w:sz="12" w:space="0" w:color="auto"/>
            </w:tcBorders>
            <w:shd w:val="clear" w:color="auto" w:fill="95B3D7" w:themeFill="accent1" w:themeFillTint="99"/>
            <w:vAlign w:val="center"/>
            <w:hideMark/>
          </w:tcPr>
          <w:p w14:paraId="1722A2A3" w14:textId="5C71E767" w:rsidR="00D02D10" w:rsidRPr="009412EE" w:rsidRDefault="00987190" w:rsidP="00904409">
            <w:pPr>
              <w:shd w:val="clear" w:color="auto" w:fill="95B3D7" w:themeFill="accent1" w:themeFillTint="99"/>
              <w:spacing w:before="60" w:after="60"/>
              <w:jc w:val="center"/>
              <w:rPr>
                <w:rFonts w:cstheme="minorHAnsi"/>
                <w:color w:val="auto"/>
                <w:sz w:val="18"/>
                <w:szCs w:val="18"/>
              </w:rPr>
            </w:pPr>
            <w:r w:rsidRPr="009412EE">
              <w:rPr>
                <w:rFonts w:cstheme="minorHAnsi"/>
                <w:b/>
                <w:bCs/>
                <w:color w:val="auto"/>
                <w:sz w:val="18"/>
                <w:szCs w:val="18"/>
              </w:rPr>
              <w:t xml:space="preserve">Moderate priority for CEW under </w:t>
            </w:r>
            <w:r w:rsidR="00E46D01" w:rsidRPr="009412EE">
              <w:rPr>
                <w:rFonts w:cstheme="minorHAnsi"/>
                <w:b/>
                <w:bCs/>
                <w:color w:val="auto"/>
                <w:sz w:val="18"/>
                <w:szCs w:val="18"/>
              </w:rPr>
              <w:t>all</w:t>
            </w:r>
            <w:r w:rsidRPr="009412EE">
              <w:rPr>
                <w:rFonts w:cstheme="minorHAnsi"/>
                <w:b/>
                <w:bCs/>
                <w:color w:val="auto"/>
                <w:sz w:val="18"/>
                <w:szCs w:val="18"/>
              </w:rPr>
              <w:t xml:space="preserve"> water resource availability scenarios.</w:t>
            </w:r>
            <w:r w:rsidR="00D02D10" w:rsidRPr="009412EE">
              <w:rPr>
                <w:rFonts w:cstheme="minorHAnsi"/>
                <w:color w:val="auto"/>
                <w:sz w:val="18"/>
                <w:szCs w:val="18"/>
              </w:rPr>
              <w:br/>
              <w:t>The demand should be met by planned environmental water (environmental stock and domestic flows</w:t>
            </w:r>
            <w:r w:rsidR="009B120B" w:rsidRPr="009412EE">
              <w:rPr>
                <w:rFonts w:cstheme="minorHAnsi"/>
                <w:color w:val="auto"/>
                <w:sz w:val="18"/>
                <w:szCs w:val="18"/>
              </w:rPr>
              <w:t>)</w:t>
            </w:r>
            <w:r w:rsidR="00D02D10" w:rsidRPr="009412EE">
              <w:rPr>
                <w:rFonts w:cstheme="minorHAnsi"/>
                <w:color w:val="auto"/>
                <w:sz w:val="18"/>
                <w:szCs w:val="18"/>
              </w:rPr>
              <w:t xml:space="preserve">. After a water harvesting event has been announced, water left in the river as a result of the Commonwealth owning licences will be distributed across channels in the lower Balonne. </w:t>
            </w:r>
          </w:p>
          <w:p w14:paraId="26C5FDD7" w14:textId="77777777" w:rsidR="00D02D10" w:rsidRPr="009412EE" w:rsidRDefault="00D02D10" w:rsidP="00904409">
            <w:pPr>
              <w:spacing w:before="60" w:after="60"/>
              <w:jc w:val="center"/>
              <w:rPr>
                <w:rFonts w:cstheme="minorHAnsi"/>
                <w:color w:val="auto"/>
                <w:sz w:val="18"/>
                <w:szCs w:val="18"/>
              </w:rPr>
            </w:pPr>
            <w:r w:rsidRPr="009412EE">
              <w:rPr>
                <w:rFonts w:cstheme="minorHAnsi"/>
                <w:color w:val="auto"/>
                <w:sz w:val="18"/>
                <w:szCs w:val="18"/>
              </w:rPr>
              <w:t xml:space="preserve"> </w:t>
            </w:r>
            <w:r w:rsidRPr="009412EE">
              <w:rPr>
                <w:rFonts w:cstheme="minorHAnsi"/>
                <w:color w:val="auto"/>
                <w:sz w:val="18"/>
                <w:szCs w:val="18"/>
              </w:rPr>
              <w:br/>
            </w:r>
          </w:p>
        </w:tc>
        <w:tc>
          <w:tcPr>
            <w:tcW w:w="2268" w:type="dxa"/>
            <w:vMerge w:val="restart"/>
            <w:tcBorders>
              <w:top w:val="single" w:sz="12" w:space="0" w:color="auto"/>
              <w:left w:val="single" w:sz="4" w:space="0" w:color="auto"/>
              <w:right w:val="single" w:sz="12" w:space="0" w:color="auto"/>
            </w:tcBorders>
            <w:shd w:val="clear" w:color="auto" w:fill="FF0000"/>
            <w:vAlign w:val="center"/>
          </w:tcPr>
          <w:p w14:paraId="71D9793F" w14:textId="5328149B"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High</w:t>
            </w:r>
          </w:p>
        </w:tc>
      </w:tr>
      <w:tr w:rsidR="009412EE" w:rsidRPr="009412EE" w14:paraId="5B8D1545" w14:textId="77777777" w:rsidTr="009412EE">
        <w:trPr>
          <w:trHeight w:val="399"/>
        </w:trPr>
        <w:tc>
          <w:tcPr>
            <w:tcW w:w="1843" w:type="dxa"/>
            <w:vMerge/>
            <w:tcBorders>
              <w:left w:val="single" w:sz="12" w:space="0" w:color="auto"/>
              <w:right w:val="single" w:sz="4" w:space="0" w:color="auto"/>
            </w:tcBorders>
            <w:vAlign w:val="center"/>
            <w:hideMark/>
          </w:tcPr>
          <w:p w14:paraId="7F51BAB0" w14:textId="77777777" w:rsidR="00D02D10" w:rsidRPr="009412EE" w:rsidRDefault="00D02D10" w:rsidP="00A867B2">
            <w:pPr>
              <w:rPr>
                <w:rFonts w:cstheme="minorHAnsi"/>
                <w:b/>
                <w:bCs/>
                <w:color w:val="auto"/>
                <w:sz w:val="18"/>
                <w:szCs w:val="18"/>
              </w:rPr>
            </w:pPr>
          </w:p>
        </w:tc>
        <w:tc>
          <w:tcPr>
            <w:tcW w:w="1559" w:type="dxa"/>
            <w:vMerge/>
            <w:tcBorders>
              <w:left w:val="single" w:sz="4" w:space="0" w:color="auto"/>
              <w:right w:val="single" w:sz="4" w:space="0" w:color="auto"/>
            </w:tcBorders>
            <w:vAlign w:val="center"/>
            <w:hideMark/>
          </w:tcPr>
          <w:p w14:paraId="7D73F941" w14:textId="77777777" w:rsidR="00D02D10" w:rsidRPr="009412EE" w:rsidRDefault="00D02D10" w:rsidP="00273793">
            <w:pPr>
              <w:ind w:left="111"/>
              <w:rPr>
                <w:rFonts w:cstheme="minorHAnsi"/>
                <w:color w:val="auto"/>
                <w:sz w:val="18"/>
                <w:szCs w:val="18"/>
              </w:rPr>
            </w:pPr>
          </w:p>
        </w:tc>
        <w:tc>
          <w:tcPr>
            <w:tcW w:w="3969" w:type="dxa"/>
            <w:tcBorders>
              <w:left w:val="nil"/>
              <w:right w:val="single" w:sz="4" w:space="0" w:color="auto"/>
            </w:tcBorders>
            <w:shd w:val="clear" w:color="auto" w:fill="auto"/>
            <w:vAlign w:val="center"/>
            <w:hideMark/>
          </w:tcPr>
          <w:p w14:paraId="652E349D" w14:textId="77777777" w:rsidR="00D02D10" w:rsidRPr="009412EE" w:rsidRDefault="00D02D10" w:rsidP="009412EE">
            <w:pPr>
              <w:pStyle w:val="ListParagraph"/>
              <w:numPr>
                <w:ilvl w:val="0"/>
                <w:numId w:val="32"/>
              </w:numPr>
              <w:ind w:left="252" w:hanging="142"/>
              <w:rPr>
                <w:rFonts w:cstheme="minorHAnsi"/>
                <w:color w:val="auto"/>
                <w:sz w:val="18"/>
                <w:szCs w:val="18"/>
              </w:rPr>
            </w:pPr>
            <w:r w:rsidRPr="009412EE">
              <w:rPr>
                <w:rFonts w:cstheme="minorHAnsi"/>
                <w:color w:val="auto"/>
                <w:sz w:val="18"/>
                <w:szCs w:val="18"/>
              </w:rPr>
              <w:t>30 ML/day Birrie River @ Talawanta for 1 day</w:t>
            </w:r>
          </w:p>
        </w:tc>
        <w:tc>
          <w:tcPr>
            <w:tcW w:w="1418" w:type="dxa"/>
            <w:vMerge/>
            <w:tcBorders>
              <w:left w:val="single" w:sz="4" w:space="0" w:color="auto"/>
              <w:right w:val="single" w:sz="4" w:space="0" w:color="auto"/>
            </w:tcBorders>
            <w:vAlign w:val="center"/>
            <w:hideMark/>
          </w:tcPr>
          <w:p w14:paraId="38A54A92" w14:textId="77777777" w:rsidR="00D02D10" w:rsidRPr="009412EE" w:rsidRDefault="00D02D10" w:rsidP="001C507D">
            <w:pPr>
              <w:ind w:left="109"/>
              <w:rPr>
                <w:rFonts w:cstheme="minorHAnsi"/>
                <w:color w:val="auto"/>
                <w:sz w:val="18"/>
                <w:szCs w:val="18"/>
              </w:rPr>
            </w:pPr>
          </w:p>
        </w:tc>
        <w:tc>
          <w:tcPr>
            <w:tcW w:w="5954" w:type="dxa"/>
            <w:vMerge/>
            <w:tcBorders>
              <w:left w:val="single" w:sz="4" w:space="0" w:color="auto"/>
              <w:right w:val="single" w:sz="4" w:space="0" w:color="auto"/>
            </w:tcBorders>
            <w:shd w:val="clear" w:color="auto" w:fill="auto"/>
            <w:vAlign w:val="center"/>
          </w:tcPr>
          <w:p w14:paraId="382A8D38" w14:textId="77777777" w:rsidR="00D02D10" w:rsidRPr="009412EE" w:rsidRDefault="00D02D10" w:rsidP="00273793">
            <w:pPr>
              <w:spacing w:before="120" w:line="276" w:lineRule="auto"/>
              <w:jc w:val="center"/>
              <w:rPr>
                <w:rFonts w:cstheme="minorHAnsi"/>
                <w:color w:val="auto"/>
                <w:sz w:val="18"/>
                <w:szCs w:val="18"/>
              </w:rPr>
            </w:pPr>
          </w:p>
        </w:tc>
        <w:tc>
          <w:tcPr>
            <w:tcW w:w="1984" w:type="dxa"/>
            <w:vMerge/>
            <w:tcBorders>
              <w:left w:val="single" w:sz="4" w:space="0" w:color="auto"/>
              <w:right w:val="single" w:sz="4" w:space="0" w:color="auto"/>
            </w:tcBorders>
            <w:shd w:val="clear" w:color="auto" w:fill="FF0000"/>
            <w:vAlign w:val="center"/>
            <w:hideMark/>
          </w:tcPr>
          <w:p w14:paraId="53787070" w14:textId="77777777" w:rsidR="00D02D10" w:rsidRPr="009412EE" w:rsidRDefault="00D02D10" w:rsidP="00A867B2">
            <w:pPr>
              <w:jc w:val="center"/>
              <w:rPr>
                <w:rFonts w:cstheme="minorHAnsi"/>
                <w:bCs/>
                <w:color w:val="auto"/>
                <w:sz w:val="18"/>
                <w:szCs w:val="18"/>
              </w:rPr>
            </w:pPr>
          </w:p>
        </w:tc>
        <w:tc>
          <w:tcPr>
            <w:tcW w:w="2977" w:type="dxa"/>
            <w:vMerge/>
            <w:tcBorders>
              <w:left w:val="single" w:sz="4" w:space="0" w:color="auto"/>
              <w:right w:val="single" w:sz="12" w:space="0" w:color="auto"/>
            </w:tcBorders>
            <w:shd w:val="clear" w:color="auto" w:fill="95B3D7" w:themeFill="accent1" w:themeFillTint="99"/>
            <w:vAlign w:val="center"/>
            <w:hideMark/>
          </w:tcPr>
          <w:p w14:paraId="4E7E6363" w14:textId="77777777" w:rsidR="00D02D10" w:rsidRPr="009412EE" w:rsidRDefault="00D02D10" w:rsidP="00904409">
            <w:pPr>
              <w:spacing w:before="60" w:after="60"/>
              <w:jc w:val="center"/>
              <w:rPr>
                <w:rFonts w:cstheme="minorHAnsi"/>
                <w:color w:val="auto"/>
                <w:sz w:val="18"/>
                <w:szCs w:val="18"/>
              </w:rPr>
            </w:pPr>
          </w:p>
        </w:tc>
        <w:tc>
          <w:tcPr>
            <w:tcW w:w="2268" w:type="dxa"/>
            <w:vMerge/>
            <w:tcBorders>
              <w:left w:val="single" w:sz="4" w:space="0" w:color="auto"/>
              <w:right w:val="single" w:sz="12" w:space="0" w:color="auto"/>
            </w:tcBorders>
            <w:shd w:val="clear" w:color="auto" w:fill="FF0000"/>
          </w:tcPr>
          <w:p w14:paraId="61B7999D" w14:textId="77777777" w:rsidR="00D02D10" w:rsidRPr="009412EE" w:rsidRDefault="00D02D10" w:rsidP="00A867B2">
            <w:pPr>
              <w:jc w:val="center"/>
              <w:rPr>
                <w:rFonts w:cstheme="minorHAnsi"/>
                <w:bCs/>
                <w:color w:val="auto"/>
                <w:sz w:val="18"/>
                <w:szCs w:val="18"/>
              </w:rPr>
            </w:pPr>
          </w:p>
        </w:tc>
      </w:tr>
      <w:tr w:rsidR="009412EE" w:rsidRPr="009412EE" w14:paraId="1D4F0E40" w14:textId="77777777" w:rsidTr="009412EE">
        <w:trPr>
          <w:trHeight w:val="399"/>
        </w:trPr>
        <w:tc>
          <w:tcPr>
            <w:tcW w:w="1843" w:type="dxa"/>
            <w:vMerge/>
            <w:tcBorders>
              <w:left w:val="single" w:sz="12" w:space="0" w:color="auto"/>
              <w:right w:val="single" w:sz="4" w:space="0" w:color="auto"/>
            </w:tcBorders>
            <w:vAlign w:val="center"/>
          </w:tcPr>
          <w:p w14:paraId="4E75CDDC" w14:textId="77777777" w:rsidR="00D02D10" w:rsidRPr="009412EE" w:rsidRDefault="00D02D10" w:rsidP="00A867B2">
            <w:pPr>
              <w:rPr>
                <w:rFonts w:cstheme="minorHAnsi"/>
                <w:b/>
                <w:bCs/>
                <w:color w:val="auto"/>
                <w:sz w:val="18"/>
                <w:szCs w:val="18"/>
              </w:rPr>
            </w:pPr>
          </w:p>
        </w:tc>
        <w:tc>
          <w:tcPr>
            <w:tcW w:w="1559" w:type="dxa"/>
            <w:vMerge/>
            <w:tcBorders>
              <w:left w:val="single" w:sz="4" w:space="0" w:color="auto"/>
              <w:right w:val="single" w:sz="4" w:space="0" w:color="auto"/>
            </w:tcBorders>
            <w:vAlign w:val="center"/>
          </w:tcPr>
          <w:p w14:paraId="186749F0" w14:textId="77777777" w:rsidR="00D02D10" w:rsidRPr="009412EE" w:rsidRDefault="00D02D10" w:rsidP="00273793">
            <w:pPr>
              <w:ind w:left="111"/>
              <w:rPr>
                <w:rFonts w:cstheme="minorHAnsi"/>
                <w:color w:val="auto"/>
                <w:sz w:val="18"/>
                <w:szCs w:val="18"/>
              </w:rPr>
            </w:pPr>
          </w:p>
        </w:tc>
        <w:tc>
          <w:tcPr>
            <w:tcW w:w="3969" w:type="dxa"/>
            <w:tcBorders>
              <w:left w:val="nil"/>
              <w:right w:val="single" w:sz="4" w:space="0" w:color="auto"/>
            </w:tcBorders>
            <w:shd w:val="clear" w:color="auto" w:fill="auto"/>
            <w:vAlign w:val="center"/>
          </w:tcPr>
          <w:p w14:paraId="4D8C4DEF" w14:textId="77777777" w:rsidR="00D02D10" w:rsidRPr="009412EE" w:rsidRDefault="00D02D10" w:rsidP="009412EE">
            <w:pPr>
              <w:pStyle w:val="ListParagraph"/>
              <w:numPr>
                <w:ilvl w:val="0"/>
                <w:numId w:val="32"/>
              </w:numPr>
              <w:ind w:left="252" w:hanging="142"/>
              <w:rPr>
                <w:rFonts w:cstheme="minorHAnsi"/>
                <w:color w:val="auto"/>
                <w:sz w:val="18"/>
                <w:szCs w:val="18"/>
              </w:rPr>
            </w:pPr>
            <w:r w:rsidRPr="009412EE">
              <w:rPr>
                <w:rFonts w:cstheme="minorHAnsi"/>
                <w:color w:val="auto"/>
                <w:sz w:val="18"/>
                <w:szCs w:val="18"/>
              </w:rPr>
              <w:t>30 ML/day Bokhara River @ Bokhara for 1 day</w:t>
            </w:r>
          </w:p>
        </w:tc>
        <w:tc>
          <w:tcPr>
            <w:tcW w:w="1418" w:type="dxa"/>
            <w:vMerge/>
            <w:tcBorders>
              <w:left w:val="single" w:sz="4" w:space="0" w:color="auto"/>
              <w:right w:val="single" w:sz="4" w:space="0" w:color="auto"/>
            </w:tcBorders>
            <w:vAlign w:val="center"/>
          </w:tcPr>
          <w:p w14:paraId="1A96AA2F" w14:textId="77777777" w:rsidR="00D02D10" w:rsidRPr="009412EE" w:rsidRDefault="00D02D10" w:rsidP="001C507D">
            <w:pPr>
              <w:ind w:left="109"/>
              <w:rPr>
                <w:rFonts w:cstheme="minorHAnsi"/>
                <w:color w:val="auto"/>
                <w:sz w:val="18"/>
                <w:szCs w:val="18"/>
              </w:rPr>
            </w:pPr>
          </w:p>
        </w:tc>
        <w:tc>
          <w:tcPr>
            <w:tcW w:w="5954" w:type="dxa"/>
            <w:vMerge/>
            <w:tcBorders>
              <w:left w:val="single" w:sz="4" w:space="0" w:color="auto"/>
              <w:right w:val="single" w:sz="4" w:space="0" w:color="auto"/>
            </w:tcBorders>
            <w:shd w:val="clear" w:color="auto" w:fill="auto"/>
            <w:vAlign w:val="center"/>
          </w:tcPr>
          <w:p w14:paraId="210B972E" w14:textId="77777777" w:rsidR="00D02D10" w:rsidRPr="009412EE" w:rsidRDefault="00D02D10" w:rsidP="00273793">
            <w:pPr>
              <w:spacing w:before="120" w:line="276" w:lineRule="auto"/>
              <w:jc w:val="center"/>
              <w:rPr>
                <w:rFonts w:cstheme="minorHAnsi"/>
                <w:color w:val="auto"/>
                <w:sz w:val="18"/>
                <w:szCs w:val="18"/>
              </w:rPr>
            </w:pPr>
          </w:p>
        </w:tc>
        <w:tc>
          <w:tcPr>
            <w:tcW w:w="1984" w:type="dxa"/>
            <w:vMerge/>
            <w:tcBorders>
              <w:left w:val="single" w:sz="4" w:space="0" w:color="auto"/>
              <w:right w:val="single" w:sz="4" w:space="0" w:color="auto"/>
            </w:tcBorders>
            <w:shd w:val="clear" w:color="auto" w:fill="FF0000"/>
            <w:vAlign w:val="center"/>
          </w:tcPr>
          <w:p w14:paraId="54B38BD6" w14:textId="77777777" w:rsidR="00D02D10" w:rsidRPr="009412EE" w:rsidRDefault="00D02D10" w:rsidP="00A867B2">
            <w:pPr>
              <w:jc w:val="center"/>
              <w:rPr>
                <w:rFonts w:cstheme="minorHAnsi"/>
                <w:bCs/>
                <w:color w:val="auto"/>
                <w:sz w:val="18"/>
                <w:szCs w:val="18"/>
              </w:rPr>
            </w:pPr>
          </w:p>
        </w:tc>
        <w:tc>
          <w:tcPr>
            <w:tcW w:w="2977" w:type="dxa"/>
            <w:vMerge/>
            <w:tcBorders>
              <w:left w:val="single" w:sz="4" w:space="0" w:color="auto"/>
              <w:right w:val="single" w:sz="12" w:space="0" w:color="auto"/>
            </w:tcBorders>
            <w:shd w:val="clear" w:color="auto" w:fill="95B3D7" w:themeFill="accent1" w:themeFillTint="99"/>
            <w:vAlign w:val="center"/>
          </w:tcPr>
          <w:p w14:paraId="07087F91" w14:textId="77777777" w:rsidR="00D02D10" w:rsidRPr="009412EE" w:rsidRDefault="00D02D10" w:rsidP="00904409">
            <w:pPr>
              <w:spacing w:before="60" w:after="60"/>
              <w:jc w:val="center"/>
              <w:rPr>
                <w:rFonts w:cstheme="minorHAnsi"/>
                <w:color w:val="auto"/>
                <w:sz w:val="18"/>
                <w:szCs w:val="18"/>
              </w:rPr>
            </w:pPr>
          </w:p>
        </w:tc>
        <w:tc>
          <w:tcPr>
            <w:tcW w:w="2268" w:type="dxa"/>
            <w:vMerge/>
            <w:tcBorders>
              <w:left w:val="single" w:sz="4" w:space="0" w:color="auto"/>
              <w:right w:val="single" w:sz="12" w:space="0" w:color="auto"/>
            </w:tcBorders>
            <w:shd w:val="clear" w:color="auto" w:fill="FF0000"/>
          </w:tcPr>
          <w:p w14:paraId="6C128396" w14:textId="77777777" w:rsidR="00D02D10" w:rsidRPr="009412EE" w:rsidRDefault="00D02D10" w:rsidP="00A867B2">
            <w:pPr>
              <w:jc w:val="center"/>
              <w:rPr>
                <w:rFonts w:cstheme="minorHAnsi"/>
                <w:bCs/>
                <w:color w:val="auto"/>
                <w:sz w:val="18"/>
                <w:szCs w:val="18"/>
              </w:rPr>
            </w:pPr>
          </w:p>
        </w:tc>
      </w:tr>
      <w:tr w:rsidR="009412EE" w:rsidRPr="009412EE" w14:paraId="51D38F33" w14:textId="77777777" w:rsidTr="009412EE">
        <w:trPr>
          <w:trHeight w:val="160"/>
        </w:trPr>
        <w:tc>
          <w:tcPr>
            <w:tcW w:w="1843" w:type="dxa"/>
            <w:vMerge/>
            <w:tcBorders>
              <w:left w:val="single" w:sz="12" w:space="0" w:color="auto"/>
              <w:right w:val="single" w:sz="4" w:space="0" w:color="auto"/>
            </w:tcBorders>
            <w:vAlign w:val="center"/>
            <w:hideMark/>
          </w:tcPr>
          <w:p w14:paraId="7CE2715B" w14:textId="77777777" w:rsidR="00D02D10" w:rsidRPr="009412EE" w:rsidRDefault="00D02D10" w:rsidP="00A867B2">
            <w:pPr>
              <w:rPr>
                <w:rFonts w:cstheme="minorHAnsi"/>
                <w:b/>
                <w:bCs/>
                <w:color w:val="auto"/>
                <w:sz w:val="18"/>
                <w:szCs w:val="18"/>
              </w:rPr>
            </w:pPr>
          </w:p>
        </w:tc>
        <w:tc>
          <w:tcPr>
            <w:tcW w:w="1559" w:type="dxa"/>
            <w:vMerge/>
            <w:tcBorders>
              <w:left w:val="single" w:sz="4" w:space="0" w:color="auto"/>
              <w:right w:val="single" w:sz="4" w:space="0" w:color="auto"/>
            </w:tcBorders>
            <w:vAlign w:val="center"/>
            <w:hideMark/>
          </w:tcPr>
          <w:p w14:paraId="1623B489" w14:textId="77777777" w:rsidR="00D02D10" w:rsidRPr="009412EE" w:rsidRDefault="00D02D10" w:rsidP="00273793">
            <w:pPr>
              <w:ind w:left="111"/>
              <w:rPr>
                <w:rFonts w:cstheme="minorHAnsi"/>
                <w:color w:val="auto"/>
                <w:sz w:val="18"/>
                <w:szCs w:val="18"/>
              </w:rPr>
            </w:pPr>
          </w:p>
        </w:tc>
        <w:tc>
          <w:tcPr>
            <w:tcW w:w="3969" w:type="dxa"/>
            <w:tcBorders>
              <w:left w:val="nil"/>
              <w:right w:val="single" w:sz="4" w:space="0" w:color="auto"/>
            </w:tcBorders>
            <w:shd w:val="clear" w:color="auto" w:fill="auto"/>
            <w:vAlign w:val="center"/>
            <w:hideMark/>
          </w:tcPr>
          <w:p w14:paraId="72D1A4A3" w14:textId="77777777" w:rsidR="00D02D10" w:rsidRPr="009412EE" w:rsidRDefault="00D02D10" w:rsidP="009412EE">
            <w:pPr>
              <w:pStyle w:val="ListParagraph"/>
              <w:numPr>
                <w:ilvl w:val="0"/>
                <w:numId w:val="32"/>
              </w:numPr>
              <w:ind w:left="252" w:hanging="142"/>
              <w:rPr>
                <w:rFonts w:cstheme="minorHAnsi"/>
                <w:color w:val="auto"/>
                <w:sz w:val="18"/>
                <w:szCs w:val="18"/>
              </w:rPr>
            </w:pPr>
            <w:r w:rsidRPr="009412EE">
              <w:rPr>
                <w:rFonts w:cstheme="minorHAnsi"/>
                <w:color w:val="auto"/>
                <w:sz w:val="18"/>
                <w:szCs w:val="18"/>
              </w:rPr>
              <w:t>30 ML/day Culgoa River @ Weilmoringle for 1 day</w:t>
            </w:r>
          </w:p>
        </w:tc>
        <w:tc>
          <w:tcPr>
            <w:tcW w:w="1418" w:type="dxa"/>
            <w:vMerge/>
            <w:tcBorders>
              <w:left w:val="single" w:sz="4" w:space="0" w:color="auto"/>
              <w:right w:val="single" w:sz="4" w:space="0" w:color="auto"/>
            </w:tcBorders>
            <w:vAlign w:val="center"/>
            <w:hideMark/>
          </w:tcPr>
          <w:p w14:paraId="6FA5FC3F" w14:textId="77777777" w:rsidR="00D02D10" w:rsidRPr="009412EE" w:rsidRDefault="00D02D10" w:rsidP="001C507D">
            <w:pPr>
              <w:ind w:left="109"/>
              <w:rPr>
                <w:rFonts w:cstheme="minorHAnsi"/>
                <w:color w:val="auto"/>
                <w:sz w:val="18"/>
                <w:szCs w:val="18"/>
              </w:rPr>
            </w:pPr>
          </w:p>
        </w:tc>
        <w:tc>
          <w:tcPr>
            <w:tcW w:w="5954" w:type="dxa"/>
            <w:vMerge/>
            <w:tcBorders>
              <w:left w:val="single" w:sz="4" w:space="0" w:color="auto"/>
              <w:right w:val="single" w:sz="4" w:space="0" w:color="auto"/>
            </w:tcBorders>
            <w:shd w:val="clear" w:color="auto" w:fill="auto"/>
            <w:vAlign w:val="center"/>
          </w:tcPr>
          <w:p w14:paraId="4DCAE09E" w14:textId="77777777" w:rsidR="00D02D10" w:rsidRPr="009412EE" w:rsidRDefault="00D02D10" w:rsidP="00273793">
            <w:pPr>
              <w:spacing w:before="120" w:line="276" w:lineRule="auto"/>
              <w:jc w:val="center"/>
              <w:rPr>
                <w:rFonts w:cstheme="minorHAnsi"/>
                <w:color w:val="auto"/>
                <w:sz w:val="18"/>
                <w:szCs w:val="18"/>
              </w:rPr>
            </w:pPr>
          </w:p>
        </w:tc>
        <w:tc>
          <w:tcPr>
            <w:tcW w:w="1984" w:type="dxa"/>
            <w:vMerge/>
            <w:tcBorders>
              <w:left w:val="single" w:sz="4" w:space="0" w:color="auto"/>
              <w:right w:val="single" w:sz="4" w:space="0" w:color="auto"/>
            </w:tcBorders>
            <w:shd w:val="clear" w:color="auto" w:fill="FF0000"/>
            <w:vAlign w:val="center"/>
            <w:hideMark/>
          </w:tcPr>
          <w:p w14:paraId="7B17DE3E" w14:textId="77777777" w:rsidR="00D02D10" w:rsidRPr="009412EE" w:rsidRDefault="00D02D10" w:rsidP="00A867B2">
            <w:pPr>
              <w:jc w:val="center"/>
              <w:rPr>
                <w:rFonts w:cstheme="minorHAnsi"/>
                <w:bCs/>
                <w:color w:val="auto"/>
                <w:sz w:val="18"/>
                <w:szCs w:val="18"/>
              </w:rPr>
            </w:pPr>
          </w:p>
        </w:tc>
        <w:tc>
          <w:tcPr>
            <w:tcW w:w="2977" w:type="dxa"/>
            <w:vMerge/>
            <w:tcBorders>
              <w:left w:val="single" w:sz="4" w:space="0" w:color="auto"/>
              <w:right w:val="single" w:sz="12" w:space="0" w:color="auto"/>
            </w:tcBorders>
            <w:shd w:val="clear" w:color="auto" w:fill="95B3D7" w:themeFill="accent1" w:themeFillTint="99"/>
            <w:vAlign w:val="center"/>
            <w:hideMark/>
          </w:tcPr>
          <w:p w14:paraId="5DB5F05A" w14:textId="77777777" w:rsidR="00D02D10" w:rsidRPr="009412EE" w:rsidRDefault="00D02D10" w:rsidP="00904409">
            <w:pPr>
              <w:spacing w:before="60" w:after="60"/>
              <w:jc w:val="center"/>
              <w:rPr>
                <w:rFonts w:cstheme="minorHAnsi"/>
                <w:color w:val="auto"/>
                <w:sz w:val="18"/>
                <w:szCs w:val="18"/>
              </w:rPr>
            </w:pPr>
          </w:p>
        </w:tc>
        <w:tc>
          <w:tcPr>
            <w:tcW w:w="2268" w:type="dxa"/>
            <w:vMerge/>
            <w:tcBorders>
              <w:left w:val="single" w:sz="4" w:space="0" w:color="auto"/>
              <w:right w:val="single" w:sz="12" w:space="0" w:color="auto"/>
            </w:tcBorders>
            <w:shd w:val="clear" w:color="auto" w:fill="FF0000"/>
          </w:tcPr>
          <w:p w14:paraId="27D2820A" w14:textId="77777777" w:rsidR="00D02D10" w:rsidRPr="009412EE" w:rsidRDefault="00D02D10" w:rsidP="00A867B2">
            <w:pPr>
              <w:jc w:val="center"/>
              <w:rPr>
                <w:rFonts w:cstheme="minorHAnsi"/>
                <w:bCs/>
                <w:color w:val="auto"/>
                <w:sz w:val="18"/>
                <w:szCs w:val="18"/>
              </w:rPr>
            </w:pPr>
          </w:p>
        </w:tc>
      </w:tr>
      <w:tr w:rsidR="009412EE" w:rsidRPr="009412EE" w14:paraId="27FFA7A9" w14:textId="77777777" w:rsidTr="009412EE">
        <w:trPr>
          <w:trHeight w:val="934"/>
        </w:trPr>
        <w:tc>
          <w:tcPr>
            <w:tcW w:w="1843" w:type="dxa"/>
            <w:vMerge/>
            <w:tcBorders>
              <w:left w:val="single" w:sz="12" w:space="0" w:color="auto"/>
              <w:right w:val="single" w:sz="4" w:space="0" w:color="auto"/>
            </w:tcBorders>
            <w:vAlign w:val="center"/>
            <w:hideMark/>
          </w:tcPr>
          <w:p w14:paraId="3C298200" w14:textId="77777777" w:rsidR="00D02D10" w:rsidRPr="009412EE" w:rsidRDefault="00D02D10" w:rsidP="00A867B2">
            <w:pPr>
              <w:rPr>
                <w:rFonts w:cstheme="minorHAnsi"/>
                <w:b/>
                <w:bCs/>
                <w:color w:val="auto"/>
                <w:sz w:val="18"/>
                <w:szCs w:val="18"/>
              </w:rPr>
            </w:pPr>
          </w:p>
        </w:tc>
        <w:tc>
          <w:tcPr>
            <w:tcW w:w="1559" w:type="dxa"/>
            <w:vMerge/>
            <w:tcBorders>
              <w:left w:val="single" w:sz="4" w:space="0" w:color="auto"/>
              <w:bottom w:val="single" w:sz="8" w:space="0" w:color="000000"/>
              <w:right w:val="single" w:sz="4" w:space="0" w:color="auto"/>
            </w:tcBorders>
            <w:vAlign w:val="center"/>
            <w:hideMark/>
          </w:tcPr>
          <w:p w14:paraId="1F6D181D" w14:textId="77777777" w:rsidR="00D02D10" w:rsidRPr="009412EE" w:rsidRDefault="00D02D10" w:rsidP="00273793">
            <w:pPr>
              <w:ind w:left="111"/>
              <w:rPr>
                <w:rFonts w:cstheme="minorHAnsi"/>
                <w:color w:val="auto"/>
                <w:sz w:val="18"/>
                <w:szCs w:val="18"/>
              </w:rPr>
            </w:pPr>
          </w:p>
        </w:tc>
        <w:tc>
          <w:tcPr>
            <w:tcW w:w="3969" w:type="dxa"/>
            <w:tcBorders>
              <w:left w:val="nil"/>
              <w:bottom w:val="single" w:sz="8" w:space="0" w:color="auto"/>
              <w:right w:val="single" w:sz="4" w:space="0" w:color="auto"/>
            </w:tcBorders>
            <w:shd w:val="clear" w:color="auto" w:fill="auto"/>
            <w:vAlign w:val="center"/>
            <w:hideMark/>
          </w:tcPr>
          <w:p w14:paraId="3742C968" w14:textId="77777777" w:rsidR="00D02D10" w:rsidRPr="009412EE" w:rsidRDefault="00D02D10" w:rsidP="009412EE">
            <w:pPr>
              <w:pStyle w:val="ListParagraph"/>
              <w:numPr>
                <w:ilvl w:val="0"/>
                <w:numId w:val="32"/>
              </w:numPr>
              <w:ind w:left="252" w:hanging="142"/>
              <w:rPr>
                <w:rFonts w:cstheme="minorHAnsi"/>
                <w:color w:val="auto"/>
                <w:sz w:val="18"/>
                <w:szCs w:val="18"/>
              </w:rPr>
            </w:pPr>
            <w:r w:rsidRPr="009412EE">
              <w:rPr>
                <w:rFonts w:cstheme="minorHAnsi"/>
                <w:color w:val="auto"/>
                <w:sz w:val="18"/>
                <w:szCs w:val="18"/>
              </w:rPr>
              <w:t>30 ML/d Narran River @ Narran Park for 1 day</w:t>
            </w:r>
          </w:p>
        </w:tc>
        <w:tc>
          <w:tcPr>
            <w:tcW w:w="1418" w:type="dxa"/>
            <w:vMerge/>
            <w:tcBorders>
              <w:left w:val="single" w:sz="4" w:space="0" w:color="auto"/>
              <w:bottom w:val="single" w:sz="8" w:space="0" w:color="auto"/>
              <w:right w:val="single" w:sz="4" w:space="0" w:color="auto"/>
            </w:tcBorders>
            <w:vAlign w:val="center"/>
            <w:hideMark/>
          </w:tcPr>
          <w:p w14:paraId="18356F74" w14:textId="77777777" w:rsidR="00D02D10" w:rsidRPr="009412EE" w:rsidRDefault="00D02D10" w:rsidP="001C507D">
            <w:pPr>
              <w:ind w:left="109"/>
              <w:rPr>
                <w:rFonts w:cstheme="minorHAnsi"/>
                <w:color w:val="auto"/>
                <w:sz w:val="18"/>
                <w:szCs w:val="18"/>
              </w:rPr>
            </w:pPr>
          </w:p>
        </w:tc>
        <w:tc>
          <w:tcPr>
            <w:tcW w:w="5954" w:type="dxa"/>
            <w:vMerge/>
            <w:tcBorders>
              <w:left w:val="single" w:sz="4" w:space="0" w:color="auto"/>
              <w:bottom w:val="single" w:sz="4" w:space="0" w:color="auto"/>
              <w:right w:val="single" w:sz="4" w:space="0" w:color="auto"/>
            </w:tcBorders>
            <w:shd w:val="clear" w:color="auto" w:fill="auto"/>
            <w:vAlign w:val="center"/>
          </w:tcPr>
          <w:p w14:paraId="5501725B" w14:textId="77777777" w:rsidR="00D02D10" w:rsidRPr="009412EE" w:rsidRDefault="00D02D10" w:rsidP="00273793">
            <w:pPr>
              <w:spacing w:before="120" w:line="276" w:lineRule="auto"/>
              <w:jc w:val="center"/>
              <w:rPr>
                <w:rFonts w:cstheme="minorHAnsi"/>
                <w:color w:val="auto"/>
                <w:sz w:val="18"/>
                <w:szCs w:val="18"/>
                <w:u w:val="single"/>
              </w:rPr>
            </w:pPr>
          </w:p>
        </w:tc>
        <w:tc>
          <w:tcPr>
            <w:tcW w:w="1984" w:type="dxa"/>
            <w:vMerge/>
            <w:tcBorders>
              <w:left w:val="single" w:sz="4" w:space="0" w:color="auto"/>
              <w:bottom w:val="single" w:sz="8" w:space="0" w:color="000000"/>
              <w:right w:val="single" w:sz="4" w:space="0" w:color="auto"/>
            </w:tcBorders>
            <w:shd w:val="clear" w:color="auto" w:fill="FF0000"/>
            <w:vAlign w:val="center"/>
            <w:hideMark/>
          </w:tcPr>
          <w:p w14:paraId="338CF642" w14:textId="77777777" w:rsidR="00D02D10" w:rsidRPr="009412EE" w:rsidRDefault="00D02D10" w:rsidP="00A867B2">
            <w:pPr>
              <w:jc w:val="center"/>
              <w:rPr>
                <w:rFonts w:cstheme="minorHAnsi"/>
                <w:bCs/>
                <w:color w:val="auto"/>
                <w:sz w:val="18"/>
                <w:szCs w:val="18"/>
              </w:rPr>
            </w:pPr>
          </w:p>
        </w:tc>
        <w:tc>
          <w:tcPr>
            <w:tcW w:w="2977" w:type="dxa"/>
            <w:vMerge/>
            <w:tcBorders>
              <w:left w:val="single" w:sz="4" w:space="0" w:color="auto"/>
              <w:bottom w:val="single" w:sz="8" w:space="0" w:color="000000"/>
              <w:right w:val="single" w:sz="12" w:space="0" w:color="auto"/>
            </w:tcBorders>
            <w:shd w:val="clear" w:color="auto" w:fill="95B3D7" w:themeFill="accent1" w:themeFillTint="99"/>
            <w:vAlign w:val="center"/>
            <w:hideMark/>
          </w:tcPr>
          <w:p w14:paraId="41D01CB7" w14:textId="77777777" w:rsidR="00D02D10" w:rsidRPr="009412EE" w:rsidRDefault="00D02D10" w:rsidP="00904409">
            <w:pPr>
              <w:spacing w:before="60" w:after="60"/>
              <w:jc w:val="center"/>
              <w:rPr>
                <w:rFonts w:cstheme="minorHAnsi"/>
                <w:color w:val="auto"/>
                <w:sz w:val="18"/>
                <w:szCs w:val="18"/>
              </w:rPr>
            </w:pPr>
          </w:p>
        </w:tc>
        <w:tc>
          <w:tcPr>
            <w:tcW w:w="2268" w:type="dxa"/>
            <w:vMerge/>
            <w:tcBorders>
              <w:left w:val="single" w:sz="4" w:space="0" w:color="auto"/>
              <w:bottom w:val="single" w:sz="8" w:space="0" w:color="000000"/>
              <w:right w:val="single" w:sz="12" w:space="0" w:color="auto"/>
            </w:tcBorders>
            <w:shd w:val="clear" w:color="auto" w:fill="FF0000"/>
          </w:tcPr>
          <w:p w14:paraId="67EA710B" w14:textId="77777777" w:rsidR="00D02D10" w:rsidRPr="009412EE" w:rsidRDefault="00D02D10" w:rsidP="00A867B2">
            <w:pPr>
              <w:jc w:val="center"/>
              <w:rPr>
                <w:rFonts w:cstheme="minorHAnsi"/>
                <w:bCs/>
                <w:color w:val="auto"/>
                <w:sz w:val="18"/>
                <w:szCs w:val="18"/>
              </w:rPr>
            </w:pPr>
          </w:p>
        </w:tc>
      </w:tr>
      <w:tr w:rsidR="009412EE" w:rsidRPr="009412EE" w14:paraId="1108C316" w14:textId="77777777" w:rsidTr="009412EE">
        <w:trPr>
          <w:trHeight w:val="2018"/>
        </w:trPr>
        <w:tc>
          <w:tcPr>
            <w:tcW w:w="1843" w:type="dxa"/>
            <w:vMerge/>
            <w:tcBorders>
              <w:left w:val="single" w:sz="12" w:space="0" w:color="auto"/>
              <w:right w:val="single" w:sz="4" w:space="0" w:color="auto"/>
            </w:tcBorders>
            <w:vAlign w:val="center"/>
          </w:tcPr>
          <w:p w14:paraId="15CFD11E"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09633C1" w14:textId="5978F436" w:rsidR="00D02D10" w:rsidRPr="009412EE" w:rsidRDefault="00D02D10" w:rsidP="00273793">
            <w:pPr>
              <w:ind w:left="111"/>
              <w:rPr>
                <w:rFonts w:cstheme="minorHAnsi"/>
                <w:color w:val="auto"/>
                <w:sz w:val="18"/>
                <w:szCs w:val="18"/>
              </w:rPr>
            </w:pPr>
            <w:r w:rsidRPr="009412EE">
              <w:rPr>
                <w:rFonts w:cstheme="minorHAnsi"/>
                <w:color w:val="auto"/>
                <w:sz w:val="18"/>
                <w:szCs w:val="18"/>
              </w:rPr>
              <w:t>Culgoa River</w:t>
            </w:r>
            <w:r w:rsidR="00CC4407" w:rsidRPr="009412EE">
              <w:rPr>
                <w:rFonts w:cstheme="minorHAnsi"/>
                <w:color w:val="auto"/>
                <w:sz w:val="18"/>
                <w:szCs w:val="18"/>
              </w:rPr>
              <w:t xml:space="preserve"> – </w:t>
            </w:r>
            <w:r w:rsidRPr="009412EE">
              <w:rPr>
                <w:rFonts w:cstheme="minorHAnsi"/>
                <w:color w:val="auto"/>
                <w:sz w:val="18"/>
                <w:szCs w:val="18"/>
              </w:rPr>
              <w:t>longitudinal connectivity</w:t>
            </w:r>
          </w:p>
        </w:tc>
        <w:tc>
          <w:tcPr>
            <w:tcW w:w="3969" w:type="dxa"/>
            <w:tcBorders>
              <w:top w:val="single" w:sz="8" w:space="0" w:color="auto"/>
              <w:left w:val="nil"/>
              <w:bottom w:val="single" w:sz="4" w:space="0" w:color="auto"/>
              <w:right w:val="single" w:sz="4" w:space="0" w:color="auto"/>
            </w:tcBorders>
            <w:shd w:val="clear" w:color="auto" w:fill="auto"/>
            <w:vAlign w:val="center"/>
          </w:tcPr>
          <w:p w14:paraId="7D4C545E"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Small in channel fresh</w:t>
            </w:r>
            <w:r w:rsidRPr="009412EE">
              <w:rPr>
                <w:rFonts w:cstheme="minorHAnsi"/>
                <w:color w:val="auto"/>
                <w:sz w:val="18"/>
                <w:szCs w:val="18"/>
              </w:rPr>
              <w:br/>
              <w:t>1 000 ML/day @ Brenda for 7 days</w:t>
            </w:r>
          </w:p>
        </w:tc>
        <w:tc>
          <w:tcPr>
            <w:tcW w:w="1418" w:type="dxa"/>
            <w:tcBorders>
              <w:top w:val="single" w:sz="8" w:space="0" w:color="auto"/>
              <w:left w:val="nil"/>
              <w:bottom w:val="single" w:sz="4" w:space="0" w:color="auto"/>
              <w:right w:val="single" w:sz="4" w:space="0" w:color="auto"/>
            </w:tcBorders>
            <w:shd w:val="clear" w:color="auto" w:fill="auto"/>
            <w:vAlign w:val="center"/>
          </w:tcPr>
          <w:p w14:paraId="744D9182"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8 in 10 years</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ED40FB3" w14:textId="4DC29258"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Small freshes have occurred 7 in 10 years, including the flow event during March</w:t>
            </w:r>
            <w:r w:rsidR="00CC4407" w:rsidRPr="009412EE">
              <w:rPr>
                <w:rFonts w:cstheme="minorHAnsi"/>
                <w:color w:val="auto"/>
                <w:sz w:val="18"/>
                <w:szCs w:val="18"/>
              </w:rPr>
              <w:t>–</w:t>
            </w:r>
            <w:r w:rsidRPr="009412EE">
              <w:rPr>
                <w:rFonts w:cstheme="minorHAnsi"/>
                <w:color w:val="auto"/>
                <w:sz w:val="18"/>
                <w:szCs w:val="18"/>
              </w:rPr>
              <w:t>April 2020. However, the average required frequency has not been met so the requirement for this demand is high.</w:t>
            </w:r>
          </w:p>
        </w:tc>
        <w:tc>
          <w:tcPr>
            <w:tcW w:w="1984" w:type="dxa"/>
            <w:tcBorders>
              <w:top w:val="nil"/>
              <w:left w:val="single" w:sz="4" w:space="0" w:color="auto"/>
              <w:bottom w:val="single" w:sz="4" w:space="0" w:color="auto"/>
              <w:right w:val="single" w:sz="4" w:space="0" w:color="auto"/>
            </w:tcBorders>
            <w:shd w:val="clear" w:color="000000" w:fill="FF0000"/>
            <w:vAlign w:val="center"/>
          </w:tcPr>
          <w:p w14:paraId="086B4064"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p>
        </w:tc>
        <w:tc>
          <w:tcPr>
            <w:tcW w:w="2977" w:type="dxa"/>
            <w:tcBorders>
              <w:top w:val="nil"/>
              <w:left w:val="nil"/>
              <w:bottom w:val="single" w:sz="4" w:space="0" w:color="auto"/>
              <w:right w:val="single" w:sz="4" w:space="0" w:color="auto"/>
            </w:tcBorders>
            <w:shd w:val="clear" w:color="auto" w:fill="365F91" w:themeFill="accent1" w:themeFillShade="BF"/>
            <w:vAlign w:val="center"/>
          </w:tcPr>
          <w:p w14:paraId="1591E132" w14:textId="1667F24A" w:rsidR="00D02D10" w:rsidRPr="009412EE" w:rsidRDefault="00D02D10" w:rsidP="00904409">
            <w:pPr>
              <w:spacing w:before="60" w:after="60"/>
              <w:jc w:val="center"/>
              <w:rPr>
                <w:rFonts w:cstheme="minorHAnsi"/>
                <w:color w:val="auto"/>
                <w:sz w:val="18"/>
                <w:szCs w:val="18"/>
              </w:rPr>
            </w:pPr>
            <w:r w:rsidRPr="009412EE">
              <w:rPr>
                <w:rFonts w:cstheme="minorHAnsi"/>
                <w:color w:val="auto"/>
                <w:sz w:val="18"/>
                <w:szCs w:val="18"/>
              </w:rPr>
              <w:t>A high priority</w:t>
            </w:r>
            <w:r w:rsidR="00987190" w:rsidRPr="009412EE">
              <w:rPr>
                <w:rFonts w:cstheme="minorHAnsi"/>
                <w:color w:val="auto"/>
                <w:sz w:val="18"/>
                <w:szCs w:val="18"/>
              </w:rPr>
              <w:t xml:space="preserve"> for CEW</w:t>
            </w:r>
            <w:r w:rsidRPr="009412EE">
              <w:rPr>
                <w:rFonts w:cstheme="minorHAnsi"/>
                <w:color w:val="auto"/>
                <w:sz w:val="18"/>
                <w:szCs w:val="18"/>
              </w:rPr>
              <w:t xml:space="preserve"> under all water resource availability scenarios</w:t>
            </w:r>
            <w:r w:rsidR="00987190" w:rsidRPr="009412EE">
              <w:rPr>
                <w:rFonts w:cstheme="minorHAnsi"/>
                <w:color w:val="auto"/>
                <w:sz w:val="18"/>
                <w:szCs w:val="18"/>
              </w:rPr>
              <w:t>.</w:t>
            </w:r>
          </w:p>
        </w:tc>
        <w:tc>
          <w:tcPr>
            <w:tcW w:w="2268" w:type="dxa"/>
            <w:tcBorders>
              <w:top w:val="nil"/>
              <w:left w:val="single" w:sz="4" w:space="0" w:color="auto"/>
              <w:bottom w:val="single" w:sz="4" w:space="0" w:color="auto"/>
              <w:right w:val="single" w:sz="12" w:space="0" w:color="auto"/>
            </w:tcBorders>
            <w:shd w:val="clear" w:color="auto" w:fill="FF0000"/>
            <w:vAlign w:val="center"/>
          </w:tcPr>
          <w:p w14:paraId="748442EF"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High</w:t>
            </w:r>
          </w:p>
        </w:tc>
      </w:tr>
      <w:tr w:rsidR="009412EE" w:rsidRPr="009412EE" w14:paraId="15014186" w14:textId="77777777" w:rsidTr="009412EE">
        <w:trPr>
          <w:trHeight w:val="1756"/>
        </w:trPr>
        <w:tc>
          <w:tcPr>
            <w:tcW w:w="1843" w:type="dxa"/>
            <w:vMerge/>
            <w:tcBorders>
              <w:left w:val="single" w:sz="12" w:space="0" w:color="auto"/>
              <w:right w:val="single" w:sz="4" w:space="0" w:color="auto"/>
            </w:tcBorders>
            <w:vAlign w:val="center"/>
            <w:hideMark/>
          </w:tcPr>
          <w:p w14:paraId="1830EB00" w14:textId="77777777" w:rsidR="00D02D10" w:rsidRPr="009412EE" w:rsidRDefault="00D02D10" w:rsidP="00A867B2">
            <w:pPr>
              <w:rPr>
                <w:rFonts w:cstheme="minorHAnsi"/>
                <w:b/>
                <w:bCs/>
                <w:color w:val="auto"/>
                <w:sz w:val="18"/>
                <w:szCs w:val="18"/>
              </w:rPr>
            </w:pP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7B427D5" w14:textId="77777777" w:rsidR="00D02D10" w:rsidRPr="009412EE" w:rsidRDefault="00D02D10" w:rsidP="00273793">
            <w:pPr>
              <w:ind w:left="111"/>
              <w:rPr>
                <w:rFonts w:cstheme="minorHAnsi"/>
                <w:color w:val="auto"/>
                <w:sz w:val="18"/>
                <w:szCs w:val="18"/>
              </w:rPr>
            </w:pPr>
            <w:r w:rsidRPr="009412EE">
              <w:rPr>
                <w:rFonts w:cstheme="minorHAnsi"/>
                <w:color w:val="auto"/>
                <w:sz w:val="18"/>
                <w:szCs w:val="18"/>
              </w:rPr>
              <w:t>Narran River – fish migration</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4568DF22"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Large in-channel fresh</w:t>
            </w:r>
            <w:r w:rsidRPr="009412EE">
              <w:rPr>
                <w:rFonts w:cstheme="minorHAnsi"/>
                <w:color w:val="auto"/>
                <w:sz w:val="18"/>
                <w:szCs w:val="18"/>
              </w:rPr>
              <w:br/>
              <w:t>1 700 ML/day @ Wilby Wilby (August–May) for 14 days</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63450380" w14:textId="36944D0A" w:rsidR="00D02D10" w:rsidRPr="009412EE" w:rsidRDefault="00D02D10" w:rsidP="001C507D">
            <w:pPr>
              <w:ind w:left="109"/>
              <w:rPr>
                <w:rFonts w:cstheme="minorHAnsi"/>
                <w:color w:val="auto"/>
                <w:sz w:val="18"/>
                <w:szCs w:val="18"/>
              </w:rPr>
            </w:pPr>
            <w:r w:rsidRPr="009412EE">
              <w:rPr>
                <w:rFonts w:cstheme="minorHAnsi"/>
                <w:color w:val="auto"/>
                <w:sz w:val="18"/>
                <w:szCs w:val="18"/>
              </w:rPr>
              <w:t>4</w:t>
            </w:r>
            <w:r w:rsidR="004E7434" w:rsidRPr="009412EE">
              <w:rPr>
                <w:rFonts w:cstheme="minorHAnsi"/>
                <w:color w:val="auto"/>
                <w:sz w:val="18"/>
                <w:szCs w:val="18"/>
              </w:rPr>
              <w:t>–</w:t>
            </w:r>
            <w:r w:rsidRPr="009412EE">
              <w:rPr>
                <w:rFonts w:cstheme="minorHAnsi"/>
                <w:color w:val="auto"/>
                <w:sz w:val="18"/>
                <w:szCs w:val="18"/>
              </w:rPr>
              <w:t>6 in 10 years</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31C5" w14:textId="379624FD"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 xml:space="preserve">Large in-channel freshes have been met </w:t>
            </w:r>
            <w:r w:rsidR="00A5053E" w:rsidRPr="009412EE">
              <w:rPr>
                <w:rFonts w:cstheme="minorHAnsi"/>
                <w:color w:val="auto"/>
                <w:sz w:val="18"/>
                <w:szCs w:val="18"/>
              </w:rPr>
              <w:t xml:space="preserve">in </w:t>
            </w:r>
            <w:r w:rsidRPr="009412EE">
              <w:rPr>
                <w:rFonts w:cstheme="minorHAnsi"/>
                <w:color w:val="auto"/>
                <w:sz w:val="18"/>
                <w:szCs w:val="18"/>
              </w:rPr>
              <w:t>4 of the</w:t>
            </w:r>
            <w:r w:rsidR="00A5053E" w:rsidRPr="009412EE">
              <w:rPr>
                <w:rFonts w:cstheme="minorHAnsi"/>
                <w:color w:val="auto"/>
                <w:sz w:val="18"/>
                <w:szCs w:val="18"/>
              </w:rPr>
              <w:t xml:space="preserve"> past</w:t>
            </w:r>
            <w:r w:rsidRPr="009412EE">
              <w:rPr>
                <w:rFonts w:cstheme="minorHAnsi"/>
                <w:color w:val="auto"/>
                <w:sz w:val="18"/>
                <w:szCs w:val="18"/>
              </w:rPr>
              <w:t xml:space="preserve"> 10 years, including during March</w:t>
            </w:r>
            <w:r w:rsidR="00A5053E" w:rsidRPr="009412EE">
              <w:rPr>
                <w:rFonts w:cstheme="minorHAnsi"/>
                <w:color w:val="auto"/>
                <w:sz w:val="18"/>
                <w:szCs w:val="18"/>
              </w:rPr>
              <w:t>–</w:t>
            </w:r>
            <w:r w:rsidRPr="009412EE">
              <w:rPr>
                <w:rFonts w:cstheme="minorHAnsi"/>
                <w:color w:val="auto"/>
                <w:sz w:val="18"/>
                <w:szCs w:val="18"/>
              </w:rPr>
              <w:t>April 2020. While the average required frequency has been met, the requirement was not achieved during the period between the 2012</w:t>
            </w:r>
            <w:r w:rsidR="00A5053E" w:rsidRPr="009412EE">
              <w:rPr>
                <w:rFonts w:cstheme="minorHAnsi"/>
                <w:color w:val="auto"/>
                <w:sz w:val="18"/>
                <w:szCs w:val="18"/>
              </w:rPr>
              <w:t>–</w:t>
            </w:r>
            <w:r w:rsidRPr="009412EE">
              <w:rPr>
                <w:rFonts w:cstheme="minorHAnsi"/>
                <w:color w:val="auto"/>
                <w:sz w:val="18"/>
                <w:szCs w:val="18"/>
              </w:rPr>
              <w:t>13 and 2019</w:t>
            </w:r>
            <w:r w:rsidR="00A5053E" w:rsidRPr="009412EE">
              <w:rPr>
                <w:rFonts w:cstheme="minorHAnsi"/>
                <w:color w:val="auto"/>
                <w:sz w:val="18"/>
                <w:szCs w:val="18"/>
              </w:rPr>
              <w:t>–</w:t>
            </w:r>
            <w:r w:rsidRPr="009412EE">
              <w:rPr>
                <w:rFonts w:cstheme="minorHAnsi"/>
                <w:color w:val="auto"/>
                <w:sz w:val="18"/>
                <w:szCs w:val="18"/>
              </w:rPr>
              <w:t>20 water years. To increase recruitment opportunities, the requirement for this demand is high.</w:t>
            </w:r>
          </w:p>
        </w:tc>
        <w:tc>
          <w:tcPr>
            <w:tcW w:w="1984" w:type="dxa"/>
            <w:tcBorders>
              <w:top w:val="single" w:sz="4" w:space="0" w:color="auto"/>
              <w:left w:val="single" w:sz="4" w:space="0" w:color="auto"/>
              <w:bottom w:val="single" w:sz="8" w:space="0" w:color="auto"/>
              <w:right w:val="single" w:sz="4" w:space="0" w:color="auto"/>
            </w:tcBorders>
            <w:shd w:val="clear" w:color="auto" w:fill="FF0000"/>
            <w:vAlign w:val="center"/>
            <w:hideMark/>
          </w:tcPr>
          <w:p w14:paraId="5B163E76"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p>
        </w:tc>
        <w:tc>
          <w:tcPr>
            <w:tcW w:w="2977" w:type="dxa"/>
            <w:tcBorders>
              <w:top w:val="single" w:sz="4" w:space="0" w:color="auto"/>
              <w:left w:val="nil"/>
              <w:bottom w:val="single" w:sz="8" w:space="0" w:color="auto"/>
              <w:right w:val="single" w:sz="4" w:space="0" w:color="auto"/>
            </w:tcBorders>
            <w:shd w:val="clear" w:color="auto" w:fill="365F91" w:themeFill="accent1" w:themeFillShade="BF"/>
            <w:vAlign w:val="center"/>
            <w:hideMark/>
          </w:tcPr>
          <w:p w14:paraId="7F672448" w14:textId="2ED5FE66" w:rsidR="00D02D10" w:rsidRPr="009412EE" w:rsidRDefault="00D02D10" w:rsidP="00904409">
            <w:pPr>
              <w:spacing w:before="60" w:after="60"/>
              <w:jc w:val="center"/>
              <w:rPr>
                <w:rFonts w:cstheme="minorHAnsi"/>
                <w:color w:val="auto"/>
                <w:sz w:val="18"/>
                <w:szCs w:val="18"/>
              </w:rPr>
            </w:pPr>
            <w:r w:rsidRPr="009412EE">
              <w:rPr>
                <w:rFonts w:cstheme="minorHAnsi"/>
                <w:color w:val="auto"/>
                <w:sz w:val="18"/>
                <w:szCs w:val="18"/>
              </w:rPr>
              <w:t xml:space="preserve">A high priority </w:t>
            </w:r>
            <w:r w:rsidR="00987190" w:rsidRPr="009412EE">
              <w:rPr>
                <w:rFonts w:cstheme="minorHAnsi"/>
                <w:color w:val="auto"/>
                <w:sz w:val="18"/>
                <w:szCs w:val="18"/>
              </w:rPr>
              <w:t xml:space="preserve">for CEW </w:t>
            </w:r>
            <w:r w:rsidRPr="009412EE">
              <w:rPr>
                <w:rFonts w:cstheme="minorHAnsi"/>
                <w:color w:val="auto"/>
                <w:sz w:val="18"/>
                <w:szCs w:val="18"/>
              </w:rPr>
              <w:t xml:space="preserve">under all water resource availability scenarios. </w:t>
            </w:r>
          </w:p>
        </w:tc>
        <w:tc>
          <w:tcPr>
            <w:tcW w:w="2268" w:type="dxa"/>
            <w:tcBorders>
              <w:top w:val="single" w:sz="4" w:space="0" w:color="auto"/>
              <w:left w:val="single" w:sz="4" w:space="0" w:color="auto"/>
              <w:bottom w:val="single" w:sz="8" w:space="0" w:color="auto"/>
              <w:right w:val="single" w:sz="12" w:space="0" w:color="auto"/>
            </w:tcBorders>
            <w:shd w:val="clear" w:color="auto" w:fill="FFC000"/>
            <w:vAlign w:val="center"/>
          </w:tcPr>
          <w:p w14:paraId="27BCE746"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Moderate</w:t>
            </w:r>
          </w:p>
        </w:tc>
      </w:tr>
      <w:tr w:rsidR="009412EE" w:rsidRPr="009412EE" w14:paraId="5355F696" w14:textId="77777777" w:rsidTr="009412EE">
        <w:trPr>
          <w:trHeight w:val="1597"/>
        </w:trPr>
        <w:tc>
          <w:tcPr>
            <w:tcW w:w="1843" w:type="dxa"/>
            <w:vMerge/>
            <w:tcBorders>
              <w:left w:val="single" w:sz="12" w:space="0" w:color="auto"/>
              <w:bottom w:val="single" w:sz="12" w:space="0" w:color="auto"/>
              <w:right w:val="single" w:sz="4" w:space="0" w:color="auto"/>
            </w:tcBorders>
            <w:vAlign w:val="center"/>
            <w:hideMark/>
          </w:tcPr>
          <w:p w14:paraId="6C3B6407"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12" w:space="0" w:color="auto"/>
              <w:right w:val="single" w:sz="4" w:space="0" w:color="auto"/>
            </w:tcBorders>
            <w:shd w:val="clear" w:color="auto" w:fill="auto"/>
            <w:vAlign w:val="center"/>
            <w:hideMark/>
          </w:tcPr>
          <w:p w14:paraId="3D796325" w14:textId="77777777" w:rsidR="00D02D10" w:rsidRPr="009412EE" w:rsidRDefault="00D02D10" w:rsidP="00273793">
            <w:pPr>
              <w:ind w:left="111"/>
              <w:rPr>
                <w:rFonts w:cstheme="minorHAnsi"/>
                <w:color w:val="auto"/>
                <w:sz w:val="18"/>
                <w:szCs w:val="18"/>
              </w:rPr>
            </w:pPr>
            <w:r w:rsidRPr="009412EE">
              <w:rPr>
                <w:rFonts w:cstheme="minorHAnsi"/>
                <w:color w:val="auto"/>
                <w:sz w:val="18"/>
                <w:szCs w:val="18"/>
              </w:rPr>
              <w:t xml:space="preserve">Culgoa River – fish migration </w:t>
            </w:r>
          </w:p>
        </w:tc>
        <w:tc>
          <w:tcPr>
            <w:tcW w:w="3969" w:type="dxa"/>
            <w:tcBorders>
              <w:top w:val="nil"/>
              <w:left w:val="nil"/>
              <w:bottom w:val="single" w:sz="12" w:space="0" w:color="auto"/>
              <w:right w:val="single" w:sz="4" w:space="0" w:color="auto"/>
            </w:tcBorders>
            <w:shd w:val="clear" w:color="auto" w:fill="auto"/>
            <w:vAlign w:val="center"/>
            <w:hideMark/>
          </w:tcPr>
          <w:p w14:paraId="74DD4CFE"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Large in-channel fresh</w:t>
            </w:r>
            <w:r w:rsidRPr="009412EE">
              <w:rPr>
                <w:rFonts w:cstheme="minorHAnsi"/>
                <w:color w:val="auto"/>
                <w:sz w:val="18"/>
                <w:szCs w:val="18"/>
              </w:rPr>
              <w:br/>
              <w:t xml:space="preserve">3 500 ML/day @ Brenda (August–May) for 14 days </w:t>
            </w:r>
          </w:p>
        </w:tc>
        <w:tc>
          <w:tcPr>
            <w:tcW w:w="1418" w:type="dxa"/>
            <w:tcBorders>
              <w:top w:val="nil"/>
              <w:left w:val="nil"/>
              <w:bottom w:val="single" w:sz="12" w:space="0" w:color="auto"/>
              <w:right w:val="single" w:sz="4" w:space="0" w:color="auto"/>
            </w:tcBorders>
            <w:shd w:val="clear" w:color="auto" w:fill="auto"/>
            <w:vAlign w:val="center"/>
            <w:hideMark/>
          </w:tcPr>
          <w:p w14:paraId="68DFA235" w14:textId="098CD94A" w:rsidR="00D02D10" w:rsidRPr="009412EE" w:rsidRDefault="00D02D10" w:rsidP="001C507D">
            <w:pPr>
              <w:ind w:left="109"/>
              <w:rPr>
                <w:rFonts w:cstheme="minorHAnsi"/>
                <w:color w:val="auto"/>
                <w:sz w:val="18"/>
                <w:szCs w:val="18"/>
              </w:rPr>
            </w:pPr>
            <w:r w:rsidRPr="009412EE">
              <w:rPr>
                <w:rFonts w:cstheme="minorHAnsi"/>
                <w:color w:val="auto"/>
                <w:sz w:val="18"/>
                <w:szCs w:val="18"/>
              </w:rPr>
              <w:t>4</w:t>
            </w:r>
            <w:r w:rsidR="004E7434" w:rsidRPr="009412EE">
              <w:rPr>
                <w:rFonts w:cstheme="minorHAnsi"/>
                <w:color w:val="auto"/>
                <w:sz w:val="18"/>
                <w:szCs w:val="18"/>
              </w:rPr>
              <w:t>–</w:t>
            </w:r>
            <w:r w:rsidRPr="009412EE">
              <w:rPr>
                <w:rFonts w:cstheme="minorHAnsi"/>
                <w:color w:val="auto"/>
                <w:sz w:val="18"/>
                <w:szCs w:val="18"/>
              </w:rPr>
              <w:t>6 in 10 years</w:t>
            </w:r>
          </w:p>
        </w:tc>
        <w:tc>
          <w:tcPr>
            <w:tcW w:w="595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65EC7DC" w14:textId="0036CA9A"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The last large in-channel fresh that met the demand occurred 8 years ago, which exceeds or approaches the lifespan of short</w:t>
            </w:r>
            <w:r w:rsidR="00CC4407" w:rsidRPr="009412EE">
              <w:rPr>
                <w:rFonts w:cstheme="minorHAnsi"/>
                <w:color w:val="auto"/>
                <w:sz w:val="18"/>
                <w:szCs w:val="18"/>
              </w:rPr>
              <w:t>-</w:t>
            </w:r>
            <w:r w:rsidRPr="009412EE">
              <w:rPr>
                <w:rFonts w:cstheme="minorHAnsi"/>
                <w:color w:val="auto"/>
                <w:sz w:val="18"/>
                <w:szCs w:val="18"/>
              </w:rPr>
              <w:t xml:space="preserve">lived fish species. A large fresh is required </w:t>
            </w:r>
            <w:r w:rsidR="004E7434" w:rsidRPr="009412EE">
              <w:rPr>
                <w:rFonts w:cstheme="minorHAnsi"/>
                <w:color w:val="auto"/>
                <w:sz w:val="18"/>
                <w:szCs w:val="18"/>
              </w:rPr>
              <w:t>in 2020–21</w:t>
            </w:r>
            <w:r w:rsidRPr="009412EE">
              <w:rPr>
                <w:rFonts w:cstheme="minorHAnsi"/>
                <w:color w:val="auto"/>
                <w:sz w:val="18"/>
                <w:szCs w:val="18"/>
              </w:rPr>
              <w:t xml:space="preserve"> to provide</w:t>
            </w:r>
            <w:r w:rsidR="004E7434" w:rsidRPr="009412EE">
              <w:rPr>
                <w:rFonts w:cstheme="minorHAnsi"/>
                <w:color w:val="auto"/>
                <w:sz w:val="18"/>
                <w:szCs w:val="18"/>
              </w:rPr>
              <w:t xml:space="preserve"> opportunities</w:t>
            </w:r>
            <w:r w:rsidRPr="009412EE">
              <w:rPr>
                <w:rFonts w:cstheme="minorHAnsi"/>
                <w:color w:val="auto"/>
                <w:sz w:val="18"/>
                <w:szCs w:val="18"/>
              </w:rPr>
              <w:t xml:space="preserve"> for</w:t>
            </w:r>
            <w:r w:rsidR="004E7434" w:rsidRPr="009412EE">
              <w:rPr>
                <w:rFonts w:cstheme="minorHAnsi"/>
                <w:color w:val="auto"/>
                <w:sz w:val="18"/>
                <w:szCs w:val="18"/>
              </w:rPr>
              <w:t xml:space="preserve"> the</w:t>
            </w:r>
            <w:r w:rsidRPr="009412EE">
              <w:rPr>
                <w:rFonts w:cstheme="minorHAnsi"/>
                <w:color w:val="auto"/>
                <w:sz w:val="18"/>
                <w:szCs w:val="18"/>
              </w:rPr>
              <w:t xml:space="preserve"> dispersal and recruitment of native fish species.</w:t>
            </w:r>
          </w:p>
        </w:tc>
        <w:tc>
          <w:tcPr>
            <w:tcW w:w="1984" w:type="dxa"/>
            <w:tcBorders>
              <w:top w:val="nil"/>
              <w:left w:val="single" w:sz="4" w:space="0" w:color="auto"/>
              <w:bottom w:val="single" w:sz="12" w:space="0" w:color="auto"/>
              <w:right w:val="single" w:sz="4" w:space="0" w:color="auto"/>
            </w:tcBorders>
            <w:shd w:val="clear" w:color="000000" w:fill="C00000"/>
            <w:vAlign w:val="center"/>
            <w:hideMark/>
          </w:tcPr>
          <w:p w14:paraId="5D261F62"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Critical</w:t>
            </w:r>
            <w:r w:rsidRPr="009412EE">
              <w:rPr>
                <w:rFonts w:cstheme="minorHAnsi"/>
                <w:bCs/>
                <w:color w:val="auto"/>
                <w:sz w:val="18"/>
                <w:szCs w:val="18"/>
              </w:rPr>
              <w:br/>
            </w:r>
          </w:p>
        </w:tc>
        <w:tc>
          <w:tcPr>
            <w:tcW w:w="2977" w:type="dxa"/>
            <w:tcBorders>
              <w:top w:val="nil"/>
              <w:left w:val="nil"/>
              <w:bottom w:val="single" w:sz="12" w:space="0" w:color="auto"/>
              <w:right w:val="single" w:sz="4" w:space="0" w:color="auto"/>
            </w:tcBorders>
            <w:shd w:val="clear" w:color="auto" w:fill="95B3D7" w:themeFill="accent1" w:themeFillTint="99"/>
            <w:vAlign w:val="center"/>
            <w:hideMark/>
          </w:tcPr>
          <w:p w14:paraId="741A9326" w14:textId="0958AD0A" w:rsidR="00D02D10" w:rsidRPr="009412EE" w:rsidRDefault="00884B7D" w:rsidP="00904409">
            <w:pPr>
              <w:shd w:val="clear" w:color="auto" w:fill="95B3D7" w:themeFill="accent1" w:themeFillTint="99"/>
              <w:spacing w:before="60" w:after="60"/>
              <w:jc w:val="center"/>
              <w:rPr>
                <w:rFonts w:cstheme="minorHAnsi"/>
                <w:color w:val="auto"/>
                <w:sz w:val="18"/>
                <w:szCs w:val="18"/>
              </w:rPr>
            </w:pPr>
            <w:r w:rsidRPr="009412EE">
              <w:rPr>
                <w:rFonts w:cstheme="minorHAnsi"/>
                <w:color w:val="auto"/>
                <w:sz w:val="18"/>
                <w:szCs w:val="18"/>
              </w:rPr>
              <w:t>Possible use of CEW, however, r</w:t>
            </w:r>
            <w:r w:rsidR="00D02D10" w:rsidRPr="009412EE">
              <w:rPr>
                <w:rFonts w:cstheme="minorHAnsi"/>
                <w:color w:val="auto"/>
                <w:sz w:val="18"/>
                <w:szCs w:val="18"/>
              </w:rPr>
              <w:t>equires further investigation. Uncertain if sufficient additional flows could be obtained, and would likely have to target one channel not whole system</w:t>
            </w:r>
            <w:r w:rsidRPr="009412EE">
              <w:rPr>
                <w:rFonts w:cstheme="minorHAnsi"/>
                <w:color w:val="auto"/>
                <w:sz w:val="18"/>
                <w:szCs w:val="18"/>
              </w:rPr>
              <w:t>.</w:t>
            </w:r>
          </w:p>
        </w:tc>
        <w:tc>
          <w:tcPr>
            <w:tcW w:w="2268" w:type="dxa"/>
            <w:tcBorders>
              <w:top w:val="nil"/>
              <w:left w:val="single" w:sz="4" w:space="0" w:color="auto"/>
              <w:bottom w:val="single" w:sz="12" w:space="0" w:color="auto"/>
              <w:right w:val="single" w:sz="12" w:space="0" w:color="auto"/>
            </w:tcBorders>
            <w:shd w:val="clear" w:color="auto" w:fill="FF0000"/>
            <w:vAlign w:val="center"/>
          </w:tcPr>
          <w:p w14:paraId="2BE1B0E3"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High</w:t>
            </w:r>
          </w:p>
          <w:p w14:paraId="0C4BCF22" w14:textId="77777777" w:rsidR="00D02D10" w:rsidRPr="009412EE" w:rsidRDefault="00D02D10" w:rsidP="00E302AB">
            <w:pPr>
              <w:spacing w:after="0"/>
              <w:jc w:val="center"/>
              <w:rPr>
                <w:rFonts w:cstheme="minorHAnsi"/>
                <w:bCs/>
                <w:color w:val="auto"/>
                <w:sz w:val="18"/>
                <w:szCs w:val="18"/>
              </w:rPr>
            </w:pPr>
          </w:p>
        </w:tc>
      </w:tr>
      <w:tr w:rsidR="009412EE" w:rsidRPr="009412EE" w14:paraId="4D18B317" w14:textId="77777777" w:rsidTr="009412EE">
        <w:trPr>
          <w:trHeight w:val="764"/>
        </w:trPr>
        <w:tc>
          <w:tcPr>
            <w:tcW w:w="1843" w:type="dxa"/>
            <w:vMerge w:val="restart"/>
            <w:tcBorders>
              <w:top w:val="single" w:sz="12" w:space="0" w:color="auto"/>
              <w:left w:val="single" w:sz="12" w:space="0" w:color="auto"/>
              <w:bottom w:val="single" w:sz="12" w:space="0" w:color="auto"/>
              <w:right w:val="single" w:sz="4" w:space="0" w:color="auto"/>
            </w:tcBorders>
            <w:shd w:val="clear" w:color="auto" w:fill="auto"/>
            <w:hideMark/>
          </w:tcPr>
          <w:p w14:paraId="23E1AAEA" w14:textId="77777777" w:rsidR="00D02D10" w:rsidRPr="009412EE" w:rsidRDefault="00D02D10" w:rsidP="00A867B2">
            <w:pPr>
              <w:rPr>
                <w:rFonts w:cstheme="minorHAnsi"/>
                <w:b/>
                <w:bCs/>
                <w:color w:val="auto"/>
                <w:sz w:val="18"/>
                <w:szCs w:val="18"/>
              </w:rPr>
            </w:pPr>
            <w:r w:rsidRPr="009412EE">
              <w:rPr>
                <w:rFonts w:cstheme="minorHAnsi"/>
                <w:b/>
                <w:bCs/>
                <w:color w:val="auto"/>
                <w:sz w:val="18"/>
                <w:szCs w:val="18"/>
              </w:rPr>
              <w:t>Lower Balonne River floodplain</w:t>
            </w:r>
          </w:p>
        </w:tc>
        <w:tc>
          <w:tcPr>
            <w:tcW w:w="1559"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2366A55B"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Connectivity with the riparian zone</w:t>
            </w:r>
          </w:p>
        </w:tc>
        <w:tc>
          <w:tcPr>
            <w:tcW w:w="3969" w:type="dxa"/>
            <w:tcBorders>
              <w:top w:val="single" w:sz="12" w:space="0" w:color="auto"/>
              <w:left w:val="nil"/>
              <w:bottom w:val="single" w:sz="8" w:space="0" w:color="auto"/>
              <w:right w:val="single" w:sz="4" w:space="0" w:color="auto"/>
            </w:tcBorders>
            <w:shd w:val="clear" w:color="auto" w:fill="auto"/>
            <w:vAlign w:val="center"/>
            <w:hideMark/>
          </w:tcPr>
          <w:p w14:paraId="33E25F70"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 xml:space="preserve">9 200 ML/day Culgoa River @ Brenda for 12 days </w:t>
            </w:r>
          </w:p>
        </w:tc>
        <w:tc>
          <w:tcPr>
            <w:tcW w:w="1418" w:type="dxa"/>
            <w:tcBorders>
              <w:top w:val="single" w:sz="12" w:space="0" w:color="auto"/>
              <w:left w:val="nil"/>
              <w:bottom w:val="single" w:sz="8" w:space="0" w:color="auto"/>
              <w:right w:val="single" w:sz="4" w:space="0" w:color="auto"/>
            </w:tcBorders>
            <w:shd w:val="clear" w:color="auto" w:fill="auto"/>
            <w:vAlign w:val="center"/>
            <w:hideMark/>
          </w:tcPr>
          <w:p w14:paraId="0E741B31" w14:textId="119F9527" w:rsidR="00D02D10" w:rsidRPr="009412EE" w:rsidRDefault="00D02D10" w:rsidP="001C507D">
            <w:pPr>
              <w:ind w:left="109"/>
              <w:rPr>
                <w:rFonts w:cstheme="minorHAnsi"/>
                <w:color w:val="auto"/>
                <w:sz w:val="18"/>
                <w:szCs w:val="18"/>
              </w:rPr>
            </w:pPr>
            <w:r w:rsidRPr="009412EE">
              <w:rPr>
                <w:rFonts w:cstheme="minorHAnsi"/>
                <w:color w:val="auto"/>
                <w:sz w:val="18"/>
                <w:szCs w:val="18"/>
              </w:rPr>
              <w:t>Every 2</w:t>
            </w:r>
            <w:r w:rsidR="004E7434" w:rsidRPr="009412EE">
              <w:rPr>
                <w:rFonts w:cstheme="minorHAnsi"/>
                <w:color w:val="auto"/>
                <w:sz w:val="18"/>
                <w:szCs w:val="18"/>
              </w:rPr>
              <w:t>–</w:t>
            </w:r>
            <w:r w:rsidRPr="009412EE">
              <w:rPr>
                <w:rFonts w:cstheme="minorHAnsi"/>
                <w:color w:val="auto"/>
                <w:sz w:val="18"/>
                <w:szCs w:val="18"/>
              </w:rPr>
              <w:t>3 years</w:t>
            </w:r>
          </w:p>
        </w:tc>
        <w:tc>
          <w:tcPr>
            <w:tcW w:w="595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743CF91" w14:textId="3158E3AF"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 xml:space="preserve">The last flow of this magnitude occurred 8 years ago, </w:t>
            </w:r>
            <w:r w:rsidR="003B0552" w:rsidRPr="009412EE">
              <w:rPr>
                <w:rFonts w:cstheme="minorHAnsi"/>
                <w:color w:val="auto"/>
                <w:sz w:val="18"/>
                <w:szCs w:val="18"/>
              </w:rPr>
              <w:t xml:space="preserve">which </w:t>
            </w:r>
            <w:r w:rsidRPr="009412EE">
              <w:rPr>
                <w:rFonts w:cstheme="minorHAnsi"/>
                <w:color w:val="auto"/>
                <w:sz w:val="18"/>
                <w:szCs w:val="18"/>
              </w:rPr>
              <w:t xml:space="preserve">exceeds </w:t>
            </w:r>
            <w:r w:rsidR="003B0552" w:rsidRPr="009412EE">
              <w:rPr>
                <w:rFonts w:cstheme="minorHAnsi"/>
                <w:color w:val="auto"/>
                <w:sz w:val="18"/>
                <w:szCs w:val="18"/>
              </w:rPr>
              <w:t xml:space="preserve">the </w:t>
            </w:r>
            <w:r w:rsidRPr="009412EE">
              <w:rPr>
                <w:rFonts w:cstheme="minorHAnsi"/>
                <w:color w:val="auto"/>
                <w:sz w:val="18"/>
                <w:szCs w:val="18"/>
              </w:rPr>
              <w:t xml:space="preserve">critical interval (3 years) to maintain condition of river red gum, ephemeral wetlands and lignum communities. Inundation </w:t>
            </w:r>
            <w:r w:rsidR="003B0552" w:rsidRPr="009412EE">
              <w:rPr>
                <w:rFonts w:cstheme="minorHAnsi"/>
                <w:color w:val="auto"/>
                <w:sz w:val="18"/>
                <w:szCs w:val="18"/>
              </w:rPr>
              <w:t xml:space="preserve">is </w:t>
            </w:r>
            <w:r w:rsidRPr="009412EE">
              <w:rPr>
                <w:rFonts w:cstheme="minorHAnsi"/>
                <w:color w:val="auto"/>
                <w:sz w:val="18"/>
                <w:szCs w:val="18"/>
              </w:rPr>
              <w:t xml:space="preserve">required </w:t>
            </w:r>
            <w:r w:rsidR="003B0552" w:rsidRPr="009412EE">
              <w:rPr>
                <w:rFonts w:cstheme="minorHAnsi"/>
                <w:color w:val="auto"/>
                <w:sz w:val="18"/>
                <w:szCs w:val="18"/>
              </w:rPr>
              <w:t>in 2020–21</w:t>
            </w:r>
            <w:r w:rsidRPr="009412EE">
              <w:rPr>
                <w:rFonts w:cstheme="minorHAnsi"/>
                <w:color w:val="auto"/>
                <w:sz w:val="18"/>
                <w:szCs w:val="18"/>
              </w:rPr>
              <w:t xml:space="preserve"> to maintain ecosystem health and function.</w:t>
            </w:r>
          </w:p>
        </w:tc>
        <w:tc>
          <w:tcPr>
            <w:tcW w:w="1984" w:type="dxa"/>
            <w:tcBorders>
              <w:top w:val="single" w:sz="12" w:space="0" w:color="auto"/>
              <w:left w:val="single" w:sz="4" w:space="0" w:color="auto"/>
              <w:bottom w:val="single" w:sz="8" w:space="0" w:color="auto"/>
              <w:right w:val="single" w:sz="4" w:space="0" w:color="auto"/>
            </w:tcBorders>
            <w:shd w:val="clear" w:color="000000" w:fill="C00000"/>
            <w:vAlign w:val="center"/>
            <w:hideMark/>
          </w:tcPr>
          <w:p w14:paraId="1F7E99F6"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Critical</w:t>
            </w:r>
            <w:r w:rsidRPr="009412EE">
              <w:rPr>
                <w:rFonts w:cstheme="minorHAnsi"/>
                <w:bCs/>
                <w:color w:val="auto"/>
                <w:sz w:val="18"/>
                <w:szCs w:val="18"/>
              </w:rPr>
              <w:br/>
            </w:r>
          </w:p>
        </w:tc>
        <w:tc>
          <w:tcPr>
            <w:tcW w:w="2977" w:type="dxa"/>
            <w:tcBorders>
              <w:top w:val="single" w:sz="12" w:space="0" w:color="auto"/>
              <w:left w:val="nil"/>
              <w:bottom w:val="single" w:sz="8" w:space="0" w:color="auto"/>
              <w:right w:val="single" w:sz="4" w:space="0" w:color="auto"/>
            </w:tcBorders>
            <w:shd w:val="clear" w:color="auto" w:fill="95B3D7" w:themeFill="accent1" w:themeFillTint="99"/>
            <w:vAlign w:val="center"/>
            <w:hideMark/>
          </w:tcPr>
          <w:p w14:paraId="56E53341" w14:textId="6D1B94B8" w:rsidR="00D02D10" w:rsidRPr="009412EE" w:rsidRDefault="00884B7D" w:rsidP="00904409">
            <w:pPr>
              <w:shd w:val="clear" w:color="auto" w:fill="95B3D7" w:themeFill="accent1" w:themeFillTint="99"/>
              <w:spacing w:before="60" w:after="60"/>
              <w:jc w:val="center"/>
              <w:rPr>
                <w:rFonts w:cstheme="minorHAnsi"/>
                <w:color w:val="auto"/>
                <w:sz w:val="18"/>
                <w:szCs w:val="18"/>
              </w:rPr>
            </w:pPr>
            <w:r w:rsidRPr="009412EE">
              <w:rPr>
                <w:rFonts w:cstheme="minorHAnsi"/>
                <w:color w:val="auto"/>
                <w:sz w:val="18"/>
                <w:szCs w:val="18"/>
              </w:rPr>
              <w:t>Possible use of EW, however, r</w:t>
            </w:r>
            <w:r w:rsidR="00D02D10" w:rsidRPr="009412EE">
              <w:rPr>
                <w:rFonts w:cstheme="minorHAnsi"/>
                <w:color w:val="auto"/>
                <w:sz w:val="18"/>
                <w:szCs w:val="18"/>
              </w:rPr>
              <w:t>equires further investigation, including ecological outcomes from watering</w:t>
            </w:r>
            <w:r w:rsidRPr="009412EE">
              <w:rPr>
                <w:rFonts w:cstheme="minorHAnsi"/>
                <w:color w:val="auto"/>
                <w:sz w:val="18"/>
                <w:szCs w:val="18"/>
              </w:rPr>
              <w:t>.</w:t>
            </w:r>
          </w:p>
        </w:tc>
        <w:tc>
          <w:tcPr>
            <w:tcW w:w="2268" w:type="dxa"/>
            <w:tcBorders>
              <w:top w:val="single" w:sz="12" w:space="0" w:color="auto"/>
              <w:left w:val="single" w:sz="4" w:space="0" w:color="auto"/>
              <w:bottom w:val="single" w:sz="8" w:space="0" w:color="auto"/>
              <w:right w:val="single" w:sz="12" w:space="0" w:color="auto"/>
            </w:tcBorders>
            <w:shd w:val="clear" w:color="auto" w:fill="FF0000"/>
            <w:vAlign w:val="center"/>
          </w:tcPr>
          <w:p w14:paraId="4C13C5E5"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High</w:t>
            </w:r>
          </w:p>
          <w:p w14:paraId="2D9BCD1E" w14:textId="77777777" w:rsidR="00D02D10" w:rsidRPr="009412EE" w:rsidRDefault="00D02D10" w:rsidP="00E302AB">
            <w:pPr>
              <w:jc w:val="center"/>
              <w:rPr>
                <w:rFonts w:cstheme="minorHAnsi"/>
                <w:bCs/>
                <w:color w:val="auto"/>
                <w:sz w:val="18"/>
                <w:szCs w:val="18"/>
              </w:rPr>
            </w:pPr>
          </w:p>
        </w:tc>
      </w:tr>
      <w:tr w:rsidR="009412EE" w:rsidRPr="009412EE" w14:paraId="13819E2B" w14:textId="77777777" w:rsidTr="009412EE">
        <w:trPr>
          <w:trHeight w:val="705"/>
        </w:trPr>
        <w:tc>
          <w:tcPr>
            <w:tcW w:w="1843" w:type="dxa"/>
            <w:vMerge/>
            <w:tcBorders>
              <w:top w:val="nil"/>
              <w:left w:val="single" w:sz="12" w:space="0" w:color="auto"/>
              <w:bottom w:val="single" w:sz="12" w:space="0" w:color="auto"/>
              <w:right w:val="single" w:sz="4" w:space="0" w:color="auto"/>
            </w:tcBorders>
            <w:vAlign w:val="center"/>
            <w:hideMark/>
          </w:tcPr>
          <w:p w14:paraId="479B663A"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8" w:space="0" w:color="auto"/>
              <w:right w:val="single" w:sz="4" w:space="0" w:color="auto"/>
            </w:tcBorders>
            <w:shd w:val="clear" w:color="auto" w:fill="auto"/>
            <w:vAlign w:val="center"/>
            <w:hideMark/>
          </w:tcPr>
          <w:p w14:paraId="2FAD95FD"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Connectivity with the inner floodplain</w:t>
            </w:r>
          </w:p>
        </w:tc>
        <w:tc>
          <w:tcPr>
            <w:tcW w:w="3969" w:type="dxa"/>
            <w:tcBorders>
              <w:top w:val="nil"/>
              <w:left w:val="nil"/>
              <w:bottom w:val="single" w:sz="8" w:space="0" w:color="auto"/>
              <w:right w:val="single" w:sz="4" w:space="0" w:color="auto"/>
            </w:tcBorders>
            <w:shd w:val="clear" w:color="auto" w:fill="auto"/>
            <w:vAlign w:val="center"/>
            <w:hideMark/>
          </w:tcPr>
          <w:p w14:paraId="315FD95C"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 xml:space="preserve">15 000 ML/day Culgoa River @ Brenda for 10 days </w:t>
            </w:r>
          </w:p>
        </w:tc>
        <w:tc>
          <w:tcPr>
            <w:tcW w:w="1418" w:type="dxa"/>
            <w:tcBorders>
              <w:top w:val="nil"/>
              <w:left w:val="nil"/>
              <w:bottom w:val="single" w:sz="8" w:space="0" w:color="auto"/>
              <w:right w:val="single" w:sz="4" w:space="0" w:color="auto"/>
            </w:tcBorders>
            <w:shd w:val="clear" w:color="auto" w:fill="auto"/>
            <w:vAlign w:val="center"/>
            <w:hideMark/>
          </w:tcPr>
          <w:p w14:paraId="45227F14" w14:textId="7DE861BF" w:rsidR="00D02D10" w:rsidRPr="009412EE" w:rsidRDefault="00D02D10" w:rsidP="001C507D">
            <w:pPr>
              <w:ind w:left="109"/>
              <w:rPr>
                <w:rFonts w:cstheme="minorHAnsi"/>
                <w:color w:val="auto"/>
                <w:sz w:val="18"/>
                <w:szCs w:val="18"/>
              </w:rPr>
            </w:pPr>
            <w:r w:rsidRPr="009412EE">
              <w:rPr>
                <w:rFonts w:cstheme="minorHAnsi"/>
                <w:color w:val="auto"/>
                <w:sz w:val="18"/>
                <w:szCs w:val="18"/>
              </w:rPr>
              <w:t>Every 3.5</w:t>
            </w:r>
            <w:r w:rsidR="004E7434" w:rsidRPr="009412EE">
              <w:rPr>
                <w:rFonts w:cstheme="minorHAnsi"/>
                <w:color w:val="auto"/>
                <w:sz w:val="18"/>
                <w:szCs w:val="18"/>
              </w:rPr>
              <w:t>–</w:t>
            </w:r>
            <w:r w:rsidRPr="009412EE">
              <w:rPr>
                <w:rFonts w:cstheme="minorHAnsi"/>
                <w:color w:val="auto"/>
                <w:sz w:val="18"/>
                <w:szCs w:val="18"/>
              </w:rPr>
              <w:t>4 years</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2083E" w14:textId="37C8D4D9"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 xml:space="preserve">The last flow of this magnitude occurred 8 years ago. Inundation </w:t>
            </w:r>
            <w:r w:rsidR="00392825" w:rsidRPr="009412EE">
              <w:rPr>
                <w:rFonts w:cstheme="minorHAnsi"/>
                <w:color w:val="auto"/>
                <w:sz w:val="18"/>
                <w:szCs w:val="18"/>
              </w:rPr>
              <w:t xml:space="preserve">is </w:t>
            </w:r>
            <w:r w:rsidRPr="009412EE">
              <w:rPr>
                <w:rFonts w:cstheme="minorHAnsi"/>
                <w:color w:val="auto"/>
                <w:sz w:val="18"/>
                <w:szCs w:val="18"/>
              </w:rPr>
              <w:t>required</w:t>
            </w:r>
            <w:r w:rsidR="00392825" w:rsidRPr="009412EE">
              <w:rPr>
                <w:rFonts w:cstheme="minorHAnsi"/>
                <w:color w:val="auto"/>
                <w:sz w:val="18"/>
                <w:szCs w:val="18"/>
              </w:rPr>
              <w:t xml:space="preserve"> in 2020–21</w:t>
            </w:r>
            <w:r w:rsidRPr="009412EE">
              <w:rPr>
                <w:rFonts w:cstheme="minorHAnsi"/>
                <w:color w:val="auto"/>
                <w:sz w:val="18"/>
                <w:szCs w:val="18"/>
              </w:rPr>
              <w:t xml:space="preserve"> to maintain ecosystem health and function.</w:t>
            </w:r>
          </w:p>
        </w:tc>
        <w:tc>
          <w:tcPr>
            <w:tcW w:w="1984" w:type="dxa"/>
            <w:tcBorders>
              <w:top w:val="nil"/>
              <w:left w:val="single" w:sz="4" w:space="0" w:color="auto"/>
              <w:bottom w:val="single" w:sz="8" w:space="0" w:color="auto"/>
              <w:right w:val="single" w:sz="4" w:space="0" w:color="auto"/>
            </w:tcBorders>
            <w:shd w:val="clear" w:color="auto" w:fill="C00000"/>
            <w:vAlign w:val="center"/>
            <w:hideMark/>
          </w:tcPr>
          <w:p w14:paraId="4CB31487"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Critical</w:t>
            </w:r>
            <w:r w:rsidRPr="009412EE">
              <w:rPr>
                <w:rFonts w:cstheme="minorHAnsi"/>
                <w:bCs/>
                <w:color w:val="auto"/>
                <w:sz w:val="18"/>
                <w:szCs w:val="18"/>
              </w:rPr>
              <w:br/>
            </w:r>
          </w:p>
        </w:tc>
        <w:tc>
          <w:tcPr>
            <w:tcW w:w="2977" w:type="dxa"/>
            <w:tcBorders>
              <w:top w:val="nil"/>
              <w:left w:val="nil"/>
              <w:bottom w:val="single" w:sz="8" w:space="0" w:color="auto"/>
              <w:right w:val="single" w:sz="4" w:space="0" w:color="auto"/>
            </w:tcBorders>
            <w:shd w:val="clear" w:color="auto" w:fill="FFFFFF" w:themeFill="background1"/>
            <w:vAlign w:val="center"/>
            <w:hideMark/>
          </w:tcPr>
          <w:p w14:paraId="3CE800FA" w14:textId="53EA40B3" w:rsidR="00D02D10" w:rsidRPr="009412EE" w:rsidRDefault="00884B7D" w:rsidP="00AC6F80">
            <w:pPr>
              <w:spacing w:before="60" w:after="60"/>
              <w:jc w:val="center"/>
              <w:rPr>
                <w:rFonts w:cstheme="minorHAnsi"/>
                <w:color w:val="auto"/>
                <w:sz w:val="18"/>
                <w:szCs w:val="18"/>
                <w:shd w:val="clear" w:color="auto" w:fill="FFFFFF" w:themeFill="background1"/>
              </w:rPr>
            </w:pPr>
            <w:r w:rsidRPr="009412EE">
              <w:rPr>
                <w:rFonts w:cstheme="minorHAnsi"/>
                <w:color w:val="auto"/>
                <w:sz w:val="18"/>
                <w:szCs w:val="18"/>
                <w:shd w:val="clear" w:color="auto" w:fill="FFFFFF" w:themeFill="background1"/>
              </w:rPr>
              <w:t xml:space="preserve">Low priority for use of CEW. </w:t>
            </w:r>
            <w:r w:rsidR="00D02D10" w:rsidRPr="009412EE">
              <w:rPr>
                <w:rFonts w:cstheme="minorHAnsi"/>
                <w:color w:val="auto"/>
                <w:sz w:val="18"/>
                <w:szCs w:val="18"/>
                <w:shd w:val="clear" w:color="auto" w:fill="FFFFFF" w:themeFill="background1"/>
              </w:rPr>
              <w:t>Benefit of supplying additional Commonwealth environmental water would be negligible</w:t>
            </w:r>
            <w:r w:rsidRPr="009412EE">
              <w:rPr>
                <w:rFonts w:cstheme="minorHAnsi"/>
                <w:color w:val="auto"/>
                <w:sz w:val="18"/>
                <w:szCs w:val="18"/>
                <w:shd w:val="clear" w:color="auto" w:fill="FFFFFF" w:themeFill="background1"/>
              </w:rPr>
              <w:t>.</w:t>
            </w:r>
            <w:r w:rsidR="00D02D10" w:rsidRPr="009412EE">
              <w:rPr>
                <w:rFonts w:cstheme="minorHAnsi"/>
                <w:color w:val="auto"/>
                <w:sz w:val="18"/>
                <w:szCs w:val="18"/>
                <w:shd w:val="clear" w:color="auto" w:fill="FFFFFF" w:themeFill="background1"/>
              </w:rPr>
              <w:t xml:space="preserve"> </w:t>
            </w:r>
          </w:p>
        </w:tc>
        <w:tc>
          <w:tcPr>
            <w:tcW w:w="2268" w:type="dxa"/>
            <w:tcBorders>
              <w:top w:val="nil"/>
              <w:left w:val="single" w:sz="4" w:space="0" w:color="auto"/>
              <w:bottom w:val="single" w:sz="8" w:space="0" w:color="auto"/>
              <w:right w:val="single" w:sz="12" w:space="0" w:color="auto"/>
            </w:tcBorders>
            <w:shd w:val="clear" w:color="auto" w:fill="FF0000"/>
            <w:vAlign w:val="center"/>
          </w:tcPr>
          <w:p w14:paraId="0D1684D9"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High</w:t>
            </w:r>
          </w:p>
          <w:p w14:paraId="33F32FE8" w14:textId="77777777" w:rsidR="00D02D10" w:rsidRPr="009412EE" w:rsidRDefault="00D02D10" w:rsidP="00E302AB">
            <w:pPr>
              <w:spacing w:after="0"/>
              <w:jc w:val="center"/>
              <w:rPr>
                <w:rFonts w:cstheme="minorHAnsi"/>
                <w:bCs/>
                <w:color w:val="auto"/>
                <w:sz w:val="18"/>
                <w:szCs w:val="18"/>
              </w:rPr>
            </w:pPr>
          </w:p>
        </w:tc>
      </w:tr>
      <w:tr w:rsidR="009412EE" w:rsidRPr="009412EE" w14:paraId="0D9E6700" w14:textId="77777777" w:rsidTr="009412EE">
        <w:trPr>
          <w:trHeight w:val="531"/>
        </w:trPr>
        <w:tc>
          <w:tcPr>
            <w:tcW w:w="1843" w:type="dxa"/>
            <w:vMerge/>
            <w:tcBorders>
              <w:top w:val="nil"/>
              <w:left w:val="single" w:sz="12" w:space="0" w:color="auto"/>
              <w:bottom w:val="single" w:sz="12" w:space="0" w:color="auto"/>
              <w:right w:val="single" w:sz="4" w:space="0" w:color="auto"/>
            </w:tcBorders>
            <w:vAlign w:val="center"/>
            <w:hideMark/>
          </w:tcPr>
          <w:p w14:paraId="6E9D84A7"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8" w:space="0" w:color="auto"/>
              <w:right w:val="single" w:sz="4" w:space="0" w:color="auto"/>
            </w:tcBorders>
            <w:shd w:val="clear" w:color="auto" w:fill="auto"/>
            <w:vAlign w:val="center"/>
            <w:hideMark/>
          </w:tcPr>
          <w:p w14:paraId="2BF6DAE1"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Connectivity with the mid floodplain</w:t>
            </w:r>
          </w:p>
        </w:tc>
        <w:tc>
          <w:tcPr>
            <w:tcW w:w="3969" w:type="dxa"/>
            <w:tcBorders>
              <w:top w:val="nil"/>
              <w:left w:val="nil"/>
              <w:bottom w:val="single" w:sz="8" w:space="0" w:color="auto"/>
              <w:right w:val="single" w:sz="4" w:space="0" w:color="auto"/>
            </w:tcBorders>
            <w:shd w:val="clear" w:color="auto" w:fill="auto"/>
            <w:vAlign w:val="center"/>
            <w:hideMark/>
          </w:tcPr>
          <w:p w14:paraId="3837A5E8" w14:textId="35ADD5FC" w:rsidR="00D02D10" w:rsidRPr="009412EE" w:rsidRDefault="00D02D10" w:rsidP="001C507D">
            <w:pPr>
              <w:ind w:left="109"/>
              <w:rPr>
                <w:rFonts w:cstheme="minorHAnsi"/>
                <w:color w:val="auto"/>
                <w:sz w:val="18"/>
                <w:szCs w:val="18"/>
              </w:rPr>
            </w:pPr>
            <w:r w:rsidRPr="009412EE">
              <w:rPr>
                <w:rFonts w:cstheme="minorHAnsi"/>
                <w:color w:val="auto"/>
                <w:sz w:val="18"/>
                <w:szCs w:val="18"/>
              </w:rPr>
              <w:t>24 500 M</w:t>
            </w:r>
            <w:r w:rsidR="003B0552" w:rsidRPr="009412EE">
              <w:rPr>
                <w:rFonts w:cstheme="minorHAnsi"/>
                <w:color w:val="auto"/>
                <w:sz w:val="18"/>
                <w:szCs w:val="18"/>
              </w:rPr>
              <w:t>L</w:t>
            </w:r>
            <w:r w:rsidRPr="009412EE">
              <w:rPr>
                <w:rFonts w:cstheme="minorHAnsi"/>
                <w:color w:val="auto"/>
                <w:sz w:val="18"/>
                <w:szCs w:val="18"/>
              </w:rPr>
              <w:t>/day Culgoa River @ Brenda for 7 days</w:t>
            </w:r>
          </w:p>
        </w:tc>
        <w:tc>
          <w:tcPr>
            <w:tcW w:w="1418" w:type="dxa"/>
            <w:tcBorders>
              <w:top w:val="nil"/>
              <w:left w:val="nil"/>
              <w:bottom w:val="single" w:sz="8" w:space="0" w:color="auto"/>
              <w:right w:val="single" w:sz="4" w:space="0" w:color="auto"/>
            </w:tcBorders>
            <w:shd w:val="clear" w:color="auto" w:fill="auto"/>
            <w:vAlign w:val="center"/>
            <w:hideMark/>
          </w:tcPr>
          <w:p w14:paraId="49E489A6" w14:textId="1E082749" w:rsidR="00D02D10" w:rsidRPr="009412EE" w:rsidRDefault="00D02D10" w:rsidP="001C507D">
            <w:pPr>
              <w:ind w:left="109"/>
              <w:rPr>
                <w:rFonts w:cstheme="minorHAnsi"/>
                <w:color w:val="auto"/>
                <w:sz w:val="18"/>
                <w:szCs w:val="18"/>
              </w:rPr>
            </w:pPr>
            <w:r w:rsidRPr="009412EE">
              <w:rPr>
                <w:rFonts w:cstheme="minorHAnsi"/>
                <w:color w:val="auto"/>
                <w:sz w:val="18"/>
                <w:szCs w:val="18"/>
              </w:rPr>
              <w:t>Every 6</w:t>
            </w:r>
            <w:r w:rsidR="004E7434" w:rsidRPr="009412EE">
              <w:rPr>
                <w:rFonts w:cstheme="minorHAnsi"/>
                <w:color w:val="auto"/>
                <w:sz w:val="18"/>
                <w:szCs w:val="18"/>
              </w:rPr>
              <w:t>–</w:t>
            </w:r>
            <w:r w:rsidRPr="009412EE">
              <w:rPr>
                <w:rFonts w:cstheme="minorHAnsi"/>
                <w:color w:val="auto"/>
                <w:sz w:val="18"/>
                <w:szCs w:val="18"/>
              </w:rPr>
              <w:t>8 years</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1935F" w14:textId="55389645"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The last flow that met the demand occurred 8 years ago. Inundation</w:t>
            </w:r>
            <w:r w:rsidR="00392825" w:rsidRPr="009412EE">
              <w:rPr>
                <w:rFonts w:cstheme="minorHAnsi"/>
                <w:color w:val="auto"/>
                <w:sz w:val="18"/>
                <w:szCs w:val="18"/>
              </w:rPr>
              <w:t xml:space="preserve"> is</w:t>
            </w:r>
            <w:r w:rsidRPr="009412EE">
              <w:rPr>
                <w:rFonts w:cstheme="minorHAnsi"/>
                <w:color w:val="auto"/>
                <w:sz w:val="18"/>
                <w:szCs w:val="18"/>
              </w:rPr>
              <w:t xml:space="preserve"> required within the next year to maintain ecosystem health and function</w:t>
            </w:r>
          </w:p>
        </w:tc>
        <w:tc>
          <w:tcPr>
            <w:tcW w:w="1984" w:type="dxa"/>
            <w:tcBorders>
              <w:top w:val="nil"/>
              <w:left w:val="single" w:sz="4" w:space="0" w:color="auto"/>
              <w:bottom w:val="single" w:sz="8" w:space="0" w:color="auto"/>
              <w:right w:val="single" w:sz="4" w:space="0" w:color="auto"/>
            </w:tcBorders>
            <w:shd w:val="clear" w:color="auto" w:fill="FF0000"/>
            <w:vAlign w:val="center"/>
            <w:hideMark/>
          </w:tcPr>
          <w:p w14:paraId="08FF9D33"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r w:rsidRPr="009412EE">
              <w:rPr>
                <w:rFonts w:cstheme="minorHAnsi"/>
                <w:bCs/>
                <w:color w:val="auto"/>
                <w:sz w:val="18"/>
                <w:szCs w:val="18"/>
              </w:rPr>
              <w:br/>
            </w:r>
          </w:p>
        </w:tc>
        <w:tc>
          <w:tcPr>
            <w:tcW w:w="2977" w:type="dxa"/>
            <w:tcBorders>
              <w:top w:val="nil"/>
              <w:left w:val="nil"/>
              <w:bottom w:val="single" w:sz="8" w:space="0" w:color="auto"/>
              <w:right w:val="single" w:sz="4" w:space="0" w:color="auto"/>
            </w:tcBorders>
            <w:shd w:val="clear" w:color="auto" w:fill="auto"/>
            <w:vAlign w:val="center"/>
            <w:hideMark/>
          </w:tcPr>
          <w:p w14:paraId="513E6067" w14:textId="353CE677" w:rsidR="00D02D10" w:rsidRPr="009412EE" w:rsidRDefault="00884B7D" w:rsidP="00AC6F80">
            <w:pPr>
              <w:spacing w:before="60" w:after="60"/>
              <w:jc w:val="center"/>
              <w:rPr>
                <w:rFonts w:cstheme="minorHAnsi"/>
                <w:color w:val="auto"/>
                <w:sz w:val="18"/>
                <w:szCs w:val="18"/>
                <w:shd w:val="clear" w:color="auto" w:fill="FFFFFF" w:themeFill="background1"/>
              </w:rPr>
            </w:pPr>
            <w:r w:rsidRPr="009412EE">
              <w:rPr>
                <w:rFonts w:cstheme="minorHAnsi"/>
                <w:color w:val="auto"/>
                <w:sz w:val="18"/>
                <w:szCs w:val="18"/>
                <w:shd w:val="clear" w:color="auto" w:fill="FFFFFF" w:themeFill="background1"/>
              </w:rPr>
              <w:t xml:space="preserve">Low priority for use of CEW. </w:t>
            </w:r>
            <w:r w:rsidR="00D02D10" w:rsidRPr="009412EE">
              <w:rPr>
                <w:rFonts w:cstheme="minorHAnsi"/>
                <w:color w:val="auto"/>
                <w:sz w:val="18"/>
                <w:szCs w:val="18"/>
                <w:shd w:val="clear" w:color="auto" w:fill="FFFFFF" w:themeFill="background1"/>
              </w:rPr>
              <w:t>Benefit of supplying additional Commonwealth environmental water would be negligible</w:t>
            </w:r>
            <w:r w:rsidR="00E46D01" w:rsidRPr="009412EE">
              <w:rPr>
                <w:rFonts w:cstheme="minorHAnsi"/>
                <w:color w:val="auto"/>
                <w:sz w:val="18"/>
                <w:szCs w:val="18"/>
                <w:shd w:val="clear" w:color="auto" w:fill="FFFFFF" w:themeFill="background1"/>
              </w:rPr>
              <w:t>.</w:t>
            </w:r>
          </w:p>
        </w:tc>
        <w:tc>
          <w:tcPr>
            <w:tcW w:w="2268" w:type="dxa"/>
            <w:tcBorders>
              <w:top w:val="nil"/>
              <w:left w:val="single" w:sz="4" w:space="0" w:color="auto"/>
              <w:bottom w:val="single" w:sz="8" w:space="0" w:color="auto"/>
              <w:right w:val="single" w:sz="12" w:space="0" w:color="auto"/>
            </w:tcBorders>
            <w:shd w:val="clear" w:color="auto" w:fill="92D050"/>
            <w:vAlign w:val="center"/>
          </w:tcPr>
          <w:p w14:paraId="1FF82489"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Low</w:t>
            </w:r>
          </w:p>
        </w:tc>
      </w:tr>
      <w:tr w:rsidR="009412EE" w:rsidRPr="009412EE" w14:paraId="58C7CF9F" w14:textId="77777777" w:rsidTr="009412EE">
        <w:trPr>
          <w:trHeight w:val="969"/>
        </w:trPr>
        <w:tc>
          <w:tcPr>
            <w:tcW w:w="1843" w:type="dxa"/>
            <w:vMerge/>
            <w:tcBorders>
              <w:top w:val="single" w:sz="12" w:space="0" w:color="auto"/>
              <w:left w:val="single" w:sz="12" w:space="0" w:color="auto"/>
              <w:bottom w:val="single" w:sz="12" w:space="0" w:color="auto"/>
              <w:right w:val="single" w:sz="4" w:space="0" w:color="auto"/>
            </w:tcBorders>
            <w:vAlign w:val="center"/>
            <w:hideMark/>
          </w:tcPr>
          <w:p w14:paraId="10E22C91"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12" w:space="0" w:color="auto"/>
              <w:right w:val="single" w:sz="4" w:space="0" w:color="auto"/>
            </w:tcBorders>
            <w:shd w:val="clear" w:color="auto" w:fill="auto"/>
            <w:vAlign w:val="center"/>
            <w:hideMark/>
          </w:tcPr>
          <w:p w14:paraId="4FD467AE"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Connectivity with outer floodplain</w:t>
            </w:r>
          </w:p>
        </w:tc>
        <w:tc>
          <w:tcPr>
            <w:tcW w:w="3969" w:type="dxa"/>
            <w:tcBorders>
              <w:top w:val="nil"/>
              <w:left w:val="nil"/>
              <w:bottom w:val="single" w:sz="12" w:space="0" w:color="auto"/>
              <w:right w:val="single" w:sz="4" w:space="0" w:color="auto"/>
            </w:tcBorders>
            <w:shd w:val="clear" w:color="auto" w:fill="auto"/>
            <w:vAlign w:val="center"/>
            <w:hideMark/>
          </w:tcPr>
          <w:p w14:paraId="229A501C"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38 000 ML/day Culgoa River @ Brenda for 6 days</w:t>
            </w:r>
          </w:p>
        </w:tc>
        <w:tc>
          <w:tcPr>
            <w:tcW w:w="1418" w:type="dxa"/>
            <w:tcBorders>
              <w:top w:val="nil"/>
              <w:left w:val="nil"/>
              <w:bottom w:val="single" w:sz="12" w:space="0" w:color="auto"/>
              <w:right w:val="single" w:sz="4" w:space="0" w:color="auto"/>
            </w:tcBorders>
            <w:shd w:val="clear" w:color="auto" w:fill="auto"/>
            <w:vAlign w:val="center"/>
            <w:hideMark/>
          </w:tcPr>
          <w:p w14:paraId="15000A1B" w14:textId="0C0106C9" w:rsidR="00D02D10" w:rsidRPr="009412EE" w:rsidRDefault="00D02D10" w:rsidP="001C507D">
            <w:pPr>
              <w:ind w:left="109"/>
              <w:rPr>
                <w:rFonts w:cstheme="minorHAnsi"/>
                <w:color w:val="auto"/>
                <w:sz w:val="18"/>
                <w:szCs w:val="18"/>
              </w:rPr>
            </w:pPr>
            <w:r w:rsidRPr="009412EE">
              <w:rPr>
                <w:rFonts w:cstheme="minorHAnsi"/>
                <w:color w:val="auto"/>
                <w:sz w:val="18"/>
                <w:szCs w:val="18"/>
              </w:rPr>
              <w:t>Every 10</w:t>
            </w:r>
            <w:r w:rsidR="004E7434" w:rsidRPr="009412EE">
              <w:rPr>
                <w:rFonts w:cstheme="minorHAnsi"/>
                <w:color w:val="auto"/>
                <w:sz w:val="18"/>
                <w:szCs w:val="18"/>
              </w:rPr>
              <w:t>–</w:t>
            </w:r>
            <w:r w:rsidRPr="009412EE">
              <w:rPr>
                <w:rFonts w:cstheme="minorHAnsi"/>
                <w:color w:val="auto"/>
                <w:sz w:val="18"/>
                <w:szCs w:val="18"/>
              </w:rPr>
              <w:t>20 years</w:t>
            </w:r>
          </w:p>
        </w:tc>
        <w:tc>
          <w:tcPr>
            <w:tcW w:w="595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D906FAC" w14:textId="7E550709"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The last flow that met the demand occurred 8 years ago. Critical interval for inundation will be in 2021</w:t>
            </w:r>
            <w:r w:rsidR="00392825" w:rsidRPr="009412EE">
              <w:rPr>
                <w:rFonts w:cstheme="minorHAnsi"/>
                <w:color w:val="auto"/>
                <w:sz w:val="18"/>
                <w:szCs w:val="18"/>
              </w:rPr>
              <w:t>–</w:t>
            </w:r>
            <w:r w:rsidRPr="009412EE">
              <w:rPr>
                <w:rFonts w:cstheme="minorHAnsi"/>
                <w:color w:val="auto"/>
                <w:sz w:val="18"/>
                <w:szCs w:val="18"/>
              </w:rPr>
              <w:t>22.</w:t>
            </w:r>
          </w:p>
        </w:tc>
        <w:tc>
          <w:tcPr>
            <w:tcW w:w="1984" w:type="dxa"/>
            <w:tcBorders>
              <w:top w:val="nil"/>
              <w:left w:val="single" w:sz="4" w:space="0" w:color="auto"/>
              <w:bottom w:val="single" w:sz="12" w:space="0" w:color="auto"/>
              <w:right w:val="single" w:sz="4" w:space="0" w:color="auto"/>
            </w:tcBorders>
            <w:shd w:val="clear" w:color="auto" w:fill="92D050"/>
            <w:vAlign w:val="center"/>
            <w:hideMark/>
          </w:tcPr>
          <w:p w14:paraId="6918E65C"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Low</w:t>
            </w:r>
            <w:r w:rsidRPr="009412EE">
              <w:rPr>
                <w:rFonts w:cstheme="minorHAnsi"/>
                <w:bCs/>
                <w:color w:val="auto"/>
                <w:sz w:val="18"/>
                <w:szCs w:val="18"/>
              </w:rPr>
              <w:br/>
            </w:r>
          </w:p>
        </w:tc>
        <w:tc>
          <w:tcPr>
            <w:tcW w:w="2977" w:type="dxa"/>
            <w:tcBorders>
              <w:top w:val="nil"/>
              <w:left w:val="nil"/>
              <w:bottom w:val="single" w:sz="12" w:space="0" w:color="auto"/>
              <w:right w:val="single" w:sz="4" w:space="0" w:color="auto"/>
            </w:tcBorders>
            <w:shd w:val="clear" w:color="auto" w:fill="auto"/>
            <w:vAlign w:val="center"/>
            <w:hideMark/>
          </w:tcPr>
          <w:p w14:paraId="7B4A3F32" w14:textId="7C6238A5" w:rsidR="00D02D10" w:rsidRPr="009412EE" w:rsidRDefault="00884B7D" w:rsidP="00AC6F80">
            <w:pPr>
              <w:spacing w:before="60" w:after="60"/>
              <w:jc w:val="center"/>
              <w:rPr>
                <w:rFonts w:cstheme="minorHAnsi"/>
                <w:color w:val="auto"/>
                <w:sz w:val="18"/>
                <w:szCs w:val="18"/>
                <w:shd w:val="clear" w:color="auto" w:fill="FFFFFF" w:themeFill="background1"/>
              </w:rPr>
            </w:pPr>
            <w:r w:rsidRPr="009412EE">
              <w:rPr>
                <w:rFonts w:cstheme="minorHAnsi"/>
                <w:color w:val="auto"/>
                <w:sz w:val="18"/>
                <w:szCs w:val="18"/>
                <w:shd w:val="clear" w:color="auto" w:fill="FFFFFF" w:themeFill="background1"/>
              </w:rPr>
              <w:t xml:space="preserve">Low priority for use of CEW. </w:t>
            </w:r>
            <w:r w:rsidR="00D02D10" w:rsidRPr="009412EE">
              <w:rPr>
                <w:rFonts w:cstheme="minorHAnsi"/>
                <w:color w:val="auto"/>
                <w:sz w:val="18"/>
                <w:szCs w:val="18"/>
                <w:shd w:val="clear" w:color="auto" w:fill="FFFFFF" w:themeFill="background1"/>
              </w:rPr>
              <w:t>Benefit of additional Commonwealth environmental water would be negligible</w:t>
            </w:r>
            <w:r w:rsidR="00E46D01" w:rsidRPr="009412EE">
              <w:rPr>
                <w:rFonts w:cstheme="minorHAnsi"/>
                <w:color w:val="auto"/>
                <w:sz w:val="18"/>
                <w:szCs w:val="18"/>
                <w:shd w:val="clear" w:color="auto" w:fill="FFFFFF" w:themeFill="background1"/>
              </w:rPr>
              <w:t>.</w:t>
            </w:r>
          </w:p>
        </w:tc>
        <w:tc>
          <w:tcPr>
            <w:tcW w:w="2268" w:type="dxa"/>
            <w:tcBorders>
              <w:top w:val="nil"/>
              <w:left w:val="single" w:sz="4" w:space="0" w:color="auto"/>
              <w:bottom w:val="single" w:sz="12" w:space="0" w:color="auto"/>
              <w:right w:val="single" w:sz="12" w:space="0" w:color="auto"/>
            </w:tcBorders>
            <w:shd w:val="clear" w:color="auto" w:fill="92D050"/>
            <w:vAlign w:val="center"/>
          </w:tcPr>
          <w:p w14:paraId="1899A125"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Low</w:t>
            </w:r>
          </w:p>
        </w:tc>
      </w:tr>
      <w:tr w:rsidR="009412EE" w:rsidRPr="009412EE" w14:paraId="3FCC06E8" w14:textId="77777777" w:rsidTr="009412EE">
        <w:trPr>
          <w:trHeight w:val="1273"/>
        </w:trPr>
        <w:tc>
          <w:tcPr>
            <w:tcW w:w="1843" w:type="dxa"/>
            <w:vMerge w:val="restart"/>
            <w:tcBorders>
              <w:top w:val="single" w:sz="12" w:space="0" w:color="auto"/>
              <w:left w:val="single" w:sz="12" w:space="0" w:color="auto"/>
              <w:bottom w:val="single" w:sz="12" w:space="0" w:color="auto"/>
              <w:right w:val="single" w:sz="4" w:space="0" w:color="auto"/>
            </w:tcBorders>
            <w:shd w:val="clear" w:color="auto" w:fill="auto"/>
            <w:hideMark/>
          </w:tcPr>
          <w:p w14:paraId="0474F609" w14:textId="77777777" w:rsidR="00D02D10" w:rsidRPr="009412EE" w:rsidRDefault="00D02D10" w:rsidP="00A867B2">
            <w:pPr>
              <w:rPr>
                <w:rFonts w:cstheme="minorHAnsi"/>
                <w:b/>
                <w:bCs/>
                <w:color w:val="auto"/>
                <w:sz w:val="18"/>
                <w:szCs w:val="18"/>
              </w:rPr>
            </w:pPr>
            <w:r w:rsidRPr="009412EE">
              <w:rPr>
                <w:rFonts w:cstheme="minorHAnsi"/>
                <w:b/>
                <w:bCs/>
                <w:color w:val="auto"/>
                <w:sz w:val="18"/>
                <w:szCs w:val="18"/>
              </w:rPr>
              <w:t>Narran Lakes</w:t>
            </w:r>
          </w:p>
        </w:tc>
        <w:tc>
          <w:tcPr>
            <w:tcW w:w="1559" w:type="dxa"/>
            <w:tcBorders>
              <w:top w:val="single" w:sz="12" w:space="0" w:color="auto"/>
              <w:left w:val="single" w:sz="4" w:space="0" w:color="auto"/>
              <w:bottom w:val="nil"/>
              <w:right w:val="single" w:sz="4" w:space="0" w:color="auto"/>
            </w:tcBorders>
            <w:shd w:val="clear" w:color="auto" w:fill="auto"/>
            <w:vAlign w:val="center"/>
            <w:hideMark/>
          </w:tcPr>
          <w:p w14:paraId="160F60A2"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Waterbird breeding habitat in northern lakes (Ramsar site**)</w:t>
            </w:r>
          </w:p>
        </w:tc>
        <w:tc>
          <w:tcPr>
            <w:tcW w:w="3969" w:type="dxa"/>
            <w:tcBorders>
              <w:top w:val="single" w:sz="12" w:space="0" w:color="auto"/>
              <w:left w:val="nil"/>
              <w:bottom w:val="nil"/>
              <w:right w:val="single" w:sz="4" w:space="0" w:color="auto"/>
            </w:tcBorders>
            <w:shd w:val="clear" w:color="auto" w:fill="auto"/>
            <w:vAlign w:val="center"/>
            <w:hideMark/>
          </w:tcPr>
          <w:p w14:paraId="66FAE484"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25 GL @ Wilby Wilby (Narran River) over 60 days</w:t>
            </w:r>
          </w:p>
        </w:tc>
        <w:tc>
          <w:tcPr>
            <w:tcW w:w="1418" w:type="dxa"/>
            <w:tcBorders>
              <w:top w:val="single" w:sz="12" w:space="0" w:color="auto"/>
              <w:left w:val="nil"/>
              <w:bottom w:val="nil"/>
              <w:right w:val="single" w:sz="4" w:space="0" w:color="auto"/>
            </w:tcBorders>
            <w:shd w:val="clear" w:color="auto" w:fill="auto"/>
            <w:vAlign w:val="center"/>
            <w:hideMark/>
          </w:tcPr>
          <w:p w14:paraId="421D8899" w14:textId="031A65F9" w:rsidR="00D02D10" w:rsidRPr="009412EE" w:rsidRDefault="00D02D10" w:rsidP="001C507D">
            <w:pPr>
              <w:ind w:left="109"/>
              <w:rPr>
                <w:rFonts w:cstheme="minorHAnsi"/>
                <w:color w:val="auto"/>
                <w:sz w:val="18"/>
                <w:szCs w:val="18"/>
              </w:rPr>
            </w:pPr>
            <w:r w:rsidRPr="009412EE">
              <w:rPr>
                <w:rFonts w:cstheme="minorHAnsi"/>
                <w:color w:val="auto"/>
                <w:sz w:val="18"/>
                <w:szCs w:val="18"/>
              </w:rPr>
              <w:t>Every 1</w:t>
            </w:r>
            <w:r w:rsidR="004E7434" w:rsidRPr="009412EE">
              <w:rPr>
                <w:rFonts w:cstheme="minorHAnsi"/>
                <w:color w:val="auto"/>
                <w:sz w:val="18"/>
                <w:szCs w:val="18"/>
              </w:rPr>
              <w:t>–</w:t>
            </w:r>
            <w:r w:rsidRPr="009412EE">
              <w:rPr>
                <w:rFonts w:cstheme="minorHAnsi"/>
                <w:color w:val="auto"/>
                <w:sz w:val="18"/>
                <w:szCs w:val="18"/>
              </w:rPr>
              <w:t>1.3 years</w:t>
            </w:r>
          </w:p>
        </w:tc>
        <w:tc>
          <w:tcPr>
            <w:tcW w:w="595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20E3DF6" w14:textId="7E7D2081"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 xml:space="preserve">This demand has been met 4 out of the </w:t>
            </w:r>
            <w:r w:rsidR="005D0749" w:rsidRPr="009412EE">
              <w:rPr>
                <w:rFonts w:cstheme="minorHAnsi"/>
                <w:color w:val="auto"/>
                <w:sz w:val="18"/>
                <w:szCs w:val="18"/>
              </w:rPr>
              <w:t xml:space="preserve">past </w:t>
            </w:r>
            <w:r w:rsidRPr="009412EE">
              <w:rPr>
                <w:rFonts w:cstheme="minorHAnsi"/>
                <w:color w:val="auto"/>
                <w:sz w:val="18"/>
                <w:szCs w:val="18"/>
              </w:rPr>
              <w:t>10 years, which exceeds the frequency range for this requirement. While this demand was met by the flow event during March</w:t>
            </w:r>
            <w:r w:rsidR="005D0749" w:rsidRPr="009412EE">
              <w:rPr>
                <w:rFonts w:cstheme="minorHAnsi"/>
                <w:color w:val="auto"/>
                <w:sz w:val="18"/>
                <w:szCs w:val="18"/>
              </w:rPr>
              <w:t>–</w:t>
            </w:r>
            <w:r w:rsidRPr="009412EE">
              <w:rPr>
                <w:rFonts w:cstheme="minorHAnsi"/>
                <w:color w:val="auto"/>
                <w:sz w:val="18"/>
                <w:szCs w:val="18"/>
              </w:rPr>
              <w:t>April 2020, the requirement for this demand is high</w:t>
            </w:r>
          </w:p>
        </w:tc>
        <w:tc>
          <w:tcPr>
            <w:tcW w:w="1984" w:type="dxa"/>
            <w:tcBorders>
              <w:top w:val="single" w:sz="12" w:space="0" w:color="auto"/>
              <w:left w:val="single" w:sz="4" w:space="0" w:color="auto"/>
              <w:bottom w:val="single" w:sz="8" w:space="0" w:color="auto"/>
              <w:right w:val="single" w:sz="4" w:space="0" w:color="auto"/>
            </w:tcBorders>
            <w:shd w:val="clear" w:color="auto" w:fill="FF0000"/>
            <w:vAlign w:val="center"/>
            <w:hideMark/>
          </w:tcPr>
          <w:p w14:paraId="776BBAD0"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p>
          <w:p w14:paraId="7AEAC375" w14:textId="77777777" w:rsidR="00D02D10" w:rsidRPr="009412EE" w:rsidRDefault="00D02D10" w:rsidP="00A867B2">
            <w:pPr>
              <w:jc w:val="center"/>
              <w:rPr>
                <w:rFonts w:cstheme="minorHAnsi"/>
                <w:bCs/>
                <w:color w:val="auto"/>
                <w:sz w:val="18"/>
                <w:szCs w:val="18"/>
              </w:rPr>
            </w:pPr>
          </w:p>
        </w:tc>
        <w:tc>
          <w:tcPr>
            <w:tcW w:w="2977" w:type="dxa"/>
            <w:vMerge w:val="restart"/>
            <w:tcBorders>
              <w:top w:val="single" w:sz="12" w:space="0" w:color="auto"/>
              <w:left w:val="single" w:sz="4" w:space="0" w:color="auto"/>
              <w:bottom w:val="single" w:sz="8" w:space="0" w:color="000000"/>
              <w:right w:val="single" w:sz="4" w:space="0" w:color="auto"/>
            </w:tcBorders>
            <w:shd w:val="clear" w:color="auto" w:fill="365F91" w:themeFill="accent1" w:themeFillShade="BF"/>
            <w:vAlign w:val="center"/>
            <w:hideMark/>
          </w:tcPr>
          <w:p w14:paraId="1B59670D" w14:textId="1E3F186F" w:rsidR="00D02D10" w:rsidRPr="009412EE" w:rsidRDefault="00D02D10" w:rsidP="00904409">
            <w:pPr>
              <w:spacing w:before="60" w:after="60"/>
              <w:jc w:val="center"/>
              <w:rPr>
                <w:rFonts w:cstheme="minorHAnsi"/>
                <w:color w:val="auto"/>
                <w:sz w:val="18"/>
                <w:szCs w:val="18"/>
              </w:rPr>
            </w:pPr>
            <w:r w:rsidRPr="009412EE">
              <w:rPr>
                <w:rFonts w:cstheme="minorHAnsi"/>
                <w:color w:val="auto"/>
                <w:sz w:val="18"/>
                <w:szCs w:val="18"/>
              </w:rPr>
              <w:t>A high priority</w:t>
            </w:r>
            <w:r w:rsidR="005D0749" w:rsidRPr="009412EE">
              <w:rPr>
                <w:rFonts w:cstheme="minorHAnsi"/>
                <w:color w:val="auto"/>
                <w:sz w:val="18"/>
                <w:szCs w:val="18"/>
              </w:rPr>
              <w:t xml:space="preserve"> for CEW</w:t>
            </w:r>
            <w:r w:rsidRPr="009412EE">
              <w:rPr>
                <w:rFonts w:cstheme="minorHAnsi"/>
                <w:color w:val="auto"/>
                <w:sz w:val="18"/>
                <w:szCs w:val="18"/>
              </w:rPr>
              <w:t xml:space="preserve"> under all water resource availability scenarios</w:t>
            </w:r>
            <w:r w:rsidR="005D0749" w:rsidRPr="009412EE">
              <w:rPr>
                <w:rFonts w:cstheme="minorHAnsi"/>
                <w:color w:val="auto"/>
                <w:sz w:val="18"/>
                <w:szCs w:val="18"/>
              </w:rPr>
              <w:t>.</w:t>
            </w:r>
            <w:r w:rsidRPr="009412EE">
              <w:rPr>
                <w:rFonts w:cstheme="minorHAnsi"/>
                <w:color w:val="auto"/>
                <w:sz w:val="18"/>
                <w:szCs w:val="18"/>
              </w:rPr>
              <w:br/>
            </w:r>
            <w:r w:rsidRPr="009412EE">
              <w:rPr>
                <w:rFonts w:cstheme="minorHAnsi"/>
                <w:color w:val="auto"/>
                <w:sz w:val="18"/>
                <w:szCs w:val="18"/>
              </w:rPr>
              <w:br/>
            </w:r>
          </w:p>
        </w:tc>
        <w:tc>
          <w:tcPr>
            <w:tcW w:w="2268" w:type="dxa"/>
            <w:tcBorders>
              <w:top w:val="single" w:sz="12" w:space="0" w:color="auto"/>
              <w:left w:val="single" w:sz="4" w:space="0" w:color="auto"/>
              <w:bottom w:val="single" w:sz="8" w:space="0" w:color="000000"/>
              <w:right w:val="single" w:sz="12" w:space="0" w:color="auto"/>
            </w:tcBorders>
            <w:shd w:val="clear" w:color="auto" w:fill="FFC000"/>
            <w:vAlign w:val="center"/>
          </w:tcPr>
          <w:p w14:paraId="415D9FE6" w14:textId="2BBB40D3"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Moderate</w:t>
            </w:r>
          </w:p>
        </w:tc>
      </w:tr>
      <w:tr w:rsidR="009412EE" w:rsidRPr="009412EE" w14:paraId="3CAC87A8" w14:textId="77777777" w:rsidTr="009412EE">
        <w:trPr>
          <w:trHeight w:val="1187"/>
        </w:trPr>
        <w:tc>
          <w:tcPr>
            <w:tcW w:w="1843" w:type="dxa"/>
            <w:vMerge/>
            <w:tcBorders>
              <w:top w:val="nil"/>
              <w:left w:val="single" w:sz="12" w:space="0" w:color="auto"/>
              <w:bottom w:val="single" w:sz="12" w:space="0" w:color="auto"/>
              <w:right w:val="single" w:sz="4" w:space="0" w:color="auto"/>
            </w:tcBorders>
            <w:vAlign w:val="center"/>
            <w:hideMark/>
          </w:tcPr>
          <w:p w14:paraId="1131CFA5" w14:textId="77777777" w:rsidR="00D02D10" w:rsidRPr="009412EE" w:rsidRDefault="00D02D10" w:rsidP="00A867B2">
            <w:pPr>
              <w:rPr>
                <w:rFonts w:cstheme="minorHAnsi"/>
                <w:b/>
                <w:bCs/>
                <w:color w:val="auto"/>
                <w:sz w:val="18"/>
                <w:szCs w:val="18"/>
              </w:rPr>
            </w:pP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EF7ACDB"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Waterbird breeding and foraging habitat northern lakes zone**</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3EAF2513"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50 GL @ Wilby Wilby</w:t>
            </w:r>
            <w:r w:rsidRPr="009412EE" w:rsidDel="001F1878">
              <w:rPr>
                <w:rFonts w:cstheme="minorHAnsi"/>
                <w:color w:val="auto"/>
                <w:sz w:val="18"/>
                <w:szCs w:val="18"/>
              </w:rPr>
              <w:t xml:space="preserve"> </w:t>
            </w:r>
            <w:r w:rsidRPr="009412EE">
              <w:rPr>
                <w:rFonts w:cstheme="minorHAnsi"/>
                <w:color w:val="auto"/>
                <w:sz w:val="18"/>
                <w:szCs w:val="18"/>
              </w:rPr>
              <w:t>over 90 days</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02E29BC" w14:textId="3471F629" w:rsidR="00D02D10" w:rsidRPr="009412EE" w:rsidRDefault="00D02D10" w:rsidP="001C507D">
            <w:pPr>
              <w:ind w:left="109"/>
              <w:rPr>
                <w:rFonts w:cstheme="minorHAnsi"/>
                <w:color w:val="auto"/>
                <w:sz w:val="18"/>
                <w:szCs w:val="18"/>
              </w:rPr>
            </w:pPr>
            <w:r w:rsidRPr="009412EE">
              <w:rPr>
                <w:rFonts w:cstheme="minorHAnsi"/>
                <w:color w:val="auto"/>
                <w:sz w:val="18"/>
                <w:szCs w:val="18"/>
              </w:rPr>
              <w:t>Every 1.3</w:t>
            </w:r>
            <w:r w:rsidR="004E7434" w:rsidRPr="009412EE">
              <w:rPr>
                <w:rFonts w:cstheme="minorHAnsi"/>
                <w:color w:val="auto"/>
                <w:sz w:val="18"/>
                <w:szCs w:val="18"/>
              </w:rPr>
              <w:t>–</w:t>
            </w:r>
            <w:r w:rsidRPr="009412EE">
              <w:rPr>
                <w:rFonts w:cstheme="minorHAnsi"/>
                <w:color w:val="auto"/>
                <w:sz w:val="18"/>
                <w:szCs w:val="18"/>
              </w:rPr>
              <w:t>1.7 years</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F759" w14:textId="2BAF6643"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 xml:space="preserve">This demand has been met 4 out of the </w:t>
            </w:r>
            <w:r w:rsidR="005D0749" w:rsidRPr="009412EE">
              <w:rPr>
                <w:rFonts w:cstheme="minorHAnsi"/>
                <w:color w:val="auto"/>
                <w:sz w:val="18"/>
                <w:szCs w:val="18"/>
              </w:rPr>
              <w:t xml:space="preserve">past </w:t>
            </w:r>
            <w:r w:rsidRPr="009412EE">
              <w:rPr>
                <w:rFonts w:cstheme="minorHAnsi"/>
                <w:color w:val="auto"/>
                <w:sz w:val="18"/>
                <w:szCs w:val="18"/>
              </w:rPr>
              <w:t>10 years, which exceeds the frequency range for this requirement. While this demand was met by the flow event during March</w:t>
            </w:r>
            <w:r w:rsidR="005D0749" w:rsidRPr="009412EE">
              <w:rPr>
                <w:rFonts w:cstheme="minorHAnsi"/>
                <w:color w:val="auto"/>
                <w:sz w:val="18"/>
                <w:szCs w:val="18"/>
              </w:rPr>
              <w:t>–</w:t>
            </w:r>
            <w:r w:rsidRPr="009412EE">
              <w:rPr>
                <w:rFonts w:cstheme="minorHAnsi"/>
                <w:color w:val="auto"/>
                <w:sz w:val="18"/>
                <w:szCs w:val="18"/>
              </w:rPr>
              <w:t>April 2020, the requirement for this demand is high. Inflows are required this year to sustain lignum shrublands and maintain condition of riparian red gum forests.</w:t>
            </w:r>
          </w:p>
        </w:tc>
        <w:tc>
          <w:tcPr>
            <w:tcW w:w="1984" w:type="dxa"/>
            <w:tcBorders>
              <w:top w:val="single" w:sz="8" w:space="0" w:color="auto"/>
              <w:left w:val="single" w:sz="4" w:space="0" w:color="auto"/>
              <w:bottom w:val="single" w:sz="8" w:space="0" w:color="auto"/>
              <w:right w:val="single" w:sz="4" w:space="0" w:color="auto"/>
            </w:tcBorders>
            <w:shd w:val="clear" w:color="auto" w:fill="FF0000"/>
            <w:vAlign w:val="center"/>
            <w:hideMark/>
          </w:tcPr>
          <w:p w14:paraId="4134FA4F"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p>
        </w:tc>
        <w:tc>
          <w:tcPr>
            <w:tcW w:w="2977" w:type="dxa"/>
            <w:vMerge/>
            <w:tcBorders>
              <w:top w:val="nil"/>
              <w:left w:val="single" w:sz="4" w:space="0" w:color="auto"/>
              <w:bottom w:val="single" w:sz="8" w:space="0" w:color="000000"/>
              <w:right w:val="single" w:sz="4" w:space="0" w:color="auto"/>
            </w:tcBorders>
            <w:shd w:val="clear" w:color="auto" w:fill="365F91" w:themeFill="accent1" w:themeFillShade="BF"/>
            <w:vAlign w:val="center"/>
            <w:hideMark/>
          </w:tcPr>
          <w:p w14:paraId="28736E89" w14:textId="77777777" w:rsidR="00D02D10" w:rsidRPr="009412EE" w:rsidRDefault="00D02D10" w:rsidP="00A867B2">
            <w:pPr>
              <w:jc w:val="center"/>
              <w:rPr>
                <w:rFonts w:cstheme="minorHAnsi"/>
                <w:color w:val="auto"/>
                <w:sz w:val="18"/>
                <w:szCs w:val="18"/>
              </w:rPr>
            </w:pPr>
          </w:p>
        </w:tc>
        <w:tc>
          <w:tcPr>
            <w:tcW w:w="2268" w:type="dxa"/>
            <w:tcBorders>
              <w:top w:val="nil"/>
              <w:left w:val="single" w:sz="4" w:space="0" w:color="auto"/>
              <w:bottom w:val="single" w:sz="8" w:space="0" w:color="000000"/>
              <w:right w:val="single" w:sz="12" w:space="0" w:color="auto"/>
            </w:tcBorders>
            <w:shd w:val="clear" w:color="auto" w:fill="FFC000"/>
            <w:vAlign w:val="center"/>
          </w:tcPr>
          <w:p w14:paraId="7D90F24E" w14:textId="6FFDD608"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Moderate</w:t>
            </w:r>
          </w:p>
        </w:tc>
      </w:tr>
      <w:tr w:rsidR="009412EE" w:rsidRPr="009412EE" w14:paraId="37E4FA03" w14:textId="77777777" w:rsidTr="009412EE">
        <w:trPr>
          <w:trHeight w:val="1384"/>
        </w:trPr>
        <w:tc>
          <w:tcPr>
            <w:tcW w:w="1843" w:type="dxa"/>
            <w:vMerge/>
            <w:tcBorders>
              <w:top w:val="nil"/>
              <w:left w:val="single" w:sz="12" w:space="0" w:color="auto"/>
              <w:bottom w:val="single" w:sz="12" w:space="0" w:color="auto"/>
              <w:right w:val="single" w:sz="4" w:space="0" w:color="auto"/>
            </w:tcBorders>
            <w:vAlign w:val="center"/>
            <w:hideMark/>
          </w:tcPr>
          <w:p w14:paraId="41DD1278"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8" w:space="0" w:color="auto"/>
              <w:right w:val="single" w:sz="4" w:space="0" w:color="auto"/>
            </w:tcBorders>
            <w:shd w:val="clear" w:color="auto" w:fill="auto"/>
            <w:vAlign w:val="center"/>
            <w:hideMark/>
          </w:tcPr>
          <w:p w14:paraId="591A68A6"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Trigger and maintain large scale colonial waterbird breeding</w:t>
            </w:r>
          </w:p>
        </w:tc>
        <w:tc>
          <w:tcPr>
            <w:tcW w:w="3969" w:type="dxa"/>
            <w:tcBorders>
              <w:top w:val="nil"/>
              <w:left w:val="nil"/>
              <w:bottom w:val="single" w:sz="8" w:space="0" w:color="auto"/>
              <w:right w:val="single" w:sz="4" w:space="0" w:color="auto"/>
            </w:tcBorders>
            <w:shd w:val="clear" w:color="auto" w:fill="auto"/>
            <w:vAlign w:val="center"/>
            <w:hideMark/>
          </w:tcPr>
          <w:p w14:paraId="652D8716"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154 GL @ Wilby Wilby</w:t>
            </w:r>
            <w:r w:rsidRPr="009412EE" w:rsidDel="001F1878">
              <w:rPr>
                <w:rFonts w:cstheme="minorHAnsi"/>
                <w:color w:val="auto"/>
                <w:sz w:val="18"/>
                <w:szCs w:val="18"/>
              </w:rPr>
              <w:t xml:space="preserve"> </w:t>
            </w:r>
            <w:r w:rsidRPr="009412EE">
              <w:rPr>
                <w:rFonts w:cstheme="minorHAnsi"/>
                <w:color w:val="auto"/>
                <w:sz w:val="18"/>
                <w:szCs w:val="18"/>
              </w:rPr>
              <w:t>Narran Park over 90 days</w:t>
            </w:r>
          </w:p>
        </w:tc>
        <w:tc>
          <w:tcPr>
            <w:tcW w:w="1418" w:type="dxa"/>
            <w:tcBorders>
              <w:top w:val="nil"/>
              <w:left w:val="nil"/>
              <w:bottom w:val="single" w:sz="8" w:space="0" w:color="auto"/>
              <w:right w:val="single" w:sz="4" w:space="0" w:color="auto"/>
            </w:tcBorders>
            <w:shd w:val="clear" w:color="auto" w:fill="auto"/>
            <w:vAlign w:val="center"/>
            <w:hideMark/>
          </w:tcPr>
          <w:p w14:paraId="1EA44E95" w14:textId="4681A497" w:rsidR="00D02D10" w:rsidRPr="009412EE" w:rsidRDefault="00D02D10" w:rsidP="001C507D">
            <w:pPr>
              <w:ind w:left="109"/>
              <w:rPr>
                <w:rFonts w:cstheme="minorHAnsi"/>
                <w:color w:val="auto"/>
                <w:sz w:val="18"/>
                <w:szCs w:val="18"/>
              </w:rPr>
            </w:pPr>
            <w:r w:rsidRPr="009412EE">
              <w:rPr>
                <w:rFonts w:cstheme="minorHAnsi"/>
                <w:color w:val="auto"/>
                <w:sz w:val="18"/>
                <w:szCs w:val="18"/>
              </w:rPr>
              <w:t>Twice in every 8</w:t>
            </w:r>
            <w:r w:rsidR="004E7434" w:rsidRPr="009412EE">
              <w:rPr>
                <w:rFonts w:cstheme="minorHAnsi"/>
                <w:color w:val="auto"/>
                <w:sz w:val="18"/>
                <w:szCs w:val="18"/>
              </w:rPr>
              <w:t>–</w:t>
            </w:r>
            <w:r w:rsidRPr="009412EE">
              <w:rPr>
                <w:rFonts w:cstheme="minorHAnsi"/>
                <w:color w:val="auto"/>
                <w:sz w:val="18"/>
                <w:szCs w:val="18"/>
              </w:rPr>
              <w:t>10 years</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759B6" w14:textId="1DB2C66F"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This demand was last met 8 years ago. While significant flows entered the Narran Lakes systems during March</w:t>
            </w:r>
            <w:r w:rsidR="00E302AB" w:rsidRPr="009412EE">
              <w:rPr>
                <w:rFonts w:cstheme="minorHAnsi"/>
                <w:color w:val="auto"/>
                <w:sz w:val="18"/>
                <w:szCs w:val="18"/>
              </w:rPr>
              <w:t>–</w:t>
            </w:r>
            <w:r w:rsidRPr="009412EE">
              <w:rPr>
                <w:rFonts w:cstheme="minorHAnsi"/>
                <w:color w:val="auto"/>
                <w:sz w:val="18"/>
                <w:szCs w:val="18"/>
              </w:rPr>
              <w:t xml:space="preserve">April 2020, the last </w:t>
            </w:r>
            <w:r w:rsidR="00E302AB" w:rsidRPr="009412EE">
              <w:rPr>
                <w:rFonts w:cstheme="minorHAnsi"/>
                <w:color w:val="auto"/>
                <w:sz w:val="18"/>
                <w:szCs w:val="18"/>
              </w:rPr>
              <w:t>large-scale</w:t>
            </w:r>
            <w:r w:rsidRPr="009412EE">
              <w:rPr>
                <w:rFonts w:cstheme="minorHAnsi"/>
                <w:color w:val="auto"/>
                <w:sz w:val="18"/>
                <w:szCs w:val="18"/>
              </w:rPr>
              <w:t xml:space="preserve"> waterbird breeding event was in early 2013. An event is required this year or next to provide ibis populations (with Narran site fidelity) with 2 breeding opportunities in their lifetime. An acute and chronic shortage of waterbird breeding across the Basin and the likelihood of this demand not being met in the long term, increases its urgency.</w:t>
            </w:r>
          </w:p>
        </w:tc>
        <w:tc>
          <w:tcPr>
            <w:tcW w:w="1984" w:type="dxa"/>
            <w:tcBorders>
              <w:top w:val="nil"/>
              <w:left w:val="single" w:sz="4" w:space="0" w:color="auto"/>
              <w:bottom w:val="single" w:sz="8" w:space="0" w:color="auto"/>
              <w:right w:val="single" w:sz="4" w:space="0" w:color="auto"/>
            </w:tcBorders>
            <w:shd w:val="clear" w:color="auto" w:fill="FF0000"/>
            <w:vAlign w:val="center"/>
            <w:hideMark/>
          </w:tcPr>
          <w:p w14:paraId="37E95BB5"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High</w:t>
            </w:r>
          </w:p>
        </w:tc>
        <w:tc>
          <w:tcPr>
            <w:tcW w:w="2977" w:type="dxa"/>
            <w:tcBorders>
              <w:top w:val="nil"/>
              <w:left w:val="nil"/>
              <w:bottom w:val="single" w:sz="8" w:space="0" w:color="auto"/>
              <w:right w:val="single" w:sz="4" w:space="0" w:color="auto"/>
            </w:tcBorders>
            <w:shd w:val="clear" w:color="auto" w:fill="95B3D7" w:themeFill="accent1" w:themeFillTint="99"/>
            <w:vAlign w:val="center"/>
            <w:hideMark/>
          </w:tcPr>
          <w:p w14:paraId="0E6FF843" w14:textId="06D92CC7" w:rsidR="00D02D10" w:rsidRPr="009412EE" w:rsidRDefault="00D02D10" w:rsidP="00922286">
            <w:pPr>
              <w:shd w:val="clear" w:color="auto" w:fill="95B3D7" w:themeFill="accent1" w:themeFillTint="99"/>
              <w:jc w:val="center"/>
              <w:rPr>
                <w:rFonts w:cstheme="minorHAnsi"/>
                <w:color w:val="auto"/>
                <w:sz w:val="18"/>
                <w:szCs w:val="18"/>
              </w:rPr>
            </w:pPr>
            <w:r w:rsidRPr="009412EE">
              <w:rPr>
                <w:rFonts w:cstheme="minorHAnsi"/>
                <w:color w:val="auto"/>
                <w:sz w:val="18"/>
                <w:szCs w:val="18"/>
              </w:rPr>
              <w:t xml:space="preserve">Commonwealth water portfolio is likely to contribute during large flow events </w:t>
            </w:r>
            <w:r w:rsidRPr="009412EE">
              <w:rPr>
                <w:rFonts w:cstheme="minorHAnsi"/>
                <w:color w:val="auto"/>
                <w:sz w:val="18"/>
                <w:szCs w:val="18"/>
              </w:rPr>
              <w:br/>
            </w:r>
          </w:p>
        </w:tc>
        <w:tc>
          <w:tcPr>
            <w:tcW w:w="2268" w:type="dxa"/>
            <w:tcBorders>
              <w:top w:val="nil"/>
              <w:left w:val="single" w:sz="4" w:space="0" w:color="auto"/>
              <w:bottom w:val="single" w:sz="8" w:space="0" w:color="auto"/>
              <w:right w:val="single" w:sz="12" w:space="0" w:color="auto"/>
            </w:tcBorders>
            <w:shd w:val="clear" w:color="auto" w:fill="FFC000"/>
            <w:vAlign w:val="center"/>
          </w:tcPr>
          <w:p w14:paraId="774BF438" w14:textId="77777777" w:rsidR="00D02D10" w:rsidRPr="009412EE" w:rsidRDefault="00D02D10" w:rsidP="00E302AB">
            <w:pPr>
              <w:jc w:val="center"/>
              <w:rPr>
                <w:rFonts w:cstheme="minorHAnsi"/>
                <w:bCs/>
                <w:color w:val="auto"/>
                <w:sz w:val="18"/>
                <w:szCs w:val="18"/>
              </w:rPr>
            </w:pPr>
            <w:r w:rsidRPr="009412EE">
              <w:rPr>
                <w:rFonts w:cstheme="minorHAnsi"/>
                <w:bCs/>
                <w:color w:val="auto"/>
                <w:sz w:val="18"/>
                <w:szCs w:val="18"/>
              </w:rPr>
              <w:t>Moderate</w:t>
            </w:r>
          </w:p>
        </w:tc>
      </w:tr>
      <w:tr w:rsidR="009412EE" w:rsidRPr="009412EE" w14:paraId="38FF86C7" w14:textId="77777777" w:rsidTr="009412EE">
        <w:trPr>
          <w:trHeight w:val="1688"/>
        </w:trPr>
        <w:tc>
          <w:tcPr>
            <w:tcW w:w="1843" w:type="dxa"/>
            <w:vMerge/>
            <w:tcBorders>
              <w:top w:val="nil"/>
              <w:left w:val="single" w:sz="12" w:space="0" w:color="auto"/>
              <w:bottom w:val="single" w:sz="12" w:space="0" w:color="auto"/>
              <w:right w:val="single" w:sz="4" w:space="0" w:color="auto"/>
            </w:tcBorders>
            <w:vAlign w:val="center"/>
            <w:hideMark/>
          </w:tcPr>
          <w:p w14:paraId="66580DB1" w14:textId="77777777" w:rsidR="00D02D10" w:rsidRPr="009412EE" w:rsidRDefault="00D02D10" w:rsidP="00A867B2">
            <w:pPr>
              <w:rPr>
                <w:rFonts w:cstheme="minorHAnsi"/>
                <w:b/>
                <w:bCs/>
                <w:color w:val="auto"/>
                <w:sz w:val="18"/>
                <w:szCs w:val="18"/>
              </w:rPr>
            </w:pPr>
          </w:p>
        </w:tc>
        <w:tc>
          <w:tcPr>
            <w:tcW w:w="1559" w:type="dxa"/>
            <w:tcBorders>
              <w:top w:val="nil"/>
              <w:left w:val="single" w:sz="4" w:space="0" w:color="auto"/>
              <w:bottom w:val="single" w:sz="12" w:space="0" w:color="auto"/>
              <w:right w:val="single" w:sz="4" w:space="0" w:color="auto"/>
            </w:tcBorders>
            <w:shd w:val="clear" w:color="auto" w:fill="auto"/>
            <w:vAlign w:val="center"/>
            <w:hideMark/>
          </w:tcPr>
          <w:p w14:paraId="5B123FE0" w14:textId="77777777" w:rsidR="00D02D10" w:rsidRPr="009412EE" w:rsidRDefault="00D02D10" w:rsidP="00C36959">
            <w:pPr>
              <w:ind w:left="111"/>
              <w:rPr>
                <w:rFonts w:cstheme="minorHAnsi"/>
                <w:color w:val="auto"/>
                <w:sz w:val="18"/>
                <w:szCs w:val="18"/>
              </w:rPr>
            </w:pPr>
            <w:r w:rsidRPr="009412EE">
              <w:rPr>
                <w:rFonts w:cstheme="minorHAnsi"/>
                <w:color w:val="auto"/>
                <w:sz w:val="18"/>
                <w:szCs w:val="18"/>
              </w:rPr>
              <w:t>Water all floodplain and wetland habitat in Narran Lakes complex, initiate waterbird breeding, provide long-term refuge**</w:t>
            </w:r>
          </w:p>
        </w:tc>
        <w:tc>
          <w:tcPr>
            <w:tcW w:w="3969" w:type="dxa"/>
            <w:tcBorders>
              <w:top w:val="nil"/>
              <w:left w:val="nil"/>
              <w:bottom w:val="single" w:sz="12" w:space="0" w:color="auto"/>
              <w:right w:val="single" w:sz="4" w:space="0" w:color="auto"/>
            </w:tcBorders>
            <w:shd w:val="clear" w:color="auto" w:fill="auto"/>
            <w:vAlign w:val="center"/>
            <w:hideMark/>
          </w:tcPr>
          <w:p w14:paraId="662968E3"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250 GL over 180 days @ Wilby Wilby</w:t>
            </w:r>
          </w:p>
        </w:tc>
        <w:tc>
          <w:tcPr>
            <w:tcW w:w="1418" w:type="dxa"/>
            <w:tcBorders>
              <w:top w:val="nil"/>
              <w:left w:val="nil"/>
              <w:bottom w:val="single" w:sz="12" w:space="0" w:color="auto"/>
              <w:right w:val="single" w:sz="4" w:space="0" w:color="auto"/>
            </w:tcBorders>
            <w:shd w:val="clear" w:color="auto" w:fill="auto"/>
            <w:vAlign w:val="center"/>
            <w:hideMark/>
          </w:tcPr>
          <w:p w14:paraId="5DA9B79C" w14:textId="77777777" w:rsidR="00D02D10" w:rsidRPr="009412EE" w:rsidRDefault="00D02D10" w:rsidP="001C507D">
            <w:pPr>
              <w:ind w:left="109"/>
              <w:rPr>
                <w:rFonts w:cstheme="minorHAnsi"/>
                <w:color w:val="auto"/>
                <w:sz w:val="18"/>
                <w:szCs w:val="18"/>
              </w:rPr>
            </w:pPr>
            <w:r w:rsidRPr="009412EE">
              <w:rPr>
                <w:rFonts w:cstheme="minorHAnsi"/>
                <w:color w:val="auto"/>
                <w:sz w:val="18"/>
                <w:szCs w:val="18"/>
              </w:rPr>
              <w:t>Every 10 to 12 years</w:t>
            </w:r>
          </w:p>
        </w:tc>
        <w:tc>
          <w:tcPr>
            <w:tcW w:w="5954" w:type="dxa"/>
            <w:tcBorders>
              <w:top w:val="single" w:sz="4" w:space="0" w:color="auto"/>
              <w:left w:val="single" w:sz="4" w:space="0" w:color="auto"/>
              <w:bottom w:val="single" w:sz="12" w:space="0" w:color="auto"/>
              <w:right w:val="single" w:sz="4" w:space="0" w:color="auto"/>
            </w:tcBorders>
            <w:shd w:val="clear" w:color="auto" w:fill="auto"/>
            <w:vAlign w:val="center"/>
          </w:tcPr>
          <w:p w14:paraId="52F5D222" w14:textId="03E2DD89" w:rsidR="00D02D10" w:rsidRPr="009412EE" w:rsidRDefault="00D02D10" w:rsidP="00273793">
            <w:pPr>
              <w:spacing w:before="120"/>
              <w:jc w:val="center"/>
              <w:rPr>
                <w:rFonts w:cstheme="minorHAnsi"/>
                <w:color w:val="auto"/>
                <w:sz w:val="18"/>
                <w:szCs w:val="18"/>
              </w:rPr>
            </w:pPr>
            <w:r w:rsidRPr="009412EE">
              <w:rPr>
                <w:rFonts w:cstheme="minorHAnsi"/>
                <w:color w:val="auto"/>
                <w:sz w:val="18"/>
                <w:szCs w:val="18"/>
              </w:rPr>
              <w:t>This demand was met 8 years ago. Following the 2010</w:t>
            </w:r>
            <w:r w:rsidR="00E302AB" w:rsidRPr="009412EE">
              <w:rPr>
                <w:rFonts w:cstheme="minorHAnsi"/>
                <w:color w:val="auto"/>
                <w:sz w:val="18"/>
                <w:szCs w:val="18"/>
              </w:rPr>
              <w:t>–</w:t>
            </w:r>
            <w:r w:rsidRPr="009412EE">
              <w:rPr>
                <w:rFonts w:cstheme="minorHAnsi"/>
                <w:color w:val="auto"/>
                <w:sz w:val="18"/>
                <w:szCs w:val="18"/>
              </w:rPr>
              <w:t>11 and 2011</w:t>
            </w:r>
            <w:r w:rsidR="00E302AB" w:rsidRPr="009412EE">
              <w:rPr>
                <w:rFonts w:cstheme="minorHAnsi"/>
                <w:color w:val="auto"/>
                <w:sz w:val="18"/>
                <w:szCs w:val="18"/>
              </w:rPr>
              <w:t>–</w:t>
            </w:r>
            <w:r w:rsidRPr="009412EE">
              <w:rPr>
                <w:rFonts w:cstheme="minorHAnsi"/>
                <w:color w:val="auto"/>
                <w:sz w:val="18"/>
                <w:szCs w:val="18"/>
              </w:rPr>
              <w:t>12 floods,</w:t>
            </w:r>
            <w:r w:rsidR="00683961">
              <w:rPr>
                <w:rFonts w:cstheme="minorHAnsi"/>
                <w:color w:val="auto"/>
                <w:sz w:val="18"/>
                <w:szCs w:val="18"/>
              </w:rPr>
              <w:t> </w:t>
            </w:r>
            <w:r w:rsidRPr="009412EE">
              <w:rPr>
                <w:rFonts w:cstheme="minorHAnsi"/>
                <w:color w:val="auto"/>
                <w:sz w:val="18"/>
                <w:szCs w:val="18"/>
              </w:rPr>
              <w:t>the critical interval for inundation will be from 2022 (if not received before</w:t>
            </w:r>
            <w:r w:rsidR="00683961">
              <w:rPr>
                <w:rFonts w:cstheme="minorHAnsi"/>
                <w:color w:val="auto"/>
                <w:sz w:val="18"/>
                <w:szCs w:val="18"/>
              </w:rPr>
              <w:t> </w:t>
            </w:r>
            <w:r w:rsidRPr="009412EE">
              <w:rPr>
                <w:rFonts w:cstheme="minorHAnsi"/>
                <w:color w:val="auto"/>
                <w:sz w:val="18"/>
                <w:szCs w:val="18"/>
              </w:rPr>
              <w:t>then).</w:t>
            </w:r>
          </w:p>
        </w:tc>
        <w:tc>
          <w:tcPr>
            <w:tcW w:w="1984" w:type="dxa"/>
            <w:tcBorders>
              <w:top w:val="nil"/>
              <w:left w:val="single" w:sz="4" w:space="0" w:color="auto"/>
              <w:bottom w:val="single" w:sz="12" w:space="0" w:color="auto"/>
              <w:right w:val="single" w:sz="4" w:space="0" w:color="auto"/>
            </w:tcBorders>
            <w:shd w:val="clear" w:color="auto" w:fill="92D050"/>
            <w:vAlign w:val="center"/>
            <w:hideMark/>
          </w:tcPr>
          <w:p w14:paraId="3B8B42DC" w14:textId="77777777" w:rsidR="00D02D10" w:rsidRPr="009412EE" w:rsidRDefault="00D02D10" w:rsidP="00A867B2">
            <w:pPr>
              <w:jc w:val="center"/>
              <w:rPr>
                <w:rFonts w:cstheme="minorHAnsi"/>
                <w:bCs/>
                <w:color w:val="auto"/>
                <w:sz w:val="18"/>
                <w:szCs w:val="18"/>
              </w:rPr>
            </w:pPr>
            <w:r w:rsidRPr="009412EE">
              <w:rPr>
                <w:rFonts w:cstheme="minorHAnsi"/>
                <w:bCs/>
                <w:color w:val="auto"/>
                <w:sz w:val="18"/>
                <w:szCs w:val="18"/>
              </w:rPr>
              <w:t>Low</w:t>
            </w:r>
            <w:r w:rsidRPr="009412EE">
              <w:rPr>
                <w:rFonts w:cstheme="minorHAnsi"/>
                <w:bCs/>
                <w:color w:val="auto"/>
                <w:sz w:val="18"/>
                <w:szCs w:val="18"/>
              </w:rPr>
              <w:br/>
            </w:r>
          </w:p>
        </w:tc>
        <w:tc>
          <w:tcPr>
            <w:tcW w:w="2977" w:type="dxa"/>
            <w:tcBorders>
              <w:top w:val="nil"/>
              <w:left w:val="nil"/>
              <w:bottom w:val="single" w:sz="12" w:space="0" w:color="auto"/>
              <w:right w:val="single" w:sz="4" w:space="0" w:color="auto"/>
            </w:tcBorders>
            <w:shd w:val="clear" w:color="auto" w:fill="95B3D7" w:themeFill="accent1" w:themeFillTint="99"/>
            <w:vAlign w:val="center"/>
            <w:hideMark/>
          </w:tcPr>
          <w:p w14:paraId="6890C9F6" w14:textId="6178990E" w:rsidR="00D02D10" w:rsidRPr="009412EE" w:rsidRDefault="00E46D01" w:rsidP="00922286">
            <w:pPr>
              <w:shd w:val="clear" w:color="auto" w:fill="95B3D7" w:themeFill="accent1" w:themeFillTint="99"/>
              <w:jc w:val="center"/>
              <w:rPr>
                <w:rFonts w:cstheme="minorHAnsi"/>
                <w:color w:val="auto"/>
                <w:sz w:val="18"/>
                <w:szCs w:val="18"/>
              </w:rPr>
            </w:pPr>
            <w:r w:rsidRPr="009412EE">
              <w:rPr>
                <w:rFonts w:cstheme="minorHAnsi"/>
                <w:color w:val="auto"/>
                <w:sz w:val="18"/>
                <w:szCs w:val="18"/>
              </w:rPr>
              <w:t xml:space="preserve">Commonwealth water portfolio is likely to contribute during large flow events </w:t>
            </w:r>
            <w:r w:rsidRPr="009412EE">
              <w:rPr>
                <w:rFonts w:cstheme="minorHAnsi"/>
                <w:color w:val="auto"/>
                <w:sz w:val="18"/>
                <w:szCs w:val="18"/>
              </w:rPr>
              <w:br/>
            </w:r>
          </w:p>
        </w:tc>
        <w:tc>
          <w:tcPr>
            <w:tcW w:w="2268" w:type="dxa"/>
            <w:tcBorders>
              <w:top w:val="nil"/>
              <w:left w:val="single" w:sz="4" w:space="0" w:color="auto"/>
              <w:bottom w:val="single" w:sz="12" w:space="0" w:color="auto"/>
              <w:right w:val="single" w:sz="12" w:space="0" w:color="auto"/>
            </w:tcBorders>
            <w:shd w:val="clear" w:color="auto" w:fill="92D050"/>
            <w:vAlign w:val="center"/>
          </w:tcPr>
          <w:p w14:paraId="4351ED0B" w14:textId="77777777" w:rsidR="00D02D10" w:rsidRPr="009412EE" w:rsidRDefault="00D02D10" w:rsidP="0054499D">
            <w:pPr>
              <w:jc w:val="center"/>
              <w:rPr>
                <w:rFonts w:cstheme="minorHAnsi"/>
                <w:bCs/>
                <w:color w:val="auto"/>
                <w:sz w:val="18"/>
                <w:szCs w:val="18"/>
              </w:rPr>
            </w:pPr>
            <w:r w:rsidRPr="009412EE">
              <w:rPr>
                <w:rFonts w:cstheme="minorHAnsi"/>
                <w:bCs/>
                <w:color w:val="auto"/>
                <w:sz w:val="18"/>
                <w:szCs w:val="18"/>
              </w:rPr>
              <w:t>Low</w:t>
            </w:r>
          </w:p>
        </w:tc>
      </w:tr>
    </w:tbl>
    <w:p w14:paraId="3DE25A95" w14:textId="022181A8" w:rsidR="00D02D10" w:rsidRPr="00977F06" w:rsidRDefault="00D02D10" w:rsidP="00D02D10">
      <w:pPr>
        <w:rPr>
          <w:rFonts w:cstheme="minorHAnsi"/>
          <w:sz w:val="18"/>
          <w:szCs w:val="18"/>
        </w:rPr>
      </w:pPr>
      <w:r w:rsidRPr="00977F06">
        <w:rPr>
          <w:rFonts w:cstheme="minorHAnsi"/>
          <w:sz w:val="18"/>
          <w:szCs w:val="18"/>
        </w:rPr>
        <w:t>**Vegetation types/communities that are identified as critical components of the Ramsar site include lignum shrublands, riparian forest/woodland and ephemeral herbfields. All other critical components, processe</w:t>
      </w:r>
      <w:r w:rsidR="00977F06">
        <w:rPr>
          <w:rFonts w:cstheme="minorHAnsi"/>
          <w:sz w:val="18"/>
          <w:szCs w:val="18"/>
        </w:rPr>
        <w:t>s</w:t>
      </w:r>
      <w:r w:rsidRPr="00977F06">
        <w:rPr>
          <w:rFonts w:cstheme="minorHAnsi"/>
          <w:sz w:val="18"/>
          <w:szCs w:val="18"/>
        </w:rPr>
        <w:t xml:space="preserve"> and services of the Ramsar site would be supported by meeting the indicative demand. </w:t>
      </w:r>
    </w:p>
    <w:p w14:paraId="2FB9DB40" w14:textId="78E84374" w:rsidR="00D02D10" w:rsidRPr="00977F06" w:rsidRDefault="00D02D10" w:rsidP="00D02D10">
      <w:pPr>
        <w:spacing w:after="0"/>
        <w:rPr>
          <w:rFonts w:cstheme="minorHAnsi"/>
          <w:i/>
          <w:iCs/>
          <w:color w:val="auto"/>
          <w:sz w:val="18"/>
          <w:szCs w:val="18"/>
          <w:lang w:eastAsia="en-US"/>
        </w:rPr>
      </w:pPr>
      <w:r w:rsidRPr="00977F06">
        <w:rPr>
          <w:rFonts w:cstheme="minorHAnsi"/>
          <w:color w:val="auto"/>
          <w:sz w:val="18"/>
          <w:szCs w:val="18"/>
        </w:rPr>
        <w:t>Note: Contributions to meet Barwon</w:t>
      </w:r>
      <w:r w:rsidR="0023698B">
        <w:rPr>
          <w:rFonts w:cstheme="minorHAnsi"/>
          <w:color w:val="auto"/>
          <w:sz w:val="18"/>
          <w:szCs w:val="18"/>
        </w:rPr>
        <w:t>–</w:t>
      </w:r>
      <w:r w:rsidRPr="00977F06">
        <w:rPr>
          <w:rFonts w:cstheme="minorHAnsi"/>
          <w:color w:val="auto"/>
          <w:sz w:val="18"/>
          <w:szCs w:val="18"/>
        </w:rPr>
        <w:t xml:space="preserve">Darling environmental requirements may be considered subject to water availability, antecedent conditions, and environmental demands. Refer to </w:t>
      </w:r>
      <w:r w:rsidR="005158FA">
        <w:rPr>
          <w:rFonts w:cstheme="minorHAnsi"/>
          <w:color w:val="auto"/>
          <w:sz w:val="18"/>
          <w:szCs w:val="18"/>
        </w:rPr>
        <w:t>CEWO</w:t>
      </w:r>
      <w:r w:rsidR="002A2C94">
        <w:rPr>
          <w:rFonts w:hAnsi="Century Gothic"/>
          <w:sz w:val="18"/>
          <w:szCs w:val="18"/>
        </w:rPr>
        <w:t>’</w:t>
      </w:r>
      <w:r w:rsidR="002A2C94">
        <w:rPr>
          <w:rFonts w:hAnsi="Century Gothic"/>
          <w:sz w:val="18"/>
          <w:szCs w:val="18"/>
        </w:rPr>
        <w:t>s Water</w:t>
      </w:r>
      <w:r w:rsidRPr="00365FE2">
        <w:rPr>
          <w:rFonts w:hAnsi="Century Gothic"/>
          <w:sz w:val="18"/>
          <w:szCs w:val="18"/>
        </w:rPr>
        <w:t xml:space="preserve"> Management Plan</w:t>
      </w:r>
      <w:r w:rsidR="005158FA">
        <w:rPr>
          <w:rFonts w:hAnsi="Century Gothic"/>
          <w:sz w:val="18"/>
          <w:szCs w:val="18"/>
        </w:rPr>
        <w:t xml:space="preserve"> 2020-21</w:t>
      </w:r>
      <w:r w:rsidRPr="00365FE2">
        <w:rPr>
          <w:rFonts w:hAnsi="Century Gothic"/>
          <w:sz w:val="18"/>
          <w:szCs w:val="18"/>
        </w:rPr>
        <w:t>:</w:t>
      </w:r>
      <w:r w:rsidR="005158FA">
        <w:rPr>
          <w:rFonts w:hAnsi="Century Gothic"/>
          <w:sz w:val="18"/>
          <w:szCs w:val="18"/>
        </w:rPr>
        <w:t>Chapter 3.7</w:t>
      </w:r>
      <w:r w:rsidRPr="00365FE2">
        <w:rPr>
          <w:rFonts w:hAnsi="Century Gothic"/>
          <w:sz w:val="18"/>
          <w:szCs w:val="18"/>
        </w:rPr>
        <w:t xml:space="preserve"> Barwon</w:t>
      </w:r>
      <w:r w:rsidR="0023698B">
        <w:rPr>
          <w:rFonts w:hAnsi="Century Gothic"/>
          <w:sz w:val="18"/>
          <w:szCs w:val="18"/>
        </w:rPr>
        <w:t>–</w:t>
      </w:r>
      <w:r w:rsidRPr="00365FE2">
        <w:rPr>
          <w:rFonts w:hAnsi="Century Gothic"/>
          <w:sz w:val="18"/>
          <w:szCs w:val="18"/>
        </w:rPr>
        <w:t>Darling</w:t>
      </w:r>
      <w:r w:rsidR="005158FA">
        <w:rPr>
          <w:rFonts w:hAnsi="Century Gothic"/>
          <w:sz w:val="18"/>
          <w:szCs w:val="18"/>
        </w:rPr>
        <w:t>.</w:t>
      </w:r>
    </w:p>
    <w:p w14:paraId="081CE6EB" w14:textId="77777777" w:rsidR="00D02D10" w:rsidRPr="000E14BB" w:rsidRDefault="00D02D10" w:rsidP="00D02D10">
      <w:pPr>
        <w:spacing w:after="0"/>
        <w:rPr>
          <w:rFonts w:ascii="Consolas" w:hAnsi="Consolas" w:cs="Times New Roman"/>
          <w:noProof/>
          <w:color w:val="auto"/>
          <w:sz w:val="21"/>
          <w:szCs w:val="21"/>
        </w:rPr>
      </w:pPr>
    </w:p>
    <w:p w14:paraId="57D36F7B" w14:textId="77777777" w:rsidR="00D02D10" w:rsidRDefault="00D02D10" w:rsidP="00D02D10">
      <w:pPr>
        <w:pStyle w:val="PlainText"/>
        <w:rPr>
          <w:noProof/>
          <w:lang w:eastAsia="en-AU"/>
        </w:rPr>
      </w:pPr>
    </w:p>
    <w:p w14:paraId="65689EAB" w14:textId="378E0BE8" w:rsidR="00D02D10" w:rsidRPr="00716A3C" w:rsidRDefault="00977F06" w:rsidP="00D02D10">
      <w:pPr>
        <w:pStyle w:val="PlainText"/>
        <w:rPr>
          <w:rFonts w:asciiTheme="minorHAnsi" w:hAnsiTheme="minorHAnsi"/>
          <w:sz w:val="22"/>
          <w:szCs w:val="22"/>
        </w:rPr>
      </w:pPr>
      <w:r>
        <w:rPr>
          <w:noProof/>
          <w:lang w:eastAsia="en-AU"/>
        </w:rPr>
        <w:drawing>
          <wp:inline distT="0" distB="0" distL="0" distR="0" wp14:anchorId="5F6B8BCF" wp14:editId="45FB0173">
            <wp:extent cx="10772877" cy="2038985"/>
            <wp:effectExtent l="0" t="0" r="9525" b="0"/>
            <wp:docPr id="1"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pic:cNvPr>
                    <pic:cNvPicPr>
                      <a:picLocks noChangeAspect="1"/>
                    </pic:cNvPicPr>
                  </pic:nvPicPr>
                  <pic:blipFill>
                    <a:blip r:embed="rId31"/>
                    <a:stretch>
                      <a:fillRect/>
                    </a:stretch>
                  </pic:blipFill>
                  <pic:spPr>
                    <a:xfrm>
                      <a:off x="0" y="0"/>
                      <a:ext cx="10815071" cy="2046971"/>
                    </a:xfrm>
                    <a:prstGeom prst="rect">
                      <a:avLst/>
                    </a:prstGeom>
                  </pic:spPr>
                </pic:pic>
              </a:graphicData>
            </a:graphic>
          </wp:inline>
        </w:drawing>
      </w:r>
    </w:p>
    <w:p w14:paraId="799BEFEB" w14:textId="77777777" w:rsidR="00D02D10" w:rsidRDefault="00D02D10" w:rsidP="00D02D10">
      <w:pPr>
        <w:spacing w:after="240"/>
        <w:rPr>
          <w:rStyle w:val="Hyperlink"/>
          <w:rFonts w:ascii="Century Gothic" w:hAnsi="Century Gothic" w:cs="Arial"/>
          <w:noProof/>
        </w:rPr>
        <w:sectPr w:rsidR="00D02D10" w:rsidSect="009412EE">
          <w:footerReference w:type="first" r:id="rId32"/>
          <w:footnotePr>
            <w:numFmt w:val="chicago"/>
          </w:footnotePr>
          <w:pgSz w:w="23814" w:h="16839" w:orient="landscape" w:code="8"/>
          <w:pgMar w:top="993" w:right="992" w:bottom="993" w:left="851" w:header="567" w:footer="397" w:gutter="0"/>
          <w:cols w:space="708"/>
          <w:docGrid w:linePitch="360"/>
        </w:sectPr>
      </w:pPr>
    </w:p>
    <w:p w14:paraId="6E4FF67D" w14:textId="77777777" w:rsidR="00D02D10" w:rsidRDefault="00D02D10" w:rsidP="00D02D10">
      <w:pPr>
        <w:pStyle w:val="Heading3"/>
        <w:rPr>
          <w:noProof/>
        </w:rPr>
      </w:pPr>
      <w:r>
        <w:rPr>
          <w:noProof/>
        </w:rPr>
        <w:t>Water delivery in 2020–21</w:t>
      </w:r>
    </w:p>
    <w:p w14:paraId="0CB01DD0" w14:textId="77777777" w:rsidR="00D02D10" w:rsidRPr="00365FE2" w:rsidRDefault="00D02D10" w:rsidP="00D02D10">
      <w:r w:rsidRPr="00DA6CC2">
        <w:t>Unregulated entitlements provide opportunistic access to unregulated river flows and overland flows when a flow event reaches levels specified in entitlement conditions and/or water resource plan triggers at which a period of access may be announced are met. Each entitlement will make a contribution to restoring in-stream flows reflecting its particular flow access windows, take rates and location.</w:t>
      </w:r>
    </w:p>
    <w:p w14:paraId="5B74668A" w14:textId="77777777" w:rsidR="00D02D10" w:rsidRPr="000B4649" w:rsidRDefault="00D02D10" w:rsidP="00D02D10">
      <w:pPr>
        <w:pStyle w:val="Heading3"/>
        <w:rPr>
          <w:noProof/>
        </w:rPr>
      </w:pPr>
      <w:r w:rsidRPr="000B4649">
        <w:rPr>
          <w:noProof/>
        </w:rPr>
        <w:t>Monitoring and Lessons learn</w:t>
      </w:r>
      <w:r>
        <w:rPr>
          <w:noProof/>
        </w:rPr>
        <w:t>ed</w:t>
      </w:r>
    </w:p>
    <w:p w14:paraId="1B8E9BE5" w14:textId="5E9E7544" w:rsidR="00D02D10" w:rsidRDefault="00D02D10" w:rsidP="00D02D10">
      <w:r w:rsidRPr="00D1079D">
        <w:t xml:space="preserve">In the </w:t>
      </w:r>
      <w:r>
        <w:t>Condamine</w:t>
      </w:r>
      <w:r w:rsidR="003B1A92">
        <w:t>–</w:t>
      </w:r>
      <w:r>
        <w:t>Balonne catchment, monitoring is undertaken by Queensland and NSW agencies</w:t>
      </w:r>
      <w:r w:rsidRPr="00D1079D">
        <w:t>,</w:t>
      </w:r>
      <w:r>
        <w:t xml:space="preserve"> including </w:t>
      </w:r>
      <w:r w:rsidR="00E914CF">
        <w:t xml:space="preserve">Queensland </w:t>
      </w:r>
      <w:r>
        <w:t xml:space="preserve">DNRME and DES (flow, hydrology, water quality, native fish) and NSW </w:t>
      </w:r>
      <w:r w:rsidRPr="00D1079D">
        <w:t>DPIE (vegetation, waterbirds and</w:t>
      </w:r>
      <w:r>
        <w:t xml:space="preserve"> other animals</w:t>
      </w:r>
      <w:r w:rsidRPr="00D1079D">
        <w:t xml:space="preserve">), NSW DPI – Fisheries (native fish), and WaterNSW (hydrology and flow delivery data). The </w:t>
      </w:r>
      <w:r w:rsidR="003B1A92">
        <w:t>CEWO</w:t>
      </w:r>
      <w:r w:rsidRPr="00D1079D">
        <w:t xml:space="preserve"> </w:t>
      </w:r>
      <w:r>
        <w:t>is also</w:t>
      </w:r>
      <w:r w:rsidRPr="00D1079D">
        <w:t xml:space="preserve"> fund</w:t>
      </w:r>
      <w:r>
        <w:t>ing</w:t>
      </w:r>
      <w:r w:rsidRPr="00D1079D">
        <w:t xml:space="preserve"> </w:t>
      </w:r>
      <w:r>
        <w:t>several</w:t>
      </w:r>
      <w:r w:rsidRPr="00D1079D">
        <w:t xml:space="preserve"> short-term intervention monitoring projects to evaluate the environmental responses of native fish, waterbirds</w:t>
      </w:r>
      <w:r>
        <w:t xml:space="preserve"> and vegetation in the Condamine</w:t>
      </w:r>
      <w:r w:rsidR="003154EB">
        <w:t>-</w:t>
      </w:r>
      <w:r>
        <w:t xml:space="preserve">Balonne. </w:t>
      </w:r>
    </w:p>
    <w:p w14:paraId="48FF58E9" w14:textId="6FCFC4C7" w:rsidR="00D02D10" w:rsidRDefault="00D02D10" w:rsidP="00D02D10">
      <w:r w:rsidRPr="00D1079D">
        <w:t xml:space="preserve">Details of monitoring activities funded by the </w:t>
      </w:r>
      <w:r w:rsidR="003B1A92">
        <w:t>CEWO</w:t>
      </w:r>
      <w:r w:rsidRPr="00D1079D">
        <w:t xml:space="preserve"> in the </w:t>
      </w:r>
      <w:r>
        <w:t>Condamine</w:t>
      </w:r>
      <w:r w:rsidR="003154EB">
        <w:t>-</w:t>
      </w:r>
      <w:r>
        <w:t>Balonne catchment</w:t>
      </w:r>
      <w:r w:rsidRPr="00D1079D">
        <w:t xml:space="preserve"> can be found at: </w:t>
      </w:r>
      <w:hyperlink r:id="rId33" w:history="1">
        <w:r w:rsidRPr="00ED5356">
          <w:rPr>
            <w:color w:val="0000FF"/>
            <w:u w:val="single"/>
          </w:rPr>
          <w:t>https://www.environment.gov.au/water/cewo/catchment/northern-unregulated-rivers/monitoring</w:t>
        </w:r>
      </w:hyperlink>
    </w:p>
    <w:p w14:paraId="0702CFBE" w14:textId="10CDF113" w:rsidR="00D02D10" w:rsidRDefault="00D02D10" w:rsidP="00D02D10">
      <w:r w:rsidRPr="00D1079D">
        <w:t>Outcomes from monitoring and lessons learned in previous years are a critical component for the effective and efficient use of Commonwealth water for the environment. These learnings are incorporated into the way environmental water is managed.</w:t>
      </w:r>
      <w:r>
        <w:t xml:space="preserve"> In 2016 the Murray</w:t>
      </w:r>
      <w:r w:rsidR="003154EB">
        <w:t>-</w:t>
      </w:r>
      <w:r>
        <w:t>Darling Basin Authority re-assessed the environmental water requirements of the Condamine</w:t>
      </w:r>
      <w:r w:rsidR="003154EB">
        <w:t>-</w:t>
      </w:r>
      <w:r>
        <w:t>Balonne system based on an improved science base</w:t>
      </w:r>
      <w:r>
        <w:rPr>
          <w:rStyle w:val="FootnoteReference"/>
        </w:rPr>
        <w:footnoteReference w:id="2"/>
      </w:r>
      <w:r>
        <w:t>. There are also ongoing research activities contributing to our understanding of environmental water requirements of the Condamine</w:t>
      </w:r>
      <w:r w:rsidR="00C232B7">
        <w:t>–</w:t>
      </w:r>
      <w:r>
        <w:t xml:space="preserve">Balonne catchment (and other Northern Basin catchments) including the joint-venture science program and state planning assessments as part of the long-term water plans. </w:t>
      </w:r>
    </w:p>
    <w:p w14:paraId="11E8717C" w14:textId="4B000636" w:rsidR="00D02D10" w:rsidRPr="00D1079D" w:rsidRDefault="00D02D10" w:rsidP="00D02D10">
      <w:r>
        <w:t>The Commonwealth funded the Murray</w:t>
      </w:r>
      <w:r w:rsidR="003154EB">
        <w:t>-</w:t>
      </w:r>
      <w:r>
        <w:t xml:space="preserve">Darling Environmental Water Knowledge and Research (EWKR) project (for five years to June 2019) which provided important information, including several research projects in the </w:t>
      </w:r>
      <w:r w:rsidR="009E3829">
        <w:t>L</w:t>
      </w:r>
      <w:r>
        <w:t>ower Balonne, to support environmental water management in the Basin</w:t>
      </w:r>
      <w:r>
        <w:rPr>
          <w:rStyle w:val="FootnoteReference"/>
        </w:rPr>
        <w:footnoteReference w:id="3"/>
      </w:r>
      <w:r>
        <w:t>.</w:t>
      </w:r>
    </w:p>
    <w:p w14:paraId="1D566423" w14:textId="6E8E01B3" w:rsidR="00D02D10" w:rsidRPr="00D1079D" w:rsidRDefault="00D02D10" w:rsidP="00D02D10">
      <w:r w:rsidRPr="00D1079D">
        <w:t>Key findings from</w:t>
      </w:r>
      <w:r>
        <w:t xml:space="preserve"> fish,</w:t>
      </w:r>
      <w:r>
        <w:rPr>
          <w:rStyle w:val="FootnoteReference"/>
        </w:rPr>
        <w:footnoteReference w:id="4"/>
      </w:r>
      <w:r>
        <w:t xml:space="preserve"> native vegetation</w:t>
      </w:r>
      <w:r>
        <w:rPr>
          <w:rStyle w:val="FootnoteReference"/>
        </w:rPr>
        <w:footnoteReference w:id="5"/>
      </w:r>
      <w:r>
        <w:t>, flows</w:t>
      </w:r>
      <w:r>
        <w:rPr>
          <w:rStyle w:val="FootnoteReference"/>
        </w:rPr>
        <w:footnoteReference w:id="6"/>
      </w:r>
      <w:r>
        <w:t xml:space="preserve"> and waterbird</w:t>
      </w:r>
      <w:r>
        <w:rPr>
          <w:rStyle w:val="FootnoteReference"/>
        </w:rPr>
        <w:footnoteReference w:id="7"/>
      </w:r>
      <w:r w:rsidRPr="009835DA">
        <w:rPr>
          <w:vertAlign w:val="superscript"/>
        </w:rPr>
        <w:t xml:space="preserve"> </w:t>
      </w:r>
      <w:r w:rsidRPr="00D1079D">
        <w:t xml:space="preserve">monitoring in the </w:t>
      </w:r>
      <w:r>
        <w:t>Condamine</w:t>
      </w:r>
      <w:r w:rsidR="003154EB">
        <w:t>-</w:t>
      </w:r>
      <w:r>
        <w:t>Balonne</w:t>
      </w:r>
      <w:r w:rsidRPr="00D1079D">
        <w:t xml:space="preserve"> is summarised in Table </w:t>
      </w:r>
      <w:r w:rsidR="00B16919">
        <w:t>4</w:t>
      </w:r>
      <w:r w:rsidRPr="00D1079D">
        <w:t>.</w:t>
      </w:r>
    </w:p>
    <w:p w14:paraId="085E49C5" w14:textId="722CCD86" w:rsidR="00D02D10" w:rsidRPr="00D1079D" w:rsidRDefault="003E4127" w:rsidP="003E4127">
      <w:r w:rsidRPr="003E4127">
        <w:rPr>
          <w:b/>
        </w:rPr>
        <w:t xml:space="preserve">Table </w:t>
      </w:r>
      <w:r w:rsidRPr="003E4127">
        <w:rPr>
          <w:b/>
        </w:rPr>
        <w:fldChar w:fldCharType="begin"/>
      </w:r>
      <w:r w:rsidRPr="003E4127">
        <w:rPr>
          <w:b/>
        </w:rPr>
        <w:instrText xml:space="preserve"> SEQ Table \* ARABIC </w:instrText>
      </w:r>
      <w:r w:rsidRPr="003E4127">
        <w:rPr>
          <w:b/>
        </w:rPr>
        <w:fldChar w:fldCharType="separate"/>
      </w:r>
      <w:r w:rsidR="00B76D86">
        <w:rPr>
          <w:b/>
          <w:noProof/>
        </w:rPr>
        <w:t>4</w:t>
      </w:r>
      <w:r w:rsidRPr="003E4127">
        <w:rPr>
          <w:b/>
        </w:rPr>
        <w:fldChar w:fldCharType="end"/>
      </w:r>
      <w:r>
        <w:t>:</w:t>
      </w:r>
      <w:r w:rsidR="00D02D10">
        <w:t xml:space="preserve">  Key lessons learned in the Condamine</w:t>
      </w:r>
      <w:r w:rsidR="009E3829">
        <w:t>–</w:t>
      </w:r>
      <w:r w:rsidR="00D02D10">
        <w:t xml:space="preserve">Balonne catchment </w:t>
      </w:r>
    </w:p>
    <w:tbl>
      <w:tblPr>
        <w:tblStyle w:val="TableGrid"/>
        <w:tblW w:w="0" w:type="auto"/>
        <w:tblLook w:val="04A0" w:firstRow="1" w:lastRow="0" w:firstColumn="1" w:lastColumn="0" w:noHBand="0" w:noVBand="1"/>
      </w:tblPr>
      <w:tblGrid>
        <w:gridCol w:w="1696"/>
        <w:gridCol w:w="8358"/>
      </w:tblGrid>
      <w:tr w:rsidR="00D02D10" w:rsidRPr="00D1079D" w14:paraId="3A1080D1" w14:textId="77777777" w:rsidTr="003E4127">
        <w:trPr>
          <w:cnfStyle w:val="100000000000" w:firstRow="1" w:lastRow="0" w:firstColumn="0" w:lastColumn="0" w:oddVBand="0" w:evenVBand="0" w:oddHBand="0" w:evenHBand="0" w:firstRowFirstColumn="0" w:firstRowLastColumn="0" w:lastRowFirstColumn="0" w:lastRowLastColumn="0"/>
          <w:tblHeader/>
        </w:trPr>
        <w:tc>
          <w:tcPr>
            <w:tcW w:w="1696" w:type="dxa"/>
            <w:shd w:val="clear" w:color="auto" w:fill="B6DDE8" w:themeFill="accent5" w:themeFillTint="66"/>
          </w:tcPr>
          <w:p w14:paraId="2440AEC2" w14:textId="77777777" w:rsidR="00D02D10" w:rsidRPr="009835DA" w:rsidRDefault="00D02D10" w:rsidP="00A867B2">
            <w:pPr>
              <w:rPr>
                <w:b/>
              </w:rPr>
            </w:pPr>
            <w:r w:rsidRPr="009835DA">
              <w:rPr>
                <w:b/>
              </w:rPr>
              <w:t>Theme</w:t>
            </w:r>
          </w:p>
        </w:tc>
        <w:tc>
          <w:tcPr>
            <w:tcW w:w="8358" w:type="dxa"/>
            <w:shd w:val="clear" w:color="auto" w:fill="B6DDE8" w:themeFill="accent5" w:themeFillTint="66"/>
          </w:tcPr>
          <w:p w14:paraId="607D180C" w14:textId="77777777" w:rsidR="00D02D10" w:rsidRPr="009835DA" w:rsidRDefault="00D02D10" w:rsidP="00A867B2">
            <w:pPr>
              <w:rPr>
                <w:b/>
              </w:rPr>
            </w:pPr>
            <w:r w:rsidRPr="009835DA">
              <w:rPr>
                <w:b/>
              </w:rPr>
              <w:t>Lesson learned</w:t>
            </w:r>
          </w:p>
        </w:tc>
      </w:tr>
      <w:tr w:rsidR="00D02D10" w:rsidRPr="00D1079D" w14:paraId="57E77296" w14:textId="77777777" w:rsidTr="00377753">
        <w:trPr>
          <w:cnfStyle w:val="000000100000" w:firstRow="0" w:lastRow="0" w:firstColumn="0" w:lastColumn="0" w:oddVBand="0" w:evenVBand="0" w:oddHBand="1" w:evenHBand="0" w:firstRowFirstColumn="0" w:firstRowLastColumn="0" w:lastRowFirstColumn="0" w:lastRowLastColumn="0"/>
          <w:trHeight w:val="2539"/>
        </w:trPr>
        <w:tc>
          <w:tcPr>
            <w:tcW w:w="1696" w:type="dxa"/>
            <w:shd w:val="clear" w:color="auto" w:fill="B6DDE8" w:themeFill="accent5" w:themeFillTint="66"/>
          </w:tcPr>
          <w:p w14:paraId="262AA074" w14:textId="77777777" w:rsidR="00D02D10" w:rsidRPr="00D1079D" w:rsidRDefault="00D02D10" w:rsidP="00A867B2">
            <w:r w:rsidRPr="00D1079D">
              <w:t>Native fish</w:t>
            </w:r>
          </w:p>
        </w:tc>
        <w:tc>
          <w:tcPr>
            <w:tcW w:w="8358" w:type="dxa"/>
          </w:tcPr>
          <w:p w14:paraId="4C5A4367" w14:textId="43A849F0" w:rsidR="00D02D10" w:rsidRPr="002A77BE" w:rsidRDefault="00D02D10" w:rsidP="005158FA">
            <w:pPr>
              <w:pStyle w:val="DotStyle1"/>
            </w:pPr>
            <w:r w:rsidRPr="002A77BE">
              <w:t xml:space="preserve">Lagoons in the Lower Balonne (Queensland) have been known to provide habitat for fish species including </w:t>
            </w:r>
            <w:r w:rsidRPr="00AE63B1">
              <w:t xml:space="preserve">golden perch, Australian smelt, spangled perch, bony bream, carp gudgeons, </w:t>
            </w:r>
            <w:r>
              <w:t>M</w:t>
            </w:r>
            <w:r w:rsidRPr="00AE63B1">
              <w:t>urray</w:t>
            </w:r>
            <w:r w:rsidR="003154EB">
              <w:t>-</w:t>
            </w:r>
            <w:r w:rsidR="00E914CF">
              <w:t>D</w:t>
            </w:r>
            <w:r w:rsidRPr="00AE63B1">
              <w:t xml:space="preserve">arling </w:t>
            </w:r>
            <w:r w:rsidR="00E914CF">
              <w:t>r</w:t>
            </w:r>
            <w:r w:rsidRPr="00AE63B1">
              <w:t>ainbow fish, olive perchlet and Hyrtl’s tandan</w:t>
            </w:r>
            <w:r>
              <w:t>. Historically, t</w:t>
            </w:r>
            <w:r w:rsidRPr="00AE63B1">
              <w:t>he native fish communities in the NSW Narran and Culgoa ri</w:t>
            </w:r>
            <w:r w:rsidRPr="0023293B">
              <w:t xml:space="preserve">vers </w:t>
            </w:r>
            <w:r>
              <w:t>were</w:t>
            </w:r>
            <w:r w:rsidRPr="0023293B">
              <w:t xml:space="preserve"> assessed as being in moderate</w:t>
            </w:r>
            <w:r w:rsidR="00E914CF">
              <w:t xml:space="preserve"> </w:t>
            </w:r>
            <w:r w:rsidRPr="0023293B">
              <w:t>to</w:t>
            </w:r>
            <w:r w:rsidR="00E914CF">
              <w:t xml:space="preserve"> </w:t>
            </w:r>
            <w:r w:rsidRPr="0023293B">
              <w:t>good condition</w:t>
            </w:r>
            <w:r>
              <w:t>.</w:t>
            </w:r>
            <w:r w:rsidRPr="00AE63B1">
              <w:t xml:space="preserve"> </w:t>
            </w:r>
          </w:p>
          <w:p w14:paraId="45E75CFF" w14:textId="64C0150B" w:rsidR="00D02D10" w:rsidRPr="00D1079D" w:rsidRDefault="00D02D10" w:rsidP="005158FA">
            <w:pPr>
              <w:pStyle w:val="DotStyle1"/>
            </w:pPr>
            <w:r w:rsidRPr="002A77BE">
              <w:t xml:space="preserve">Several refugial waterholes on the Narran River system, including one waterhole that was previously identified as persistent, went dry in 2017–18, </w:t>
            </w:r>
            <w:r w:rsidR="00BA1803" w:rsidRPr="00BA1803">
              <w:t>increasing the population extinction risk for native aquatic fauna, including golden perch.</w:t>
            </w:r>
          </w:p>
        </w:tc>
      </w:tr>
      <w:tr w:rsidR="00D02D10" w:rsidRPr="00B51251" w14:paraId="58B6F797" w14:textId="77777777" w:rsidTr="00377753">
        <w:trPr>
          <w:cnfStyle w:val="000000010000" w:firstRow="0" w:lastRow="0" w:firstColumn="0" w:lastColumn="0" w:oddVBand="0" w:evenVBand="0" w:oddHBand="0" w:evenHBand="1" w:firstRowFirstColumn="0" w:firstRowLastColumn="0" w:lastRowFirstColumn="0" w:lastRowLastColumn="0"/>
          <w:trHeight w:val="1555"/>
        </w:trPr>
        <w:tc>
          <w:tcPr>
            <w:tcW w:w="1696" w:type="dxa"/>
            <w:shd w:val="clear" w:color="auto" w:fill="B6DDE8" w:themeFill="accent5" w:themeFillTint="66"/>
          </w:tcPr>
          <w:p w14:paraId="6523B710" w14:textId="77777777" w:rsidR="00D02D10" w:rsidRPr="00AE63B1" w:rsidRDefault="00D02D10" w:rsidP="00A867B2">
            <w:pPr>
              <w:rPr>
                <w:rFonts w:cstheme="minorHAnsi"/>
                <w:szCs w:val="22"/>
              </w:rPr>
            </w:pPr>
            <w:r w:rsidRPr="00AE63B1">
              <w:rPr>
                <w:rFonts w:cstheme="minorHAnsi"/>
                <w:szCs w:val="22"/>
              </w:rPr>
              <w:t>Native vegetation</w:t>
            </w:r>
          </w:p>
        </w:tc>
        <w:tc>
          <w:tcPr>
            <w:tcW w:w="8358" w:type="dxa"/>
          </w:tcPr>
          <w:p w14:paraId="2632C119" w14:textId="77777777" w:rsidR="00D02D10" w:rsidRPr="0023293B" w:rsidRDefault="00D02D10" w:rsidP="005158FA">
            <w:pPr>
              <w:pStyle w:val="DotStyle1"/>
            </w:pPr>
            <w:r w:rsidRPr="002A77BE">
              <w:t>The CEWO has funded a short-term intervention monitoring (STIM) project on vegetation condition</w:t>
            </w:r>
            <w:r>
              <w:t xml:space="preserve"> at Narran Lakes</w:t>
            </w:r>
            <w:r w:rsidRPr="002A77BE">
              <w:t xml:space="preserve"> from early 2020 to December 2021. </w:t>
            </w:r>
            <w:r w:rsidRPr="00AE63B1">
              <w:t>The first vegetation monitoring survey was undertaken by staff from the University of New England (UNE) in early March 2020 in collaboration with staff from the CEWO, NSW National Parks and Wildlife Service (NPWS), NSW DPIE along with local indigenous representatives from the Narran Lakes Nature Reserve Joint Management Committee (JMC)</w:t>
            </w:r>
            <w:r>
              <w:t>.</w:t>
            </w:r>
            <w:r w:rsidRPr="0023293B">
              <w:t xml:space="preserve"> </w:t>
            </w:r>
          </w:p>
          <w:p w14:paraId="04269F39" w14:textId="1009AE61" w:rsidR="00D02D10" w:rsidRPr="00AE63B1" w:rsidRDefault="00D02D10" w:rsidP="005158FA">
            <w:pPr>
              <w:pStyle w:val="DotStyle1"/>
            </w:pPr>
            <w:r w:rsidRPr="0023293B">
              <w:t>Preliminary results suggest that vegetation of all c</w:t>
            </w:r>
            <w:r w:rsidRPr="00B165B8">
              <w:t xml:space="preserve">ommunity types suffered as a result of drought in recent years, with </w:t>
            </w:r>
            <w:r w:rsidRPr="00D5487F">
              <w:t xml:space="preserve">river </w:t>
            </w:r>
            <w:r>
              <w:t>r</w:t>
            </w:r>
            <w:r w:rsidRPr="00D5487F">
              <w:t xml:space="preserve">ed </w:t>
            </w:r>
            <w:r>
              <w:t>g</w:t>
            </w:r>
            <w:r w:rsidRPr="00D5487F">
              <w:t>um appear</w:t>
            </w:r>
            <w:r>
              <w:t>ing</w:t>
            </w:r>
            <w:r w:rsidRPr="00AE63B1">
              <w:t xml:space="preserve"> to be the most obvious tree species</w:t>
            </w:r>
            <w:r>
              <w:t xml:space="preserve"> affected</w:t>
            </w:r>
            <w:r w:rsidRPr="00AE63B1">
              <w:t xml:space="preserve">. Large swathes of dieback was evident in </w:t>
            </w:r>
            <w:r w:rsidRPr="0023293B">
              <w:t>lignum, especially in areas that had not received runoff from recent rains. Ground cover was also very low throughout</w:t>
            </w:r>
            <w:r>
              <w:t>.</w:t>
            </w:r>
            <w:r w:rsidRPr="00AE63B1">
              <w:t xml:space="preserve"> Floodplain vegetation appeared to respond to rains received in mid</w:t>
            </w:r>
            <w:r w:rsidR="003154EB">
              <w:noBreakHyphen/>
            </w:r>
            <w:r w:rsidRPr="00AE63B1">
              <w:t>February 2020, including lignum resprouting on the edges of the floodplain and low-lying areas</w:t>
            </w:r>
            <w:r>
              <w:t xml:space="preserve">. </w:t>
            </w:r>
            <w:r w:rsidRPr="00AE63B1">
              <w:t xml:space="preserve">Despite large areas of </w:t>
            </w:r>
            <w:r w:rsidR="00F418FC">
              <w:t>l</w:t>
            </w:r>
            <w:r w:rsidRPr="00AE63B1">
              <w:t>ignum dieback</w:t>
            </w:r>
            <w:r w:rsidRPr="0023293B">
              <w:t>, lignum may still offer suitable habitat for waterbird nesting following lake inundation from flood water delivery</w:t>
            </w:r>
            <w:r>
              <w:t xml:space="preserve">. </w:t>
            </w:r>
          </w:p>
        </w:tc>
      </w:tr>
      <w:tr w:rsidR="00D02D10" w:rsidRPr="00B51251" w14:paraId="042D5FB6" w14:textId="77777777" w:rsidTr="005158FA">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7E454A4C" w14:textId="77777777" w:rsidR="00D02D10" w:rsidRPr="00AE63B1" w:rsidRDefault="00D02D10" w:rsidP="00A867B2">
            <w:pPr>
              <w:rPr>
                <w:rFonts w:cstheme="minorHAnsi"/>
                <w:szCs w:val="22"/>
              </w:rPr>
            </w:pPr>
            <w:r w:rsidRPr="00AE63B1">
              <w:rPr>
                <w:rFonts w:cstheme="minorHAnsi"/>
                <w:szCs w:val="22"/>
              </w:rPr>
              <w:t>Waterbirds</w:t>
            </w:r>
          </w:p>
        </w:tc>
        <w:tc>
          <w:tcPr>
            <w:tcW w:w="8358" w:type="dxa"/>
          </w:tcPr>
          <w:p w14:paraId="1241DFA4" w14:textId="434DB479" w:rsidR="00D02D10" w:rsidRPr="0023293B" w:rsidRDefault="00D02D10" w:rsidP="005158FA">
            <w:pPr>
              <w:pStyle w:val="DotStyle1"/>
            </w:pPr>
            <w:r w:rsidRPr="002A77BE">
              <w:t>Regular waterbird surveys undertaken by state agencies since significant flows arrived in the Lower Balonne in early 2020 has detected thirty species so far including freckled duck, plumed duck, pelicans and darters. Straw-necked ibis</w:t>
            </w:r>
            <w:r w:rsidRPr="00AE63B1">
              <w:t xml:space="preserve"> were also detected but no breeding evident. </w:t>
            </w:r>
            <w:r w:rsidRPr="002A77BE">
              <w:t>Further rainfall in 2019</w:t>
            </w:r>
            <w:r w:rsidR="003154EB">
              <w:t>-</w:t>
            </w:r>
            <w:r w:rsidRPr="002A77BE">
              <w:t>20 and 2020</w:t>
            </w:r>
            <w:r w:rsidR="003154EB">
              <w:t>-</w:t>
            </w:r>
            <w:r w:rsidRPr="002A77BE">
              <w:t>21 may support waterbird breeding outcomes</w:t>
            </w:r>
            <w:r w:rsidR="004E735B">
              <w:t>.</w:t>
            </w:r>
          </w:p>
        </w:tc>
      </w:tr>
      <w:tr w:rsidR="00D02D10" w:rsidRPr="00B51251" w14:paraId="379B2879" w14:textId="77777777" w:rsidTr="005158FA">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5BBD8762" w14:textId="77777777" w:rsidR="00D02D10" w:rsidRPr="00AE63B1" w:rsidRDefault="00D02D10" w:rsidP="00A867B2">
            <w:pPr>
              <w:rPr>
                <w:rFonts w:cstheme="minorHAnsi"/>
                <w:szCs w:val="22"/>
              </w:rPr>
            </w:pPr>
            <w:r w:rsidRPr="00AE63B1">
              <w:rPr>
                <w:rFonts w:cstheme="minorHAnsi"/>
                <w:szCs w:val="22"/>
              </w:rPr>
              <w:t>Connectivity</w:t>
            </w:r>
          </w:p>
        </w:tc>
        <w:tc>
          <w:tcPr>
            <w:tcW w:w="8358" w:type="dxa"/>
          </w:tcPr>
          <w:p w14:paraId="10FF9245" w14:textId="483DFE94" w:rsidR="00D02D10" w:rsidRPr="0023293B" w:rsidRDefault="00D02D10" w:rsidP="005158FA">
            <w:pPr>
              <w:pStyle w:val="DotStyle1"/>
            </w:pPr>
            <w:r w:rsidRPr="002A77BE">
              <w:t>The Murray</w:t>
            </w:r>
            <w:r w:rsidR="003154EB">
              <w:t>-</w:t>
            </w:r>
            <w:r w:rsidRPr="002A77BE">
              <w:t>Darling Basin Authority has been using satellite data to track the 2020 flows in the Lower Balonne. The Bureau of Meteorology also completed a ‘Water in Focus’ report on the Lower Balonne, finding that t</w:t>
            </w:r>
            <w:r w:rsidRPr="00AE63B1">
              <w:t>he summer of 2019</w:t>
            </w:r>
            <w:r w:rsidR="003154EB">
              <w:t>-</w:t>
            </w:r>
            <w:r w:rsidRPr="00AE63B1">
              <w:t>20 saw the Condamine</w:t>
            </w:r>
            <w:r w:rsidR="003154EB">
              <w:t>-</w:t>
            </w:r>
            <w:r w:rsidRPr="00AE63B1">
              <w:t>Balonne river system go from severe drought to floods</w:t>
            </w:r>
            <w:r w:rsidR="00FE50EF">
              <w:t>. These flows</w:t>
            </w:r>
            <w:r w:rsidRPr="00AE63B1">
              <w:t xml:space="preserve"> replenished water supplies and enabled the first significant flow into the internationally significant Narran Wetlands in eight years. A small volume of water also</w:t>
            </w:r>
            <w:r w:rsidR="003154EB">
              <w:t> </w:t>
            </w:r>
            <w:r w:rsidRPr="00AE63B1">
              <w:t xml:space="preserve">made it down the Culgoa River channel to the Darling River </w:t>
            </w:r>
            <w:r w:rsidR="00FE50EF">
              <w:t>during</w:t>
            </w:r>
            <w:r w:rsidRPr="00AE63B1">
              <w:t xml:space="preserve"> March and April</w:t>
            </w:r>
            <w:r w:rsidR="003154EB">
              <w:t> </w:t>
            </w:r>
            <w:r w:rsidRPr="00AE63B1">
              <w:t>20</w:t>
            </w:r>
            <w:r w:rsidRPr="0023293B">
              <w:t>20</w:t>
            </w:r>
            <w:r>
              <w:t xml:space="preserve">. </w:t>
            </w:r>
          </w:p>
        </w:tc>
      </w:tr>
    </w:tbl>
    <w:p w14:paraId="566C87C4" w14:textId="77777777" w:rsidR="00D8223A" w:rsidRDefault="00D8223A" w:rsidP="00D02D10">
      <w:pPr>
        <w:pStyle w:val="NormalWeb"/>
        <w:spacing w:before="0" w:beforeAutospacing="0" w:after="240" w:afterAutospacing="0"/>
        <w:jc w:val="left"/>
        <w:rPr>
          <w:rFonts w:asciiTheme="minorHAnsi" w:hAnsiTheme="minorHAnsi" w:cstheme="minorHAnsi"/>
          <w:sz w:val="22"/>
          <w:szCs w:val="22"/>
        </w:rPr>
      </w:pPr>
    </w:p>
    <w:p w14:paraId="3062E48C" w14:textId="77777777" w:rsidR="00D8223A" w:rsidRDefault="00D8223A">
      <w:pPr>
        <w:spacing w:after="0"/>
        <w:rPr>
          <w:rFonts w:cstheme="minorHAnsi"/>
          <w:color w:val="auto"/>
          <w:szCs w:val="22"/>
          <w:lang w:val="en-US" w:eastAsia="en-US"/>
        </w:rPr>
      </w:pPr>
      <w:r>
        <w:rPr>
          <w:rFonts w:cstheme="minorHAnsi"/>
          <w:szCs w:val="22"/>
        </w:rPr>
        <w:br w:type="page"/>
      </w:r>
    </w:p>
    <w:p w14:paraId="1CA153EE" w14:textId="77777777" w:rsidR="00D02D10" w:rsidRPr="00764C2A" w:rsidRDefault="00D02D10" w:rsidP="00D02D10">
      <w:pPr>
        <w:pStyle w:val="Heading3"/>
        <w:rPr>
          <w:noProof/>
        </w:rPr>
      </w:pPr>
      <w:r w:rsidRPr="00D1079D">
        <w:t>Bibliography</w:t>
      </w:r>
    </w:p>
    <w:p w14:paraId="741D903F" w14:textId="375038BD" w:rsidR="00D02D10" w:rsidRDefault="00D02D10" w:rsidP="00D02D10">
      <w:r>
        <w:t xml:space="preserve">Benson, L </w:t>
      </w:r>
      <w:r w:rsidR="00B1736D">
        <w:t>(</w:t>
      </w:r>
      <w:r>
        <w:t>2004</w:t>
      </w:r>
      <w:r w:rsidR="00B1736D">
        <w:t>).</w:t>
      </w:r>
      <w:r>
        <w:t xml:space="preserve"> </w:t>
      </w:r>
      <w:r w:rsidRPr="00B1736D">
        <w:rPr>
          <w:i/>
          <w:iCs/>
        </w:rPr>
        <w:t>Lower Balonne Aquatic Environments – Review of Data 2000</w:t>
      </w:r>
      <w:r w:rsidR="00B1736D" w:rsidRPr="00B1736D">
        <w:rPr>
          <w:i/>
          <w:iCs/>
        </w:rPr>
        <w:t>–</w:t>
      </w:r>
      <w:r w:rsidRPr="00B1736D">
        <w:rPr>
          <w:i/>
          <w:iCs/>
        </w:rPr>
        <w:t>2004</w:t>
      </w:r>
      <w:r w:rsidR="00B1736D">
        <w:t>.</w:t>
      </w:r>
      <w:r>
        <w:t xml:space="preserve"> EM (Ecology Management) Pty Ltd. </w:t>
      </w:r>
    </w:p>
    <w:p w14:paraId="2D33C955" w14:textId="00F761F5" w:rsidR="00D02D10" w:rsidRDefault="00D02D10" w:rsidP="00D02D10">
      <w:r>
        <w:t xml:space="preserve">Bureau of Meteorology (2020). </w:t>
      </w:r>
      <w:r w:rsidRPr="00B1736D">
        <w:rPr>
          <w:i/>
          <w:iCs/>
        </w:rPr>
        <w:t>From droughts to floods – the Condamine</w:t>
      </w:r>
      <w:r w:rsidR="00B1736D">
        <w:rPr>
          <w:i/>
          <w:iCs/>
        </w:rPr>
        <w:t>–</w:t>
      </w:r>
      <w:r w:rsidRPr="00B1736D">
        <w:rPr>
          <w:i/>
          <w:iCs/>
        </w:rPr>
        <w:t>Balonne water focus report – summer 2020</w:t>
      </w:r>
      <w:r>
        <w:t xml:space="preserve">. Commonwealth of Australia, Bureau of Meteorology, Canberra. </w:t>
      </w:r>
      <w:hyperlink r:id="rId34" w:history="1">
        <w:r w:rsidRPr="00A05534">
          <w:rPr>
            <w:color w:val="0000FF"/>
            <w:u w:val="single"/>
          </w:rPr>
          <w:t>http://www.bom.gov.au/water/focus/documents/Water_Focus_Report_Condamine-Balonne_v4.pdf</w:t>
        </w:r>
      </w:hyperlink>
    </w:p>
    <w:p w14:paraId="5BEB0BDC" w14:textId="77777777" w:rsidR="00A3033F" w:rsidRDefault="00A3033F" w:rsidP="00A3033F">
      <w:pPr>
        <w:rPr>
          <w:rFonts w:cstheme="minorHAnsi"/>
          <w:szCs w:val="22"/>
        </w:rPr>
      </w:pPr>
      <w:bookmarkStart w:id="15" w:name="_Hlk42595781"/>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 xml:space="preserve">July to September 2020. </w:t>
      </w:r>
      <w:hyperlink r:id="rId35" w:anchor="/rainfall/median/seasonal/0" w:history="1">
        <w:r w:rsidRPr="0083580E">
          <w:rPr>
            <w:rStyle w:val="Hyperlink"/>
            <w:rFonts w:cstheme="minorHAnsi"/>
            <w:szCs w:val="22"/>
          </w:rPr>
          <w:t>http://www.bom.gov.au/climate/outlooks/#/rainfall/median/seasonal/0</w:t>
        </w:r>
      </w:hyperlink>
      <w:r>
        <w:rPr>
          <w:rFonts w:cstheme="minorHAnsi"/>
          <w:szCs w:val="22"/>
        </w:rPr>
        <w:t xml:space="preserve"> </w:t>
      </w:r>
    </w:p>
    <w:p w14:paraId="6332D58E" w14:textId="77777777" w:rsidR="00A3033F" w:rsidRDefault="00A3033F" w:rsidP="00A3033F">
      <w:pPr>
        <w:rPr>
          <w:rFonts w:cstheme="minorHAnsi"/>
          <w:szCs w:val="22"/>
        </w:rPr>
      </w:pPr>
      <w:r>
        <w:rPr>
          <w:rFonts w:cstheme="minorHAnsi"/>
          <w:szCs w:val="22"/>
        </w:rPr>
        <w:t xml:space="preserve">Bureau of Meteorology (2020). </w:t>
      </w:r>
      <w:r w:rsidRPr="00292C5A">
        <w:rPr>
          <w:i/>
          <w:iCs/>
          <w:szCs w:val="22"/>
          <w:lang w:val="en"/>
        </w:rPr>
        <w:t>Rainfall—</w:t>
      </w:r>
      <w:r w:rsidRPr="00292C5A">
        <w:rPr>
          <w:rStyle w:val="app-title-description"/>
          <w:i/>
          <w:iCs/>
          <w:szCs w:val="22"/>
          <w:lang w:val="en"/>
        </w:rPr>
        <w:t>The chance of above median</w:t>
      </w:r>
      <w:r w:rsidRPr="00292C5A">
        <w:rPr>
          <w:i/>
          <w:iCs/>
          <w:szCs w:val="22"/>
          <w:lang w:val="en"/>
        </w:rPr>
        <w:t xml:space="preserve"> for </w:t>
      </w:r>
      <w:r>
        <w:rPr>
          <w:i/>
          <w:iCs/>
          <w:szCs w:val="22"/>
          <w:lang w:val="en"/>
        </w:rPr>
        <w:t>August</w:t>
      </w:r>
      <w:r w:rsidRPr="00292C5A">
        <w:rPr>
          <w:i/>
          <w:iCs/>
          <w:szCs w:val="22"/>
          <w:lang w:val="en"/>
        </w:rPr>
        <w:t xml:space="preserve"> to </w:t>
      </w:r>
      <w:r>
        <w:rPr>
          <w:i/>
          <w:iCs/>
          <w:szCs w:val="22"/>
          <w:lang w:val="en"/>
        </w:rPr>
        <w:t xml:space="preserve">October 2020. </w:t>
      </w:r>
      <w:hyperlink r:id="rId36" w:anchor="/rainfall/median/seasonal/1" w:history="1">
        <w:r w:rsidRPr="0083580E">
          <w:rPr>
            <w:rStyle w:val="Hyperlink"/>
            <w:rFonts w:cstheme="minorHAnsi"/>
            <w:szCs w:val="22"/>
          </w:rPr>
          <w:t>http://www.bom.gov.au/climate/outlooks/#/rainfall/median/seasonal/1</w:t>
        </w:r>
      </w:hyperlink>
      <w:r>
        <w:rPr>
          <w:rFonts w:cstheme="minorHAnsi"/>
          <w:szCs w:val="22"/>
        </w:rPr>
        <w:t xml:space="preserve"> </w:t>
      </w:r>
    </w:p>
    <w:p w14:paraId="3037923C" w14:textId="77777777" w:rsidR="00A3033F" w:rsidRDefault="00A3033F" w:rsidP="00A3033F">
      <w:pPr>
        <w:rPr>
          <w:rFonts w:cstheme="minorHAnsi"/>
          <w:szCs w:val="22"/>
        </w:rPr>
      </w:pPr>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June</w:t>
      </w:r>
      <w:r w:rsidRPr="00292C5A">
        <w:rPr>
          <w:i/>
          <w:iCs/>
          <w:szCs w:val="22"/>
          <w:lang w:val="en"/>
        </w:rPr>
        <w:t xml:space="preserve"> to </w:t>
      </w:r>
      <w:r>
        <w:rPr>
          <w:i/>
          <w:iCs/>
          <w:szCs w:val="22"/>
          <w:lang w:val="en"/>
        </w:rPr>
        <w:t>August</w:t>
      </w:r>
      <w:r w:rsidRPr="00292C5A">
        <w:rPr>
          <w:i/>
          <w:iCs/>
          <w:szCs w:val="22"/>
          <w:lang w:val="en"/>
        </w:rPr>
        <w:t xml:space="preserve"> 2020</w:t>
      </w:r>
      <w:r>
        <w:rPr>
          <w:szCs w:val="22"/>
          <w:lang w:val="en"/>
        </w:rPr>
        <w:t xml:space="preserve">. </w:t>
      </w:r>
      <w:hyperlink r:id="rId37" w:anchor="/temperature/maximum/median/seasonal/0" w:history="1">
        <w:r w:rsidRPr="0083580E">
          <w:rPr>
            <w:rStyle w:val="Hyperlink"/>
            <w:rFonts w:cstheme="minorHAnsi"/>
            <w:szCs w:val="22"/>
          </w:rPr>
          <w:t>http://www.bom.gov.au/climate/outlooks/#/temperature/maximum/median/seasonal/0</w:t>
        </w:r>
      </w:hyperlink>
      <w:r>
        <w:rPr>
          <w:rFonts w:cstheme="minorHAnsi"/>
          <w:szCs w:val="22"/>
        </w:rPr>
        <w:t xml:space="preserve"> </w:t>
      </w:r>
    </w:p>
    <w:p w14:paraId="5EF1E5FB" w14:textId="77777777" w:rsidR="00A3033F" w:rsidRDefault="00A3033F" w:rsidP="00A3033F">
      <w:pPr>
        <w:rPr>
          <w:rFonts w:cstheme="minorHAnsi"/>
          <w:szCs w:val="22"/>
        </w:rPr>
      </w:pPr>
      <w:r>
        <w:rPr>
          <w:rFonts w:cstheme="minorHAnsi"/>
          <w:szCs w:val="22"/>
        </w:rPr>
        <w:t xml:space="preserve">Bureau of Meteorology (2020). </w:t>
      </w:r>
      <w:r w:rsidRPr="00292C5A">
        <w:rPr>
          <w:i/>
          <w:iCs/>
          <w:szCs w:val="22"/>
          <w:lang w:val="en"/>
        </w:rPr>
        <w:t>Temperature—</w:t>
      </w:r>
      <w:r w:rsidRPr="00292C5A">
        <w:rPr>
          <w:rStyle w:val="app-title-description"/>
          <w:i/>
          <w:iCs/>
          <w:szCs w:val="22"/>
          <w:lang w:val="en"/>
        </w:rPr>
        <w:t>The chance of above median maximum temperature</w:t>
      </w:r>
      <w:r w:rsidRPr="00292C5A">
        <w:rPr>
          <w:i/>
          <w:iCs/>
          <w:szCs w:val="22"/>
          <w:lang w:val="en"/>
        </w:rPr>
        <w:t xml:space="preserve"> for </w:t>
      </w:r>
      <w:r>
        <w:rPr>
          <w:i/>
          <w:iCs/>
          <w:szCs w:val="22"/>
          <w:lang w:val="en"/>
        </w:rPr>
        <w:t>July</w:t>
      </w:r>
      <w:r w:rsidRPr="00292C5A">
        <w:rPr>
          <w:i/>
          <w:iCs/>
          <w:szCs w:val="22"/>
          <w:lang w:val="en"/>
        </w:rPr>
        <w:t xml:space="preserve"> to </w:t>
      </w:r>
      <w:r>
        <w:rPr>
          <w:i/>
          <w:iCs/>
          <w:szCs w:val="22"/>
          <w:lang w:val="en"/>
        </w:rPr>
        <w:t>September</w:t>
      </w:r>
      <w:r w:rsidRPr="00292C5A">
        <w:rPr>
          <w:i/>
          <w:iCs/>
          <w:szCs w:val="22"/>
          <w:lang w:val="en"/>
        </w:rPr>
        <w:t xml:space="preserve"> 2020</w:t>
      </w:r>
      <w:r>
        <w:rPr>
          <w:szCs w:val="22"/>
          <w:lang w:val="en"/>
        </w:rPr>
        <w:t xml:space="preserve">. </w:t>
      </w:r>
      <w:hyperlink r:id="rId38" w:anchor="/temperature/maximum/median/seasonal/1" w:history="1">
        <w:r w:rsidRPr="0083580E">
          <w:rPr>
            <w:rStyle w:val="Hyperlink"/>
            <w:rFonts w:cs="Century Gothic"/>
            <w:szCs w:val="22"/>
            <w:lang w:val="en"/>
          </w:rPr>
          <w:t>http://www.bom.gov.au/climate/outlooks/#/temperature/maximum/median/seasonal/1</w:t>
        </w:r>
      </w:hyperlink>
      <w:bookmarkEnd w:id="15"/>
      <w:r>
        <w:rPr>
          <w:szCs w:val="22"/>
          <w:lang w:val="en"/>
        </w:rPr>
        <w:t xml:space="preserve">  </w:t>
      </w:r>
    </w:p>
    <w:p w14:paraId="36BF92E1" w14:textId="5412463A" w:rsidR="00D02D10" w:rsidRDefault="00D02D10" w:rsidP="00D02D10">
      <w:r>
        <w:t xml:space="preserve">Commonwealth Environmental Water Office (2019). </w:t>
      </w:r>
      <w:r w:rsidRPr="00B1736D">
        <w:rPr>
          <w:i/>
          <w:iCs/>
        </w:rPr>
        <w:t>Monitoring – northern unregulated rivers – Intersecting Streams and Barwon</w:t>
      </w:r>
      <w:r w:rsidR="0023698B">
        <w:rPr>
          <w:i/>
          <w:iCs/>
        </w:rPr>
        <w:t>–</w:t>
      </w:r>
      <w:r w:rsidRPr="00B1736D">
        <w:rPr>
          <w:i/>
          <w:iCs/>
        </w:rPr>
        <w:t>Darling</w:t>
      </w:r>
      <w:r>
        <w:t xml:space="preserve">. Commonwealth of Australia, Department of the Environment and Energy, Commonwealth Environmental Water Office, Canberra. </w:t>
      </w:r>
      <w:hyperlink r:id="rId39" w:anchor="ewkr" w:history="1">
        <w:r w:rsidRPr="00DF6A72">
          <w:rPr>
            <w:rStyle w:val="Hyperlink"/>
            <w:rFonts w:cs="Century Gothic"/>
          </w:rPr>
          <w:t>https://www.environment.gov.au/water/cewo/catchment/northernunregulated-rivers/monitoring#ewkr</w:t>
        </w:r>
      </w:hyperlink>
    </w:p>
    <w:p w14:paraId="6E7282C6" w14:textId="24DB778E" w:rsidR="00D02D10" w:rsidRDefault="00B1736D" w:rsidP="00D02D10">
      <w:r>
        <w:t xml:space="preserve">Commonwealth Environmental Water Office </w:t>
      </w:r>
      <w:r w:rsidR="00D02D10">
        <w:t xml:space="preserve">(2020). </w:t>
      </w:r>
      <w:r w:rsidR="00D02D10" w:rsidRPr="00B1736D">
        <w:rPr>
          <w:i/>
          <w:iCs/>
        </w:rPr>
        <w:t>Lower Balonne flow 2020 – update 5. 4 May 2020</w:t>
      </w:r>
      <w:r w:rsidR="00D02D10">
        <w:t xml:space="preserve">. Commonwealth of Australia, Department of the Environment and Energy, Commonwealth Environmental Water Office, Canberra.  </w:t>
      </w:r>
      <w:hyperlink r:id="rId40" w:history="1">
        <w:r w:rsidR="00D02D10" w:rsidRPr="00A05534">
          <w:rPr>
            <w:color w:val="0000FF"/>
            <w:u w:val="single"/>
          </w:rPr>
          <w:t>https://www.environment.gov.au/system/files/resources/229f77eb-5d54-46ec-a5a6-2d47ed6cac69/files/lower-balonne-flow-update-5.pdf</w:t>
        </w:r>
      </w:hyperlink>
    </w:p>
    <w:p w14:paraId="3A0FD93F" w14:textId="207F403F" w:rsidR="00D02D10" w:rsidRDefault="00D02D10" w:rsidP="00D02D10">
      <w:pPr>
        <w:rPr>
          <w:rStyle w:val="Hyperlink"/>
          <w:rFonts w:cs="Century Gothic"/>
        </w:rPr>
      </w:pPr>
      <w:r>
        <w:t xml:space="preserve">Dunne, C. (2019). </w:t>
      </w:r>
      <w:r w:rsidRPr="00B1736D">
        <w:rPr>
          <w:i/>
          <w:iCs/>
        </w:rPr>
        <w:t>Determining seed diversity across MDB soil.</w:t>
      </w:r>
      <w:r>
        <w:t xml:space="preserve"> Murray</w:t>
      </w:r>
      <w:r w:rsidR="00B1736D">
        <w:t>–</w:t>
      </w:r>
      <w:r>
        <w:t xml:space="preserve">Darling Basin Environmental Knowledge and Research Project Storyspace website – our learnings. Australian Government Commonwealth Environmental Water Office and Latrobe University Centre for Freshwater Ecosystems, Canberra and Wodonga. </w:t>
      </w:r>
      <w:hyperlink r:id="rId41" w:history="1">
        <w:r w:rsidRPr="002A77BE">
          <w:rPr>
            <w:rStyle w:val="Hyperlink"/>
            <w:rFonts w:cs="Century Gothic"/>
          </w:rPr>
          <w:t>http://ewkr.com.au/determining-seed-diversity-across-mdb-soil</w:t>
        </w:r>
      </w:hyperlink>
    </w:p>
    <w:p w14:paraId="0D0E0E59" w14:textId="6A1CCA14" w:rsidR="00D02D10" w:rsidRDefault="00D02D10" w:rsidP="00D02D10">
      <w:r>
        <w:t>Murray</w:t>
      </w:r>
      <w:r w:rsidR="00B1736D">
        <w:t>–</w:t>
      </w:r>
      <w:r>
        <w:t xml:space="preserve">Darling Basin Authority (2016). </w:t>
      </w:r>
      <w:r w:rsidRPr="00B1736D">
        <w:rPr>
          <w:i/>
          <w:iCs/>
        </w:rPr>
        <w:t>Assessment of environmental water requirements for the Northern Basin review: Condamine</w:t>
      </w:r>
      <w:r w:rsidR="00B06FB3">
        <w:rPr>
          <w:i/>
          <w:iCs/>
        </w:rPr>
        <w:t>–</w:t>
      </w:r>
      <w:r w:rsidRPr="00B1736D">
        <w:rPr>
          <w:i/>
          <w:iCs/>
        </w:rPr>
        <w:t>Balonne river system (October 2016).</w:t>
      </w:r>
      <w:r>
        <w:t xml:space="preserve"> Murray–Darling Basin Authority, Canberra. </w:t>
      </w:r>
      <w:r w:rsidRPr="002A77BE">
        <w:rPr>
          <w:rStyle w:val="Hyperlink"/>
          <w:rFonts w:cs="Century Gothic"/>
        </w:rPr>
        <w:t>https://www.mdba.gov.au/sites/default/files/pubs/NBR-environmental-water-requirementsCondamine-Balonne.pdf</w:t>
      </w:r>
    </w:p>
    <w:p w14:paraId="6F49123E" w14:textId="021C37F3" w:rsidR="00D02D10" w:rsidRDefault="00D02D10" w:rsidP="00D02D10">
      <w:r>
        <w:t xml:space="preserve">Mynott, J. and Balcombe, S. (2019). </w:t>
      </w:r>
      <w:r w:rsidRPr="00D15E67">
        <w:rPr>
          <w:i/>
          <w:iCs/>
        </w:rPr>
        <w:t>Dryland river waterholes: important refuges for river life, especially during dry times.</w:t>
      </w:r>
      <w:r>
        <w:t xml:space="preserve"> Murray</w:t>
      </w:r>
      <w:r w:rsidR="00D15E67">
        <w:t>–</w:t>
      </w:r>
      <w:r>
        <w:t xml:space="preserve">Darling Basin Environmental Water Knowledge and Research project – Storyspace (learnings – project updates). Australian Government Commonwealth Environmental Water Office and La Trobe University Centre for Freshwater Ecosystems, Canberra and Wodonga. </w:t>
      </w:r>
      <w:hyperlink r:id="rId42" w:history="1">
        <w:r w:rsidRPr="00DF6A72">
          <w:rPr>
            <w:rStyle w:val="Hyperlink"/>
            <w:rFonts w:cs="Century Gothic"/>
          </w:rPr>
          <w:t>http://ewkr.com.au/dryland-river-waterholes-important-refuges-for-river-life-especially-during-dry-times/</w:t>
        </w:r>
      </w:hyperlink>
    </w:p>
    <w:p w14:paraId="614DD147" w14:textId="77777777" w:rsidR="00D02D10" w:rsidRDefault="00D02D10" w:rsidP="00D02D10">
      <w:r>
        <w:t xml:space="preserve">Queensland Department of Environment and Science (QDES) (2018). Review of water plan (Condamine and Balonne) 2004: ecological risk assessment report. State of Queensland (Department of Environment and Science), Brisbane. </w:t>
      </w:r>
      <w:hyperlink r:id="rId43" w:history="1">
        <w:r>
          <w:rPr>
            <w:rStyle w:val="Hyperlink"/>
          </w:rPr>
          <w:t>https://www.mdba.gov.au/sites/default/files/pubs/qld-condamine-balonne-ecological-risk-assessment-report-2018_1.pdf</w:t>
        </w:r>
      </w:hyperlink>
    </w:p>
    <w:p w14:paraId="01627B45" w14:textId="76CAEEED" w:rsidR="00D02D10" w:rsidRDefault="00D15E67" w:rsidP="00D02D10">
      <w:r>
        <w:t xml:space="preserve">Queensland Department of Environment and Science </w:t>
      </w:r>
      <w:r w:rsidR="00D02D10">
        <w:t xml:space="preserve">and </w:t>
      </w:r>
      <w:r>
        <w:t xml:space="preserve">the </w:t>
      </w:r>
      <w:r w:rsidR="00D02D10">
        <w:t>C</w:t>
      </w:r>
      <w:r>
        <w:t xml:space="preserve">ommonwealth </w:t>
      </w:r>
      <w:r w:rsidR="00D02D10">
        <w:t>E</w:t>
      </w:r>
      <w:r>
        <w:t xml:space="preserve">nvironmental </w:t>
      </w:r>
      <w:r w:rsidR="00D02D10">
        <w:t>W</w:t>
      </w:r>
      <w:r>
        <w:t xml:space="preserve">ater </w:t>
      </w:r>
      <w:r w:rsidR="00D02D10">
        <w:t>O</w:t>
      </w:r>
      <w:r>
        <w:t>ffice</w:t>
      </w:r>
      <w:r w:rsidR="00D02D10">
        <w:t xml:space="preserve"> (unpublished). </w:t>
      </w:r>
      <w:r w:rsidR="00D02D10" w:rsidRPr="00D15E67">
        <w:rPr>
          <w:i/>
          <w:iCs/>
        </w:rPr>
        <w:t>Investigations into fish population resilience following severe drought in the northern Murray-Darling Basin (project proposal).</w:t>
      </w:r>
      <w:r w:rsidR="00D02D10">
        <w:t xml:space="preserve"> Queensland Department of Environment and Science and the Commonwealth Environmental Water Office, Brisbane and Canberra.  </w:t>
      </w:r>
    </w:p>
    <w:p w14:paraId="3A1FBDD0" w14:textId="05E505AF" w:rsidR="00D02D10" w:rsidRPr="0000238F" w:rsidRDefault="00D02D10" w:rsidP="00D02D10">
      <w:pPr>
        <w:rPr>
          <w:rFonts w:ascii="Times New Roman" w:hAnsi="Times New Roman"/>
          <w:b/>
          <w:bCs/>
        </w:rPr>
      </w:pPr>
      <w:r>
        <w:t xml:space="preserve">Queensland Department of Science, Information Technology and Innovation and Queensland Department of Natural Resources and Mines (2017). </w:t>
      </w:r>
      <w:r w:rsidRPr="00D15E67">
        <w:rPr>
          <w:i/>
          <w:iCs/>
        </w:rPr>
        <w:t>Improving the understanding of water availability and use by vegetation of the Lower-Balonne Floodplain</w:t>
      </w:r>
      <w:r w:rsidR="00D15E67">
        <w:t>.</w:t>
      </w:r>
      <w:r>
        <w:t xml:space="preserve"> The State of Queensland 2017.</w:t>
      </w:r>
    </w:p>
    <w:p w14:paraId="1426AD7D" w14:textId="77777777" w:rsidR="008C7EDC" w:rsidRDefault="008C7EDC">
      <w:pPr>
        <w:spacing w:after="0"/>
      </w:pPr>
      <w:r>
        <w:br w:type="page"/>
      </w:r>
    </w:p>
    <w:p w14:paraId="6EC1B3CC" w14:textId="1C661B01" w:rsidR="00D02D10" w:rsidRDefault="00D02D10" w:rsidP="00D02D10">
      <w:r>
        <w:t xml:space="preserve">Senior, B. (2019). </w:t>
      </w:r>
      <w:r w:rsidRPr="00D15E67">
        <w:rPr>
          <w:i/>
          <w:iCs/>
        </w:rPr>
        <w:t>Do floodplain trees need floods?</w:t>
      </w:r>
      <w:r>
        <w:t xml:space="preserve"> Murray</w:t>
      </w:r>
      <w:r w:rsidR="00D15E67">
        <w:t>–</w:t>
      </w:r>
      <w:r>
        <w:t xml:space="preserve">Darling Basin Environmental Knowledge and Research project storyspace website – our learnings. Australian Government Commonwealth Environmental Water Office and Latrobe University Centre for Freshwater Ecosystems, Canberra and Wodonga. </w:t>
      </w:r>
      <w:hyperlink r:id="rId44" w:history="1">
        <w:r w:rsidRPr="00DF6A72">
          <w:rPr>
            <w:rStyle w:val="Hyperlink"/>
            <w:rFonts w:cs="Century Gothic"/>
          </w:rPr>
          <w:t>http://ewkr.com.au/do-floodplain-trees-need-floods/</w:t>
        </w:r>
      </w:hyperlink>
    </w:p>
    <w:p w14:paraId="181B793F" w14:textId="7D09491D" w:rsidR="00D02D10" w:rsidRDefault="00D02D10" w:rsidP="00D02D10">
      <w:r>
        <w:t>State of New South Wales and Department of Planning, Industry and Environment (2019</w:t>
      </w:r>
      <w:r w:rsidRPr="00D15E67">
        <w:rPr>
          <w:i/>
          <w:iCs/>
        </w:rPr>
        <w:t>). Intersecting streams long-term water plan parts a and b: draft for exhibition.</w:t>
      </w:r>
      <w:r>
        <w:t xml:space="preserve"> NSW Department of Planning, Industry and Environment, Sydney. </w:t>
      </w:r>
      <w:hyperlink r:id="rId45" w:history="1">
        <w:r>
          <w:rPr>
            <w:rStyle w:val="Hyperlink"/>
          </w:rPr>
          <w:t>https://www.environment.nsw.gov.au/-/media/OEH/Corporate-Site/Documents/Water/Water-for-the-environment/intersecting-streams-long-term-water-plan-parts-a-b-190307.pdf</w:t>
        </w:r>
      </w:hyperlink>
      <w:r>
        <w:t xml:space="preserve"> </w:t>
      </w:r>
    </w:p>
    <w:p w14:paraId="71071B28" w14:textId="3507AB78" w:rsidR="00D02D10" w:rsidRDefault="00D02D10" w:rsidP="00D02D10">
      <w:r>
        <w:t xml:space="preserve">University of New England (unpublished). </w:t>
      </w:r>
      <w:r w:rsidRPr="00846881">
        <w:rPr>
          <w:i/>
          <w:iCs/>
        </w:rPr>
        <w:t>Narran Lakes vegetation monitoring project progress report – April 2020</w:t>
      </w:r>
      <w:r w:rsidR="00846881">
        <w:t>.</w:t>
      </w:r>
      <w:r>
        <w:t xml:space="preserve"> </w:t>
      </w:r>
      <w:r w:rsidR="00846881">
        <w:t>Re</w:t>
      </w:r>
      <w:r>
        <w:t xml:space="preserve">port to the Commonwealth Environmental Water Office. </w:t>
      </w:r>
    </w:p>
    <w:p w14:paraId="38A9D35B" w14:textId="77777777" w:rsidR="00D02D10" w:rsidRDefault="00D02D10" w:rsidP="00D02D10"/>
    <w:p w14:paraId="661E0D6B" w14:textId="77777777" w:rsidR="00D02D10" w:rsidRPr="00A91371" w:rsidRDefault="00D02D10" w:rsidP="00D02D10"/>
    <w:p w14:paraId="516E0988" w14:textId="282CD74E" w:rsidR="000956A1" w:rsidRPr="00D02D10" w:rsidRDefault="000956A1" w:rsidP="00D02D10"/>
    <w:sectPr w:rsidR="000956A1" w:rsidRPr="00D02D10" w:rsidSect="00156541">
      <w:headerReference w:type="even" r:id="rId46"/>
      <w:footerReference w:type="even" r:id="rId47"/>
      <w:headerReference w:type="first" r:id="rId48"/>
      <w:pgSz w:w="11906" w:h="16838"/>
      <w:pgMar w:top="1134" w:right="991" w:bottom="567"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2378" w14:textId="77777777" w:rsidR="005B4FC8" w:rsidRDefault="005B4FC8" w:rsidP="00A60185">
      <w:pPr>
        <w:spacing w:after="0"/>
      </w:pPr>
      <w:r>
        <w:separator/>
      </w:r>
    </w:p>
  </w:endnote>
  <w:endnote w:type="continuationSeparator" w:id="0">
    <w:p w14:paraId="56A00132" w14:textId="77777777" w:rsidR="005B4FC8" w:rsidRDefault="005B4FC8" w:rsidP="00A60185">
      <w:pPr>
        <w:spacing w:after="0"/>
      </w:pPr>
      <w:r>
        <w:continuationSeparator/>
      </w:r>
    </w:p>
  </w:endnote>
  <w:endnote w:type="continuationNotice" w:id="1">
    <w:p w14:paraId="5B76E6AB" w14:textId="77777777" w:rsidR="005B4FC8" w:rsidRDefault="005B4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47F6" w14:textId="77777777" w:rsidR="006934BB" w:rsidRDefault="00693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AB43" w14:textId="77777777" w:rsidR="006934BB" w:rsidRDefault="006934BB" w:rsidP="00E23B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6493" w14:textId="77777777" w:rsidR="006934BB" w:rsidRDefault="006934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B9D52" w14:textId="77777777" w:rsidR="001F2A19" w:rsidRDefault="001F2A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D2C7" w14:textId="49AC6FD7" w:rsidR="005B4FC8" w:rsidRDefault="005B4FC8" w:rsidP="006934B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237247"/>
      <w:docPartObj>
        <w:docPartGallery w:val="Page Numbers (Bottom of Page)"/>
        <w:docPartUnique/>
      </w:docPartObj>
    </w:sdtPr>
    <w:sdtEndPr>
      <w:rPr>
        <w:noProof/>
        <w:sz w:val="20"/>
      </w:rPr>
    </w:sdtEndPr>
    <w:sdtContent>
      <w:p w14:paraId="6BA77BC0" w14:textId="77777777" w:rsidR="005B4FC8" w:rsidRPr="001F63CB" w:rsidRDefault="005B4FC8">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1343734F" w14:textId="77777777" w:rsidR="005B4FC8" w:rsidRDefault="005B4F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602181"/>
      <w:docPartObj>
        <w:docPartGallery w:val="Page Numbers (Bottom of Page)"/>
        <w:docPartUnique/>
      </w:docPartObj>
    </w:sdtPr>
    <w:sdtEndPr>
      <w:rPr>
        <w:color w:val="A6A6A6" w:themeColor="background1" w:themeShade="A6"/>
      </w:rPr>
    </w:sdtEndPr>
    <w:sdtContent>
      <w:p w14:paraId="21598BA6" w14:textId="77777777" w:rsidR="006934BB" w:rsidRDefault="006934BB" w:rsidP="004932F2">
        <w:pPr>
          <w:pStyle w:val="Footer"/>
          <w:pBdr>
            <w:top w:val="single" w:sz="8" w:space="1" w:color="8064A2" w:themeColor="accent4"/>
          </w:pBdr>
          <w:jc w:val="center"/>
        </w:pPr>
        <w:r w:rsidRPr="00346AF5">
          <w:rPr>
            <w:noProof/>
            <w:color w:val="A6A6A6" w:themeColor="background1" w:themeShade="A6"/>
          </w:rPr>
          <w:fldChar w:fldCharType="begin"/>
        </w:r>
        <w:r w:rsidRPr="00346AF5">
          <w:rPr>
            <w:noProof/>
            <w:color w:val="A6A6A6" w:themeColor="background1" w:themeShade="A6"/>
          </w:rPr>
          <w:instrText xml:space="preserve"> PAGE   \* MERGEFORMAT </w:instrText>
        </w:r>
        <w:r w:rsidRPr="00346AF5">
          <w:rPr>
            <w:noProof/>
            <w:color w:val="A6A6A6" w:themeColor="background1" w:themeShade="A6"/>
          </w:rPr>
          <w:fldChar w:fldCharType="separate"/>
        </w:r>
        <w:r w:rsidR="000273C5">
          <w:rPr>
            <w:noProof/>
            <w:color w:val="A6A6A6" w:themeColor="background1" w:themeShade="A6"/>
          </w:rPr>
          <w:t>48</w:t>
        </w:r>
        <w:r w:rsidRPr="00346AF5">
          <w:rPr>
            <w:noProof/>
            <w:color w:val="A6A6A6" w:themeColor="background1" w:themeShade="A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20363"/>
      <w:docPartObj>
        <w:docPartGallery w:val="Page Numbers (Bottom of Page)"/>
        <w:docPartUnique/>
      </w:docPartObj>
    </w:sdtPr>
    <w:sdtEndPr>
      <w:rPr>
        <w:noProof/>
        <w:sz w:val="20"/>
      </w:rPr>
    </w:sdtEndPr>
    <w:sdtContent>
      <w:p w14:paraId="4F254ABA" w14:textId="77777777" w:rsidR="005B4FC8" w:rsidRPr="001F63CB" w:rsidRDefault="005B4FC8">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64B0A9CB" w14:textId="77777777" w:rsidR="005B4FC8" w:rsidRDefault="005B4FC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9DC5" w14:textId="77777777" w:rsidR="005B4FC8" w:rsidRDefault="005B4FC8">
    <w:pPr>
      <w:pStyle w:val="Footer"/>
    </w:pPr>
  </w:p>
  <w:p w14:paraId="08ABD7EB" w14:textId="77777777" w:rsidR="005B4FC8" w:rsidRDefault="005B4F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126A" w14:textId="77777777" w:rsidR="005B4FC8" w:rsidRDefault="005B4FC8" w:rsidP="00A60185">
      <w:pPr>
        <w:spacing w:after="0"/>
      </w:pPr>
      <w:r>
        <w:separator/>
      </w:r>
    </w:p>
  </w:footnote>
  <w:footnote w:type="continuationSeparator" w:id="0">
    <w:p w14:paraId="0AAF2926" w14:textId="77777777" w:rsidR="005B4FC8" w:rsidRDefault="005B4FC8" w:rsidP="00A60185">
      <w:pPr>
        <w:spacing w:after="0"/>
      </w:pPr>
      <w:r>
        <w:continuationSeparator/>
      </w:r>
    </w:p>
  </w:footnote>
  <w:footnote w:type="continuationNotice" w:id="1">
    <w:p w14:paraId="76EF8511" w14:textId="77777777" w:rsidR="005B4FC8" w:rsidRDefault="005B4FC8">
      <w:pPr>
        <w:spacing w:after="0"/>
      </w:pPr>
    </w:p>
  </w:footnote>
  <w:footnote w:id="2">
    <w:p w14:paraId="1C978B21" w14:textId="77777777" w:rsidR="005B4FC8" w:rsidRPr="003154EB" w:rsidRDefault="005B4FC8" w:rsidP="003154EB">
      <w:pPr>
        <w:pStyle w:val="FootnoteText"/>
        <w:spacing w:after="0"/>
        <w:rPr>
          <w:sz w:val="18"/>
          <w:szCs w:val="18"/>
          <w:lang w:val="en-US"/>
        </w:rPr>
      </w:pPr>
      <w:r>
        <w:rPr>
          <w:rStyle w:val="FootnoteReference"/>
        </w:rPr>
        <w:footnoteRef/>
      </w:r>
      <w:r>
        <w:t xml:space="preserve"> </w:t>
      </w:r>
      <w:r w:rsidRPr="003154EB">
        <w:rPr>
          <w:sz w:val="18"/>
          <w:szCs w:val="18"/>
          <w:lang w:val="en-US"/>
        </w:rPr>
        <w:t>MDBA 2016</w:t>
      </w:r>
    </w:p>
  </w:footnote>
  <w:footnote w:id="3">
    <w:p w14:paraId="7CC13B2A" w14:textId="7DC07C10" w:rsidR="005B4FC8" w:rsidRPr="003154EB" w:rsidRDefault="005B4FC8" w:rsidP="003154EB">
      <w:pPr>
        <w:pStyle w:val="FootnoteText"/>
        <w:spacing w:after="0"/>
        <w:rPr>
          <w:sz w:val="18"/>
          <w:szCs w:val="18"/>
          <w:lang w:val="en-US"/>
        </w:rPr>
      </w:pPr>
      <w:r w:rsidRPr="003154EB">
        <w:rPr>
          <w:rStyle w:val="FootnoteReference"/>
          <w:sz w:val="18"/>
          <w:szCs w:val="18"/>
        </w:rPr>
        <w:footnoteRef/>
      </w:r>
      <w:r w:rsidRPr="003154EB">
        <w:rPr>
          <w:sz w:val="18"/>
          <w:szCs w:val="18"/>
        </w:rPr>
        <w:t xml:space="preserve"> (C</w:t>
      </w:r>
      <w:r w:rsidRPr="003154EB">
        <w:rPr>
          <w:sz w:val="18"/>
          <w:szCs w:val="18"/>
          <w:lang w:val="en-US"/>
        </w:rPr>
        <w:t xml:space="preserve">EWO 2019, Mynott and Balcombe 2019, Dunne 2019, Senior 2019). </w:t>
      </w:r>
    </w:p>
  </w:footnote>
  <w:footnote w:id="4">
    <w:p w14:paraId="1C07B3B8" w14:textId="4457F78C" w:rsidR="005B4FC8" w:rsidRPr="003154EB" w:rsidRDefault="005B4FC8" w:rsidP="003154EB">
      <w:pPr>
        <w:pStyle w:val="FootnoteText"/>
        <w:spacing w:after="0"/>
        <w:rPr>
          <w:sz w:val="18"/>
          <w:szCs w:val="18"/>
          <w:lang w:val="en-US"/>
        </w:rPr>
      </w:pPr>
      <w:r w:rsidRPr="003154EB">
        <w:rPr>
          <w:rStyle w:val="FootnoteReference"/>
          <w:sz w:val="18"/>
          <w:szCs w:val="18"/>
        </w:rPr>
        <w:footnoteRef/>
      </w:r>
      <w:r w:rsidRPr="003154EB">
        <w:rPr>
          <w:sz w:val="18"/>
          <w:szCs w:val="18"/>
        </w:rPr>
        <w:t xml:space="preserve"> (Benson 2004, QDES 2018, SoNSW and NSW DPIE 2019, Mynott and Balcombe 2019, QDES and CEWO unpublished)</w:t>
      </w:r>
    </w:p>
  </w:footnote>
  <w:footnote w:id="5">
    <w:p w14:paraId="6E865E40" w14:textId="248CB066" w:rsidR="005B4FC8" w:rsidRPr="003154EB" w:rsidRDefault="005B4FC8" w:rsidP="003154EB">
      <w:pPr>
        <w:pStyle w:val="FootnoteText"/>
        <w:spacing w:after="0"/>
        <w:rPr>
          <w:sz w:val="18"/>
          <w:szCs w:val="18"/>
          <w:lang w:val="en-US"/>
        </w:rPr>
      </w:pPr>
      <w:r w:rsidRPr="003154EB">
        <w:rPr>
          <w:rStyle w:val="FootnoteReference"/>
          <w:sz w:val="18"/>
          <w:szCs w:val="18"/>
        </w:rPr>
        <w:footnoteRef/>
      </w:r>
      <w:r w:rsidRPr="003154EB">
        <w:rPr>
          <w:sz w:val="18"/>
          <w:szCs w:val="18"/>
        </w:rPr>
        <w:t xml:space="preserve"> (</w:t>
      </w:r>
      <w:r w:rsidRPr="003154EB">
        <w:rPr>
          <w:rFonts w:asciiTheme="minorHAnsi" w:hAnsiTheme="minorHAnsi" w:cstheme="minorHAnsi"/>
          <w:sz w:val="18"/>
          <w:szCs w:val="18"/>
        </w:rPr>
        <w:t xml:space="preserve">QDSITI and QDNRM 2017, </w:t>
      </w:r>
      <w:r w:rsidRPr="003154EB">
        <w:rPr>
          <w:sz w:val="18"/>
          <w:szCs w:val="18"/>
        </w:rPr>
        <w:t>UNE unpublished)</w:t>
      </w:r>
    </w:p>
  </w:footnote>
  <w:footnote w:id="6">
    <w:p w14:paraId="33DAB73C" w14:textId="77777777" w:rsidR="005B4FC8" w:rsidRPr="003154EB" w:rsidRDefault="005B4FC8" w:rsidP="003154EB">
      <w:pPr>
        <w:pStyle w:val="FootnoteText"/>
        <w:spacing w:after="0"/>
        <w:rPr>
          <w:sz w:val="18"/>
          <w:szCs w:val="18"/>
          <w:lang w:val="en-US"/>
        </w:rPr>
      </w:pPr>
      <w:r w:rsidRPr="003154EB">
        <w:rPr>
          <w:rStyle w:val="FootnoteReference"/>
          <w:sz w:val="18"/>
          <w:szCs w:val="18"/>
        </w:rPr>
        <w:footnoteRef/>
      </w:r>
      <w:r w:rsidRPr="003154EB">
        <w:rPr>
          <w:sz w:val="18"/>
          <w:szCs w:val="18"/>
        </w:rPr>
        <w:t xml:space="preserve"> (</w:t>
      </w:r>
      <w:r w:rsidRPr="003154EB">
        <w:rPr>
          <w:sz w:val="18"/>
          <w:szCs w:val="18"/>
          <w:lang w:val="en-US"/>
        </w:rPr>
        <w:t>CEWO 2020, BOM 2020)</w:t>
      </w:r>
    </w:p>
  </w:footnote>
  <w:footnote w:id="7">
    <w:p w14:paraId="68B4478B" w14:textId="5C647995" w:rsidR="005B4FC8" w:rsidRPr="002A77BE" w:rsidRDefault="005B4FC8" w:rsidP="003154EB">
      <w:pPr>
        <w:pStyle w:val="FootnoteText"/>
        <w:spacing w:after="0"/>
        <w:rPr>
          <w:lang w:val="en-US"/>
        </w:rPr>
      </w:pPr>
      <w:r w:rsidRPr="003154EB">
        <w:rPr>
          <w:rStyle w:val="FootnoteReference"/>
          <w:sz w:val="18"/>
          <w:szCs w:val="18"/>
        </w:rPr>
        <w:footnoteRef/>
      </w:r>
      <w:r w:rsidRPr="003154EB">
        <w:rPr>
          <w:sz w:val="18"/>
          <w:szCs w:val="18"/>
        </w:rPr>
        <w:t xml:space="preserve"> (</w:t>
      </w:r>
      <w:r w:rsidRPr="003154EB">
        <w:rPr>
          <w:sz w:val="18"/>
          <w:szCs w:val="18"/>
          <w:lang w:val="en-US"/>
        </w:rPr>
        <w:t>CEWO 2020</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37703" w14:textId="77777777" w:rsidR="006934BB" w:rsidRDefault="00693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F8CE" w14:textId="77777777" w:rsidR="006934BB" w:rsidRPr="009A77BC" w:rsidRDefault="006934BB">
    <w:pPr>
      <w:pStyle w:val="Header"/>
      <w:rPr>
        <w:sz w:val="12"/>
      </w:rPr>
    </w:pPr>
    <w:r w:rsidRPr="009A77BC">
      <w:rPr>
        <w:noProof/>
        <w:sz w:val="12"/>
      </w:rPr>
      <w:drawing>
        <wp:anchor distT="0" distB="0" distL="114300" distR="114300" simplePos="0" relativeHeight="251659264" behindDoc="1" locked="0" layoutInCell="0" allowOverlap="1" wp14:anchorId="479BBCD4" wp14:editId="3CA7F3FF">
          <wp:simplePos x="0" y="0"/>
          <wp:positionH relativeFrom="page">
            <wp:align>center</wp:align>
          </wp:positionH>
          <wp:positionV relativeFrom="page">
            <wp:posOffset>257175</wp:posOffset>
          </wp:positionV>
          <wp:extent cx="7115175" cy="10131234"/>
          <wp:effectExtent l="0" t="0" r="0" b="3810"/>
          <wp:wrapNone/>
          <wp:docPr id="6" name="Picture 6"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101312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5444" w14:textId="77777777" w:rsidR="006934BB" w:rsidRDefault="006934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756F" w14:textId="77777777" w:rsidR="001F2A19" w:rsidRDefault="001F2A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9C06" w14:textId="774B7906" w:rsidR="005B4FC8" w:rsidRPr="006934BB" w:rsidRDefault="005B4FC8" w:rsidP="006934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B5D17" w14:textId="77777777" w:rsidR="001F2A19" w:rsidRDefault="001F2A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EC32" w14:textId="77777777" w:rsidR="006934BB" w:rsidRPr="00346AF5" w:rsidRDefault="006934BB" w:rsidP="004932F2">
    <w:pPr>
      <w:pStyle w:val="Header"/>
      <w:pBdr>
        <w:bottom w:val="single" w:sz="8" w:space="1" w:color="8064A2" w:themeColor="accent4"/>
      </w:pBdr>
      <w:jc w:val="center"/>
      <w:rPr>
        <w:i/>
        <w:color w:val="A6A6A6" w:themeColor="background1" w:themeShade="A6"/>
        <w:lang w:val="en-US"/>
      </w:rPr>
    </w:pPr>
    <w:r w:rsidRPr="00346AF5">
      <w:rPr>
        <w:i/>
        <w:color w:val="A6A6A6" w:themeColor="background1" w:themeShade="A6"/>
        <w:lang w:val="en-US"/>
      </w:rPr>
      <w:t>Water Management Plan 2020</w:t>
    </w:r>
    <w:r>
      <w:rPr>
        <w:i/>
        <w:color w:val="A6A6A6" w:themeColor="background1" w:themeShade="A6"/>
        <w:lang w:val="en-US"/>
      </w:rPr>
      <w:t>–</w:t>
    </w:r>
    <w:r w:rsidRPr="00346AF5">
      <w:rPr>
        <w:i/>
        <w:color w:val="A6A6A6" w:themeColor="background1" w:themeShade="A6"/>
        <w:lang w:val="en-US"/>
      </w:rPr>
      <w:t>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38D" w14:textId="33B4FC5F" w:rsidR="005B4FC8" w:rsidRPr="009A6DB7" w:rsidRDefault="005B4FC8" w:rsidP="009A6DB7">
    <w:pPr>
      <w:pStyle w:val="Header"/>
    </w:pPr>
  </w:p>
  <w:p w14:paraId="7D60D53B" w14:textId="77777777" w:rsidR="005B4FC8" w:rsidRDefault="005B4F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69F2" w14:textId="481DA0F7" w:rsidR="005B4FC8" w:rsidRDefault="005B4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5320F1F"/>
    <w:multiLevelType w:val="hybridMultilevel"/>
    <w:tmpl w:val="95869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5"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6"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D02B7"/>
    <w:multiLevelType w:val="hybridMultilevel"/>
    <w:tmpl w:val="E0300AD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06F17"/>
    <w:multiLevelType w:val="hybridMultilevel"/>
    <w:tmpl w:val="9968B43A"/>
    <w:lvl w:ilvl="0" w:tplc="8A404544">
      <w:start w:val="2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0" w15:restartNumberingAfterBreak="0">
    <w:nsid w:val="21404221"/>
    <w:multiLevelType w:val="hybridMultilevel"/>
    <w:tmpl w:val="1722C18E"/>
    <w:lvl w:ilvl="0" w:tplc="08B6A2E8">
      <w:start w:val="1"/>
      <w:numFmt w:val="bullet"/>
      <w:pStyle w:val="DotStyle2"/>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1"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DB2D05"/>
    <w:multiLevelType w:val="hybridMultilevel"/>
    <w:tmpl w:val="B8227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76CC8"/>
    <w:multiLevelType w:val="hybridMultilevel"/>
    <w:tmpl w:val="4872A30A"/>
    <w:lvl w:ilvl="0" w:tplc="B5C6F3C4">
      <w:start w:val="1"/>
      <w:numFmt w:val="bullet"/>
      <w:pStyle w:val="DotStyle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212B6"/>
    <w:multiLevelType w:val="hybridMultilevel"/>
    <w:tmpl w:val="80C21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E953D6"/>
    <w:multiLevelType w:val="hybridMultilevel"/>
    <w:tmpl w:val="2370EA00"/>
    <w:lvl w:ilvl="0" w:tplc="0C090003">
      <w:start w:val="1"/>
      <w:numFmt w:val="bullet"/>
      <w:lvlText w:val="o"/>
      <w:lvlJc w:val="left"/>
      <w:pPr>
        <w:ind w:left="829" w:hanging="360"/>
      </w:pPr>
      <w:rPr>
        <w:rFonts w:ascii="Courier New" w:hAnsi="Courier New" w:cs="Courier New"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8"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4D0287C"/>
    <w:multiLevelType w:val="hybridMultilevel"/>
    <w:tmpl w:val="D268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D63B59"/>
    <w:multiLevelType w:val="hybridMultilevel"/>
    <w:tmpl w:val="1E645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61465A"/>
    <w:multiLevelType w:val="multilevel"/>
    <w:tmpl w:val="8982B11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2127"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87255EC"/>
    <w:multiLevelType w:val="hybridMultilevel"/>
    <w:tmpl w:val="250CC24A"/>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3" w15:restartNumberingAfterBreak="0">
    <w:nsid w:val="5EE24641"/>
    <w:multiLevelType w:val="hybridMultilevel"/>
    <w:tmpl w:val="C5CEE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456429"/>
    <w:multiLevelType w:val="multilevel"/>
    <w:tmpl w:val="A52AA656"/>
    <w:numStyleLink w:val="KeyPoints"/>
  </w:abstractNum>
  <w:abstractNum w:abstractNumId="25" w15:restartNumberingAfterBreak="0">
    <w:nsid w:val="65C50CF1"/>
    <w:multiLevelType w:val="hybridMultilevel"/>
    <w:tmpl w:val="40324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A6684B"/>
    <w:multiLevelType w:val="hybridMultilevel"/>
    <w:tmpl w:val="9016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8" w15:restartNumberingAfterBreak="0">
    <w:nsid w:val="762964D5"/>
    <w:multiLevelType w:val="multilevel"/>
    <w:tmpl w:val="A52AA656"/>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AD262C"/>
    <w:multiLevelType w:val="hybridMultilevel"/>
    <w:tmpl w:val="30684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817637"/>
    <w:multiLevelType w:val="hybridMultilevel"/>
    <w:tmpl w:val="FDF2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4"/>
  </w:num>
  <w:num w:numId="4">
    <w:abstractNumId w:val="12"/>
  </w:num>
  <w:num w:numId="5">
    <w:abstractNumId w:val="24"/>
  </w:num>
  <w:num w:numId="6">
    <w:abstractNumId w:val="9"/>
  </w:num>
  <w:num w:numId="7">
    <w:abstractNumId w:val="4"/>
  </w:num>
  <w:num w:numId="8">
    <w:abstractNumId w:val="11"/>
  </w:num>
  <w:num w:numId="9">
    <w:abstractNumId w:val="18"/>
  </w:num>
  <w:num w:numId="10">
    <w:abstractNumId w:val="27"/>
  </w:num>
  <w:num w:numId="11">
    <w:abstractNumId w:val="6"/>
  </w:num>
  <w:num w:numId="12">
    <w:abstractNumId w:val="2"/>
  </w:num>
  <w:num w:numId="13">
    <w:abstractNumId w:val="5"/>
  </w:num>
  <w:num w:numId="14">
    <w:abstractNumId w:val="0"/>
  </w:num>
  <w:num w:numId="15">
    <w:abstractNumId w:val="2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8">
    <w:abstractNumId w:val="21"/>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9">
    <w:abstractNumId w:val="13"/>
  </w:num>
  <w:num w:numId="20">
    <w:abstractNumId w:val="20"/>
  </w:num>
  <w:num w:numId="21">
    <w:abstractNumId w:val="16"/>
  </w:num>
  <w:num w:numId="22">
    <w:abstractNumId w:val="3"/>
  </w:num>
  <w:num w:numId="23">
    <w:abstractNumId w:val="19"/>
  </w:num>
  <w:num w:numId="24">
    <w:abstractNumId w:val="26"/>
  </w:num>
  <w:num w:numId="25">
    <w:abstractNumId w:val="25"/>
  </w:num>
  <w:num w:numId="26">
    <w:abstractNumId w:val="23"/>
  </w:num>
  <w:num w:numId="27">
    <w:abstractNumId w:val="7"/>
  </w:num>
  <w:num w:numId="28">
    <w:abstractNumId w:val="32"/>
  </w:num>
  <w:num w:numId="29">
    <w:abstractNumId w:val="31"/>
  </w:num>
  <w:num w:numId="30">
    <w:abstractNumId w:val="21"/>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31">
    <w:abstractNumId w:val="17"/>
  </w:num>
  <w:num w:numId="32">
    <w:abstractNumId w:val="22"/>
  </w:num>
  <w:num w:numId="33">
    <w:abstractNumId w:val="8"/>
  </w:num>
  <w:num w:numId="34">
    <w:abstractNumId w:val="15"/>
  </w:num>
  <w:num w:numId="3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972"/>
    <w:rsid w:val="00003A99"/>
    <w:rsid w:val="00004AEE"/>
    <w:rsid w:val="00005CAA"/>
    <w:rsid w:val="00010210"/>
    <w:rsid w:val="00012D66"/>
    <w:rsid w:val="00014717"/>
    <w:rsid w:val="00015ADA"/>
    <w:rsid w:val="00020C99"/>
    <w:rsid w:val="000223E7"/>
    <w:rsid w:val="0002707B"/>
    <w:rsid w:val="000273C5"/>
    <w:rsid w:val="00037E5B"/>
    <w:rsid w:val="0005148E"/>
    <w:rsid w:val="00055147"/>
    <w:rsid w:val="00072C5A"/>
    <w:rsid w:val="000759E5"/>
    <w:rsid w:val="00084AC6"/>
    <w:rsid w:val="00091608"/>
    <w:rsid w:val="0009333C"/>
    <w:rsid w:val="000956A1"/>
    <w:rsid w:val="0009704F"/>
    <w:rsid w:val="000A0F11"/>
    <w:rsid w:val="000A125A"/>
    <w:rsid w:val="000A57CD"/>
    <w:rsid w:val="000A6E0E"/>
    <w:rsid w:val="000B1F21"/>
    <w:rsid w:val="000B3758"/>
    <w:rsid w:val="000B7681"/>
    <w:rsid w:val="000B7B42"/>
    <w:rsid w:val="000C02B7"/>
    <w:rsid w:val="000C2972"/>
    <w:rsid w:val="000C5100"/>
    <w:rsid w:val="000C5342"/>
    <w:rsid w:val="000C706A"/>
    <w:rsid w:val="000D0D3B"/>
    <w:rsid w:val="000D2887"/>
    <w:rsid w:val="000D6D63"/>
    <w:rsid w:val="000E0081"/>
    <w:rsid w:val="000E07CF"/>
    <w:rsid w:val="000E31C1"/>
    <w:rsid w:val="000F2CF2"/>
    <w:rsid w:val="000F4C60"/>
    <w:rsid w:val="00100BEF"/>
    <w:rsid w:val="00111326"/>
    <w:rsid w:val="0011498E"/>
    <w:rsid w:val="00117A45"/>
    <w:rsid w:val="001224AE"/>
    <w:rsid w:val="00125E23"/>
    <w:rsid w:val="001337D4"/>
    <w:rsid w:val="001418D7"/>
    <w:rsid w:val="00147C12"/>
    <w:rsid w:val="001527A1"/>
    <w:rsid w:val="001530DC"/>
    <w:rsid w:val="00154989"/>
    <w:rsid w:val="00155A9F"/>
    <w:rsid w:val="00156541"/>
    <w:rsid w:val="00157491"/>
    <w:rsid w:val="00160262"/>
    <w:rsid w:val="0016780A"/>
    <w:rsid w:val="001713FA"/>
    <w:rsid w:val="00173EBF"/>
    <w:rsid w:val="00175ED3"/>
    <w:rsid w:val="001842A2"/>
    <w:rsid w:val="00186E2D"/>
    <w:rsid w:val="00187FA8"/>
    <w:rsid w:val="00192F5E"/>
    <w:rsid w:val="00195E35"/>
    <w:rsid w:val="00197772"/>
    <w:rsid w:val="001A51C8"/>
    <w:rsid w:val="001A570F"/>
    <w:rsid w:val="001B0466"/>
    <w:rsid w:val="001B4CA8"/>
    <w:rsid w:val="001B5EA1"/>
    <w:rsid w:val="001C4F3D"/>
    <w:rsid w:val="001C507D"/>
    <w:rsid w:val="001D0CDC"/>
    <w:rsid w:val="001D1D82"/>
    <w:rsid w:val="001E1102"/>
    <w:rsid w:val="001E1182"/>
    <w:rsid w:val="001E2119"/>
    <w:rsid w:val="001E2549"/>
    <w:rsid w:val="001F2A19"/>
    <w:rsid w:val="001F3B5C"/>
    <w:rsid w:val="001F63CB"/>
    <w:rsid w:val="00202C90"/>
    <w:rsid w:val="002106D7"/>
    <w:rsid w:val="00213DE8"/>
    <w:rsid w:val="00216118"/>
    <w:rsid w:val="002209AB"/>
    <w:rsid w:val="0022389E"/>
    <w:rsid w:val="002251E3"/>
    <w:rsid w:val="00227A95"/>
    <w:rsid w:val="002316BD"/>
    <w:rsid w:val="0023698B"/>
    <w:rsid w:val="00237831"/>
    <w:rsid w:val="002473FC"/>
    <w:rsid w:val="00252E3C"/>
    <w:rsid w:val="00262198"/>
    <w:rsid w:val="002732E6"/>
    <w:rsid w:val="00273793"/>
    <w:rsid w:val="00285F1B"/>
    <w:rsid w:val="0028645A"/>
    <w:rsid w:val="00292B81"/>
    <w:rsid w:val="002A1360"/>
    <w:rsid w:val="002A2C94"/>
    <w:rsid w:val="002B18AE"/>
    <w:rsid w:val="002B46CC"/>
    <w:rsid w:val="002C1C93"/>
    <w:rsid w:val="002C5066"/>
    <w:rsid w:val="002C5813"/>
    <w:rsid w:val="002D4AAC"/>
    <w:rsid w:val="002F045A"/>
    <w:rsid w:val="0030039D"/>
    <w:rsid w:val="0030326F"/>
    <w:rsid w:val="00310701"/>
    <w:rsid w:val="003154EB"/>
    <w:rsid w:val="00315980"/>
    <w:rsid w:val="00316F7F"/>
    <w:rsid w:val="003218E8"/>
    <w:rsid w:val="00325E34"/>
    <w:rsid w:val="00330DCE"/>
    <w:rsid w:val="00331E11"/>
    <w:rsid w:val="00334761"/>
    <w:rsid w:val="00337EBC"/>
    <w:rsid w:val="00341DCD"/>
    <w:rsid w:val="0034563E"/>
    <w:rsid w:val="003518D6"/>
    <w:rsid w:val="003523C0"/>
    <w:rsid w:val="0035460C"/>
    <w:rsid w:val="003556BD"/>
    <w:rsid w:val="003562F1"/>
    <w:rsid w:val="00356BA4"/>
    <w:rsid w:val="00365147"/>
    <w:rsid w:val="00365FE2"/>
    <w:rsid w:val="003670A4"/>
    <w:rsid w:val="0037016E"/>
    <w:rsid w:val="00372908"/>
    <w:rsid w:val="00374381"/>
    <w:rsid w:val="00377753"/>
    <w:rsid w:val="00383020"/>
    <w:rsid w:val="00392825"/>
    <w:rsid w:val="00394D7E"/>
    <w:rsid w:val="003975FD"/>
    <w:rsid w:val="003A6E01"/>
    <w:rsid w:val="003B0552"/>
    <w:rsid w:val="003B057D"/>
    <w:rsid w:val="003B1A92"/>
    <w:rsid w:val="003B20D2"/>
    <w:rsid w:val="003B60CC"/>
    <w:rsid w:val="003B6945"/>
    <w:rsid w:val="003B7AD9"/>
    <w:rsid w:val="003C1B25"/>
    <w:rsid w:val="003C2443"/>
    <w:rsid w:val="003C5DA3"/>
    <w:rsid w:val="003D26DB"/>
    <w:rsid w:val="003D4BCD"/>
    <w:rsid w:val="003D6C2B"/>
    <w:rsid w:val="003D6FAB"/>
    <w:rsid w:val="003E01D8"/>
    <w:rsid w:val="003E2100"/>
    <w:rsid w:val="003E4127"/>
    <w:rsid w:val="003F6F5B"/>
    <w:rsid w:val="0040342D"/>
    <w:rsid w:val="0041192D"/>
    <w:rsid w:val="00413EE1"/>
    <w:rsid w:val="0042013D"/>
    <w:rsid w:val="0042128E"/>
    <w:rsid w:val="004315E9"/>
    <w:rsid w:val="00432B60"/>
    <w:rsid w:val="00437D5D"/>
    <w:rsid w:val="00440698"/>
    <w:rsid w:val="00442C46"/>
    <w:rsid w:val="004540E2"/>
    <w:rsid w:val="00454454"/>
    <w:rsid w:val="00456806"/>
    <w:rsid w:val="00467924"/>
    <w:rsid w:val="00470B3D"/>
    <w:rsid w:val="004712A5"/>
    <w:rsid w:val="0047266F"/>
    <w:rsid w:val="00476D6B"/>
    <w:rsid w:val="00492C16"/>
    <w:rsid w:val="004932F2"/>
    <w:rsid w:val="004A0678"/>
    <w:rsid w:val="004A2177"/>
    <w:rsid w:val="004A48A3"/>
    <w:rsid w:val="004B0D92"/>
    <w:rsid w:val="004B0EC0"/>
    <w:rsid w:val="004B66F1"/>
    <w:rsid w:val="004B6FF1"/>
    <w:rsid w:val="004C3EA0"/>
    <w:rsid w:val="004E735B"/>
    <w:rsid w:val="004E7434"/>
    <w:rsid w:val="004F7169"/>
    <w:rsid w:val="00500D66"/>
    <w:rsid w:val="00514C8E"/>
    <w:rsid w:val="005158FA"/>
    <w:rsid w:val="00531DBF"/>
    <w:rsid w:val="0054499D"/>
    <w:rsid w:val="00545759"/>
    <w:rsid w:val="00545BE0"/>
    <w:rsid w:val="00546930"/>
    <w:rsid w:val="00554C6A"/>
    <w:rsid w:val="00562E85"/>
    <w:rsid w:val="0056332F"/>
    <w:rsid w:val="0056682A"/>
    <w:rsid w:val="005719B3"/>
    <w:rsid w:val="0057295E"/>
    <w:rsid w:val="00577C09"/>
    <w:rsid w:val="00581C39"/>
    <w:rsid w:val="005903B6"/>
    <w:rsid w:val="005A0247"/>
    <w:rsid w:val="005A126E"/>
    <w:rsid w:val="005A452F"/>
    <w:rsid w:val="005B08AA"/>
    <w:rsid w:val="005B140D"/>
    <w:rsid w:val="005B4FC8"/>
    <w:rsid w:val="005C1FEA"/>
    <w:rsid w:val="005C3369"/>
    <w:rsid w:val="005C3495"/>
    <w:rsid w:val="005D0749"/>
    <w:rsid w:val="005E3DFC"/>
    <w:rsid w:val="005E5942"/>
    <w:rsid w:val="005E60AF"/>
    <w:rsid w:val="005E7E62"/>
    <w:rsid w:val="005F1DEA"/>
    <w:rsid w:val="00601422"/>
    <w:rsid w:val="00604734"/>
    <w:rsid w:val="00607FC9"/>
    <w:rsid w:val="00622FE1"/>
    <w:rsid w:val="0062521C"/>
    <w:rsid w:val="00630A2B"/>
    <w:rsid w:val="00632DC7"/>
    <w:rsid w:val="00634392"/>
    <w:rsid w:val="006357FB"/>
    <w:rsid w:val="006406FC"/>
    <w:rsid w:val="00640E57"/>
    <w:rsid w:val="00646122"/>
    <w:rsid w:val="006519F4"/>
    <w:rsid w:val="00653E16"/>
    <w:rsid w:val="006554B7"/>
    <w:rsid w:val="006564CD"/>
    <w:rsid w:val="00657220"/>
    <w:rsid w:val="00657362"/>
    <w:rsid w:val="006600F8"/>
    <w:rsid w:val="0066104B"/>
    <w:rsid w:val="00661B46"/>
    <w:rsid w:val="00663F10"/>
    <w:rsid w:val="006655EE"/>
    <w:rsid w:val="00667C10"/>
    <w:rsid w:val="00667EF4"/>
    <w:rsid w:val="006756C2"/>
    <w:rsid w:val="00676FCA"/>
    <w:rsid w:val="00677177"/>
    <w:rsid w:val="00683961"/>
    <w:rsid w:val="0068612E"/>
    <w:rsid w:val="00687C92"/>
    <w:rsid w:val="006934BB"/>
    <w:rsid w:val="0069534E"/>
    <w:rsid w:val="0069669C"/>
    <w:rsid w:val="006A0C94"/>
    <w:rsid w:val="006A1200"/>
    <w:rsid w:val="006A4F4E"/>
    <w:rsid w:val="006A6C23"/>
    <w:rsid w:val="006B14DB"/>
    <w:rsid w:val="006B21C4"/>
    <w:rsid w:val="006B7FCE"/>
    <w:rsid w:val="006C328B"/>
    <w:rsid w:val="006C4A1A"/>
    <w:rsid w:val="006C7F3C"/>
    <w:rsid w:val="006D0393"/>
    <w:rsid w:val="006D1A83"/>
    <w:rsid w:val="006D3384"/>
    <w:rsid w:val="006E1CFE"/>
    <w:rsid w:val="006E3E57"/>
    <w:rsid w:val="006E6356"/>
    <w:rsid w:val="006F10C4"/>
    <w:rsid w:val="006F40E9"/>
    <w:rsid w:val="006F5603"/>
    <w:rsid w:val="006F7B87"/>
    <w:rsid w:val="00701400"/>
    <w:rsid w:val="007037CF"/>
    <w:rsid w:val="00703F39"/>
    <w:rsid w:val="00712D22"/>
    <w:rsid w:val="00713E03"/>
    <w:rsid w:val="007167C0"/>
    <w:rsid w:val="00720481"/>
    <w:rsid w:val="00724E88"/>
    <w:rsid w:val="00725633"/>
    <w:rsid w:val="00733193"/>
    <w:rsid w:val="00744DDA"/>
    <w:rsid w:val="00745E03"/>
    <w:rsid w:val="00752794"/>
    <w:rsid w:val="0075732A"/>
    <w:rsid w:val="007600F8"/>
    <w:rsid w:val="00760262"/>
    <w:rsid w:val="0076051C"/>
    <w:rsid w:val="0076310C"/>
    <w:rsid w:val="00764C2A"/>
    <w:rsid w:val="0076744F"/>
    <w:rsid w:val="00767BCE"/>
    <w:rsid w:val="00767EFC"/>
    <w:rsid w:val="007707DE"/>
    <w:rsid w:val="00770B5D"/>
    <w:rsid w:val="007752F1"/>
    <w:rsid w:val="00776768"/>
    <w:rsid w:val="00777967"/>
    <w:rsid w:val="0078187A"/>
    <w:rsid w:val="00794ED8"/>
    <w:rsid w:val="007961CD"/>
    <w:rsid w:val="007A2573"/>
    <w:rsid w:val="007B106C"/>
    <w:rsid w:val="007B1A4E"/>
    <w:rsid w:val="007B3D05"/>
    <w:rsid w:val="007B5503"/>
    <w:rsid w:val="007C179C"/>
    <w:rsid w:val="007C4DB1"/>
    <w:rsid w:val="007C6BB3"/>
    <w:rsid w:val="007D14B4"/>
    <w:rsid w:val="007D3AD7"/>
    <w:rsid w:val="007E2271"/>
    <w:rsid w:val="007E23E8"/>
    <w:rsid w:val="007E24F6"/>
    <w:rsid w:val="00800F64"/>
    <w:rsid w:val="00801050"/>
    <w:rsid w:val="00802F0B"/>
    <w:rsid w:val="00806B4B"/>
    <w:rsid w:val="00810A67"/>
    <w:rsid w:val="008232B4"/>
    <w:rsid w:val="00825501"/>
    <w:rsid w:val="0083163D"/>
    <w:rsid w:val="00833CF7"/>
    <w:rsid w:val="00834CDE"/>
    <w:rsid w:val="00842464"/>
    <w:rsid w:val="00845601"/>
    <w:rsid w:val="00846881"/>
    <w:rsid w:val="00855C5C"/>
    <w:rsid w:val="008608F4"/>
    <w:rsid w:val="00882E04"/>
    <w:rsid w:val="008843E9"/>
    <w:rsid w:val="00884B7D"/>
    <w:rsid w:val="008A3C96"/>
    <w:rsid w:val="008B4019"/>
    <w:rsid w:val="008B65C9"/>
    <w:rsid w:val="008C2D4A"/>
    <w:rsid w:val="008C7EDC"/>
    <w:rsid w:val="008D3900"/>
    <w:rsid w:val="008D3EDC"/>
    <w:rsid w:val="008D6E1D"/>
    <w:rsid w:val="008E5C40"/>
    <w:rsid w:val="008E61BA"/>
    <w:rsid w:val="008F39B4"/>
    <w:rsid w:val="008F4162"/>
    <w:rsid w:val="00902C1B"/>
    <w:rsid w:val="00903E02"/>
    <w:rsid w:val="00904409"/>
    <w:rsid w:val="0090661D"/>
    <w:rsid w:val="009074C6"/>
    <w:rsid w:val="00913175"/>
    <w:rsid w:val="00916EDB"/>
    <w:rsid w:val="00920861"/>
    <w:rsid w:val="00922286"/>
    <w:rsid w:val="00922B13"/>
    <w:rsid w:val="009242EF"/>
    <w:rsid w:val="009258F0"/>
    <w:rsid w:val="00932291"/>
    <w:rsid w:val="00932861"/>
    <w:rsid w:val="0093408E"/>
    <w:rsid w:val="009412EE"/>
    <w:rsid w:val="00942088"/>
    <w:rsid w:val="00952574"/>
    <w:rsid w:val="00952DDF"/>
    <w:rsid w:val="009553E6"/>
    <w:rsid w:val="00960AAA"/>
    <w:rsid w:val="009610A3"/>
    <w:rsid w:val="00961593"/>
    <w:rsid w:val="00963B6A"/>
    <w:rsid w:val="00970950"/>
    <w:rsid w:val="0097754D"/>
    <w:rsid w:val="00977F06"/>
    <w:rsid w:val="009812D4"/>
    <w:rsid w:val="009835DA"/>
    <w:rsid w:val="00987190"/>
    <w:rsid w:val="009920D8"/>
    <w:rsid w:val="009952F5"/>
    <w:rsid w:val="009A20D5"/>
    <w:rsid w:val="009A4676"/>
    <w:rsid w:val="009A6DB7"/>
    <w:rsid w:val="009B120B"/>
    <w:rsid w:val="009B38BE"/>
    <w:rsid w:val="009B7526"/>
    <w:rsid w:val="009C3D0F"/>
    <w:rsid w:val="009D785F"/>
    <w:rsid w:val="009E1B19"/>
    <w:rsid w:val="009E3829"/>
    <w:rsid w:val="009E3EA9"/>
    <w:rsid w:val="009F310B"/>
    <w:rsid w:val="009F35E2"/>
    <w:rsid w:val="009F65F9"/>
    <w:rsid w:val="009F68BA"/>
    <w:rsid w:val="009F6E94"/>
    <w:rsid w:val="009F7726"/>
    <w:rsid w:val="00A06277"/>
    <w:rsid w:val="00A079DC"/>
    <w:rsid w:val="00A111C2"/>
    <w:rsid w:val="00A15885"/>
    <w:rsid w:val="00A20C4C"/>
    <w:rsid w:val="00A3033F"/>
    <w:rsid w:val="00A338E7"/>
    <w:rsid w:val="00A33E30"/>
    <w:rsid w:val="00A35CAA"/>
    <w:rsid w:val="00A36E7F"/>
    <w:rsid w:val="00A411AF"/>
    <w:rsid w:val="00A41E65"/>
    <w:rsid w:val="00A43E0A"/>
    <w:rsid w:val="00A5053E"/>
    <w:rsid w:val="00A530C7"/>
    <w:rsid w:val="00A53D3F"/>
    <w:rsid w:val="00A5433A"/>
    <w:rsid w:val="00A55F5B"/>
    <w:rsid w:val="00A60185"/>
    <w:rsid w:val="00A65F81"/>
    <w:rsid w:val="00A661EA"/>
    <w:rsid w:val="00A731B2"/>
    <w:rsid w:val="00A75F68"/>
    <w:rsid w:val="00A830E5"/>
    <w:rsid w:val="00A867B2"/>
    <w:rsid w:val="00A87135"/>
    <w:rsid w:val="00A91371"/>
    <w:rsid w:val="00A93280"/>
    <w:rsid w:val="00A93491"/>
    <w:rsid w:val="00A951EA"/>
    <w:rsid w:val="00AA2548"/>
    <w:rsid w:val="00AA434E"/>
    <w:rsid w:val="00AA58C4"/>
    <w:rsid w:val="00AA7003"/>
    <w:rsid w:val="00AB11C8"/>
    <w:rsid w:val="00AB2A0D"/>
    <w:rsid w:val="00AC08A8"/>
    <w:rsid w:val="00AC6F80"/>
    <w:rsid w:val="00AD1F79"/>
    <w:rsid w:val="00AD56C8"/>
    <w:rsid w:val="00AD58F2"/>
    <w:rsid w:val="00B0512A"/>
    <w:rsid w:val="00B0529F"/>
    <w:rsid w:val="00B06FB3"/>
    <w:rsid w:val="00B1418B"/>
    <w:rsid w:val="00B16919"/>
    <w:rsid w:val="00B1736D"/>
    <w:rsid w:val="00B21195"/>
    <w:rsid w:val="00B248CC"/>
    <w:rsid w:val="00B24B22"/>
    <w:rsid w:val="00B25310"/>
    <w:rsid w:val="00B2724F"/>
    <w:rsid w:val="00B32F8F"/>
    <w:rsid w:val="00B3492A"/>
    <w:rsid w:val="00B45401"/>
    <w:rsid w:val="00B461DE"/>
    <w:rsid w:val="00B54DE9"/>
    <w:rsid w:val="00B553EC"/>
    <w:rsid w:val="00B55E3F"/>
    <w:rsid w:val="00B63C1E"/>
    <w:rsid w:val="00B673FA"/>
    <w:rsid w:val="00B74CE3"/>
    <w:rsid w:val="00B76D86"/>
    <w:rsid w:val="00B93DD0"/>
    <w:rsid w:val="00B95169"/>
    <w:rsid w:val="00B97732"/>
    <w:rsid w:val="00B97A64"/>
    <w:rsid w:val="00BA1803"/>
    <w:rsid w:val="00BA65A8"/>
    <w:rsid w:val="00BA6D19"/>
    <w:rsid w:val="00BA7461"/>
    <w:rsid w:val="00BA7DA9"/>
    <w:rsid w:val="00BC4215"/>
    <w:rsid w:val="00BD1A6F"/>
    <w:rsid w:val="00BE6D3C"/>
    <w:rsid w:val="00BE7852"/>
    <w:rsid w:val="00BF7CEE"/>
    <w:rsid w:val="00C03880"/>
    <w:rsid w:val="00C0735B"/>
    <w:rsid w:val="00C135CF"/>
    <w:rsid w:val="00C13B9B"/>
    <w:rsid w:val="00C232B7"/>
    <w:rsid w:val="00C2683F"/>
    <w:rsid w:val="00C3184D"/>
    <w:rsid w:val="00C35CAE"/>
    <w:rsid w:val="00C36959"/>
    <w:rsid w:val="00C410CD"/>
    <w:rsid w:val="00C4714E"/>
    <w:rsid w:val="00C51CCA"/>
    <w:rsid w:val="00C5504F"/>
    <w:rsid w:val="00C57B55"/>
    <w:rsid w:val="00C616D8"/>
    <w:rsid w:val="00C63376"/>
    <w:rsid w:val="00C67973"/>
    <w:rsid w:val="00C74F97"/>
    <w:rsid w:val="00C8276E"/>
    <w:rsid w:val="00C842AC"/>
    <w:rsid w:val="00C84BAC"/>
    <w:rsid w:val="00C8736D"/>
    <w:rsid w:val="00C942DF"/>
    <w:rsid w:val="00C96688"/>
    <w:rsid w:val="00CA0723"/>
    <w:rsid w:val="00CA16FD"/>
    <w:rsid w:val="00CA1706"/>
    <w:rsid w:val="00CB1690"/>
    <w:rsid w:val="00CB2853"/>
    <w:rsid w:val="00CB4DF5"/>
    <w:rsid w:val="00CB5B1B"/>
    <w:rsid w:val="00CC4365"/>
    <w:rsid w:val="00CC4407"/>
    <w:rsid w:val="00CD0FE3"/>
    <w:rsid w:val="00CD11B0"/>
    <w:rsid w:val="00CE71C2"/>
    <w:rsid w:val="00CF34E9"/>
    <w:rsid w:val="00CF3B67"/>
    <w:rsid w:val="00CF42D5"/>
    <w:rsid w:val="00CF4EDA"/>
    <w:rsid w:val="00CF7F0C"/>
    <w:rsid w:val="00D021CB"/>
    <w:rsid w:val="00D02D10"/>
    <w:rsid w:val="00D076CC"/>
    <w:rsid w:val="00D1079D"/>
    <w:rsid w:val="00D109B8"/>
    <w:rsid w:val="00D10F1A"/>
    <w:rsid w:val="00D116F8"/>
    <w:rsid w:val="00D11974"/>
    <w:rsid w:val="00D1275B"/>
    <w:rsid w:val="00D15E67"/>
    <w:rsid w:val="00D17596"/>
    <w:rsid w:val="00D21D54"/>
    <w:rsid w:val="00D22640"/>
    <w:rsid w:val="00D26D3A"/>
    <w:rsid w:val="00D45EE3"/>
    <w:rsid w:val="00D50618"/>
    <w:rsid w:val="00D509E9"/>
    <w:rsid w:val="00D53B1C"/>
    <w:rsid w:val="00D70131"/>
    <w:rsid w:val="00D8223A"/>
    <w:rsid w:val="00DA1B12"/>
    <w:rsid w:val="00DA54C9"/>
    <w:rsid w:val="00DA6739"/>
    <w:rsid w:val="00DA6CAE"/>
    <w:rsid w:val="00DB1A9E"/>
    <w:rsid w:val="00DB31D6"/>
    <w:rsid w:val="00DB4005"/>
    <w:rsid w:val="00DC34EB"/>
    <w:rsid w:val="00DD3A03"/>
    <w:rsid w:val="00DF1E5B"/>
    <w:rsid w:val="00DF2275"/>
    <w:rsid w:val="00DF3F5E"/>
    <w:rsid w:val="00DF3F85"/>
    <w:rsid w:val="00DF5653"/>
    <w:rsid w:val="00E01407"/>
    <w:rsid w:val="00E03258"/>
    <w:rsid w:val="00E0596E"/>
    <w:rsid w:val="00E06F66"/>
    <w:rsid w:val="00E159B8"/>
    <w:rsid w:val="00E302AB"/>
    <w:rsid w:val="00E356E5"/>
    <w:rsid w:val="00E36F81"/>
    <w:rsid w:val="00E37CB1"/>
    <w:rsid w:val="00E45765"/>
    <w:rsid w:val="00E46D01"/>
    <w:rsid w:val="00E5098C"/>
    <w:rsid w:val="00E60213"/>
    <w:rsid w:val="00E61AB7"/>
    <w:rsid w:val="00E661B2"/>
    <w:rsid w:val="00E74D29"/>
    <w:rsid w:val="00E83C74"/>
    <w:rsid w:val="00E83CEE"/>
    <w:rsid w:val="00E914CF"/>
    <w:rsid w:val="00E91F18"/>
    <w:rsid w:val="00E9226D"/>
    <w:rsid w:val="00EA416C"/>
    <w:rsid w:val="00EA5941"/>
    <w:rsid w:val="00EB60CE"/>
    <w:rsid w:val="00EB7D53"/>
    <w:rsid w:val="00EC6027"/>
    <w:rsid w:val="00EE3146"/>
    <w:rsid w:val="00EF50BB"/>
    <w:rsid w:val="00EF53FF"/>
    <w:rsid w:val="00F00192"/>
    <w:rsid w:val="00F01DF6"/>
    <w:rsid w:val="00F02F98"/>
    <w:rsid w:val="00F0340D"/>
    <w:rsid w:val="00F059A6"/>
    <w:rsid w:val="00F061F5"/>
    <w:rsid w:val="00F12FF0"/>
    <w:rsid w:val="00F23756"/>
    <w:rsid w:val="00F23B0B"/>
    <w:rsid w:val="00F24369"/>
    <w:rsid w:val="00F2523A"/>
    <w:rsid w:val="00F2530C"/>
    <w:rsid w:val="00F25FFA"/>
    <w:rsid w:val="00F265BD"/>
    <w:rsid w:val="00F310D2"/>
    <w:rsid w:val="00F36F3D"/>
    <w:rsid w:val="00F418FC"/>
    <w:rsid w:val="00F45FF2"/>
    <w:rsid w:val="00F477BD"/>
    <w:rsid w:val="00F518E3"/>
    <w:rsid w:val="00F53491"/>
    <w:rsid w:val="00F53F1D"/>
    <w:rsid w:val="00F62C99"/>
    <w:rsid w:val="00F63E0D"/>
    <w:rsid w:val="00F65A1C"/>
    <w:rsid w:val="00F66F50"/>
    <w:rsid w:val="00F77FFA"/>
    <w:rsid w:val="00F81CBF"/>
    <w:rsid w:val="00F82FF8"/>
    <w:rsid w:val="00F8330D"/>
    <w:rsid w:val="00F84305"/>
    <w:rsid w:val="00F8485C"/>
    <w:rsid w:val="00F87149"/>
    <w:rsid w:val="00F87FFE"/>
    <w:rsid w:val="00F92173"/>
    <w:rsid w:val="00F954C9"/>
    <w:rsid w:val="00F965A6"/>
    <w:rsid w:val="00FA4CF0"/>
    <w:rsid w:val="00FA5628"/>
    <w:rsid w:val="00FA61AA"/>
    <w:rsid w:val="00FA69A4"/>
    <w:rsid w:val="00FB1279"/>
    <w:rsid w:val="00FB1495"/>
    <w:rsid w:val="00FC0615"/>
    <w:rsid w:val="00FC60C3"/>
    <w:rsid w:val="00FD1694"/>
    <w:rsid w:val="00FD7636"/>
    <w:rsid w:val="00FE3229"/>
    <w:rsid w:val="00FE452C"/>
    <w:rsid w:val="00FE50EF"/>
    <w:rsid w:val="00FE74C3"/>
    <w:rsid w:val="00FF215C"/>
    <w:rsid w:val="00FF441D"/>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8A616E"/>
  <w15:chartTrackingRefBased/>
  <w15:docId w15:val="{26FF251D-ECD0-4CA3-BC0F-3FEB5EF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F2"/>
    <w:pPr>
      <w:spacing w:after="120"/>
    </w:pPr>
    <w:rPr>
      <w:rFonts w:asciiTheme="minorHAnsi" w:hAnsiTheme="minorHAnsi" w:cs="Century Gothic"/>
      <w:color w:val="000000"/>
      <w:sz w:val="22"/>
    </w:rPr>
  </w:style>
  <w:style w:type="paragraph" w:styleId="Heading1">
    <w:name w:val="heading 1"/>
    <w:next w:val="Normal"/>
    <w:link w:val="Heading1Char"/>
    <w:qFormat/>
    <w:rsid w:val="00365FE2"/>
    <w:pPr>
      <w:keepNext/>
      <w:numPr>
        <w:numId w:val="17"/>
      </w:numPr>
      <w:spacing w:before="240" w:after="240"/>
      <w:outlineLvl w:val="0"/>
    </w:pPr>
    <w:rPr>
      <w:rFonts w:asciiTheme="minorHAnsi" w:hAnsiTheme="minorHAnsi" w:cs="Century Gothic"/>
      <w:b/>
      <w:color w:val="31849B" w:themeColor="accent5" w:themeShade="BF"/>
      <w:sz w:val="42"/>
      <w:lang w:val="en-GB"/>
    </w:rPr>
  </w:style>
  <w:style w:type="paragraph" w:styleId="Heading2">
    <w:name w:val="heading 2"/>
    <w:basedOn w:val="Heading1"/>
    <w:next w:val="Normal"/>
    <w:link w:val="Heading2Char"/>
    <w:qFormat/>
    <w:rsid w:val="00D1079D"/>
    <w:pPr>
      <w:numPr>
        <w:ilvl w:val="1"/>
      </w:numPr>
      <w:outlineLvl w:val="1"/>
    </w:pPr>
    <w:rPr>
      <w:color w:val="5F497A" w:themeColor="accent4" w:themeShade="BF"/>
      <w:sz w:val="36"/>
      <w:szCs w:val="36"/>
    </w:rPr>
  </w:style>
  <w:style w:type="paragraph" w:styleId="Heading3">
    <w:name w:val="heading 3"/>
    <w:basedOn w:val="Heading2"/>
    <w:next w:val="Normal"/>
    <w:link w:val="Heading3Char"/>
    <w:qFormat/>
    <w:rsid w:val="00365FE2"/>
    <w:pPr>
      <w:numPr>
        <w:ilvl w:val="2"/>
      </w:numPr>
      <w:outlineLvl w:val="2"/>
    </w:pPr>
    <w:rPr>
      <w:b w:val="0"/>
      <w:sz w:val="26"/>
      <w:szCs w:val="24"/>
    </w:rPr>
  </w:style>
  <w:style w:type="paragraph" w:styleId="Heading4">
    <w:name w:val="heading 4"/>
    <w:basedOn w:val="Heading3"/>
    <w:next w:val="Normal"/>
    <w:link w:val="Heading4Char"/>
    <w:qFormat/>
    <w:rsid w:val="00365FE2"/>
    <w:pPr>
      <w:numPr>
        <w:ilvl w:val="3"/>
      </w:numPr>
      <w:ind w:left="0"/>
      <w:outlineLvl w:val="3"/>
    </w:pPr>
    <w:rPr>
      <w:rFonts w:cs="Arial"/>
      <w:i/>
    </w:rPr>
  </w:style>
  <w:style w:type="paragraph" w:styleId="Heading5">
    <w:name w:val="heading 5"/>
    <w:basedOn w:val="Heading4"/>
    <w:next w:val="Para0"/>
    <w:link w:val="Heading5Char"/>
    <w:qFormat/>
    <w:rsid w:val="00703F39"/>
    <w:pPr>
      <w:numPr>
        <w:ilvl w:val="0"/>
        <w:numId w:val="0"/>
      </w:numPr>
      <w:spacing w:before="120" w:after="120"/>
      <w:outlineLvl w:val="4"/>
    </w:pPr>
    <w:rPr>
      <w:rFonts w:ascii="Calibri" w:hAnsi="Calibri" w:cs="Calibri"/>
      <w:sz w:val="22"/>
      <w:szCs w:val="22"/>
      <w:lang w:eastAsia="en-US"/>
    </w:rPr>
  </w:style>
  <w:style w:type="paragraph" w:styleId="Heading6">
    <w:name w:val="heading 6"/>
    <w:basedOn w:val="Heading5"/>
    <w:next w:val="Para0"/>
    <w:link w:val="Heading6Char"/>
    <w:qFormat/>
    <w:rsid w:val="00B461DE"/>
    <w:pPr>
      <w:tabs>
        <w:tab w:val="left" w:pos="1276"/>
      </w:tabs>
      <w:ind w:left="2736" w:hanging="936"/>
      <w:outlineLvl w:val="5"/>
    </w:pPr>
  </w:style>
  <w:style w:type="paragraph" w:styleId="Heading7">
    <w:name w:val="heading 7"/>
    <w:basedOn w:val="Heading6"/>
    <w:next w:val="Para0"/>
    <w:link w:val="Heading7Char"/>
    <w:qFormat/>
    <w:rsid w:val="00B461DE"/>
    <w:pPr>
      <w:tabs>
        <w:tab w:val="clear" w:pos="1276"/>
        <w:tab w:val="left" w:pos="1418"/>
      </w:tabs>
      <w:ind w:left="3240" w:hanging="1080"/>
      <w:outlineLvl w:val="6"/>
    </w:pPr>
  </w:style>
  <w:style w:type="paragraph" w:styleId="Heading8">
    <w:name w:val="heading 8"/>
    <w:basedOn w:val="Heading7"/>
    <w:next w:val="Para0"/>
    <w:link w:val="Heading8Char"/>
    <w:qFormat/>
    <w:rsid w:val="00B461DE"/>
    <w:pPr>
      <w:tabs>
        <w:tab w:val="clear" w:pos="1418"/>
        <w:tab w:val="left" w:pos="1560"/>
      </w:tabs>
      <w:ind w:left="3744" w:hanging="1224"/>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rsid w:val="00365FE2"/>
    <w:rPr>
      <w:rFonts w:asciiTheme="minorHAnsi" w:hAnsiTheme="minorHAnsi" w:cs="Century Gothic"/>
      <w:b/>
      <w:color w:val="31849B" w:themeColor="accent5" w:themeShade="BF"/>
      <w:sz w:val="42"/>
      <w:lang w:val="en-GB"/>
    </w:rPr>
  </w:style>
  <w:style w:type="character" w:customStyle="1" w:styleId="Heading2Char">
    <w:name w:val="Heading 2 Char"/>
    <w:basedOn w:val="DefaultParagraphFont"/>
    <w:link w:val="Heading2"/>
    <w:rsid w:val="00D1079D"/>
    <w:rPr>
      <w:rFonts w:asciiTheme="minorHAnsi" w:hAnsiTheme="minorHAnsi" w:cs="Century Gothic"/>
      <w:b/>
      <w:color w:val="5F497A" w:themeColor="accent4" w:themeShade="BF"/>
      <w:sz w:val="36"/>
      <w:szCs w:val="36"/>
      <w:lang w:val="en-GB"/>
    </w:rPr>
  </w:style>
  <w:style w:type="character" w:customStyle="1" w:styleId="Heading3Char">
    <w:name w:val="Heading 3 Char"/>
    <w:basedOn w:val="DefaultParagraphFont"/>
    <w:link w:val="Heading3"/>
    <w:rsid w:val="00365FE2"/>
    <w:rPr>
      <w:rFonts w:asciiTheme="minorHAnsi" w:hAnsiTheme="minorHAnsi" w:cs="Century Gothic"/>
      <w:color w:val="5F497A" w:themeColor="accent4" w:themeShade="BF"/>
      <w:sz w:val="26"/>
      <w:szCs w:val="24"/>
      <w:lang w:val="en-GB"/>
    </w:rPr>
  </w:style>
  <w:style w:type="character" w:customStyle="1" w:styleId="Heading4Char">
    <w:name w:val="Heading 4 Char"/>
    <w:basedOn w:val="DefaultParagraphFont"/>
    <w:link w:val="Heading4"/>
    <w:rsid w:val="00365FE2"/>
    <w:rPr>
      <w:rFonts w:asciiTheme="minorHAnsi" w:hAnsiTheme="minorHAnsi" w:cs="Arial"/>
      <w:i/>
      <w:color w:val="5F497A" w:themeColor="accent4" w:themeShade="BF"/>
      <w:sz w:val="26"/>
      <w:szCs w:val="24"/>
      <w:lang w:val="en-GB"/>
    </w:rPr>
  </w:style>
  <w:style w:type="paragraph" w:styleId="ListBullet">
    <w:name w:val="List Bullet"/>
    <w:basedOn w:val="Normal"/>
    <w:uiPriority w:val="99"/>
    <w:qFormat/>
    <w:rsid w:val="00AA434E"/>
    <w:pPr>
      <w:numPr>
        <w:numId w:val="6"/>
      </w:numPr>
      <w:contextualSpacing/>
    </w:pPr>
  </w:style>
  <w:style w:type="paragraph" w:styleId="ListBullet2">
    <w:name w:val="List Bullet 2"/>
    <w:basedOn w:val="Normal"/>
    <w:uiPriority w:val="99"/>
    <w:unhideWhenUsed/>
    <w:rsid w:val="00AA434E"/>
  </w:style>
  <w:style w:type="paragraph" w:styleId="ListBullet3">
    <w:name w:val="List Bullet 3"/>
    <w:basedOn w:val="Normal"/>
    <w:uiPriority w:val="99"/>
    <w:unhideWhenUsed/>
    <w:rsid w:val="00AA434E"/>
  </w:style>
  <w:style w:type="paragraph" w:styleId="ListBullet4">
    <w:name w:val="List Bullet 4"/>
    <w:basedOn w:val="Normal"/>
    <w:uiPriority w:val="99"/>
    <w:unhideWhenUsed/>
    <w:rsid w:val="00AA434E"/>
  </w:style>
  <w:style w:type="paragraph" w:styleId="ListBullet5">
    <w:name w:val="List Bullet 5"/>
    <w:basedOn w:val="Normal"/>
    <w:uiPriority w:val="99"/>
    <w:unhideWhenUsed/>
    <w:rsid w:val="00AA434E"/>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aliases w:val="Cover"/>
    <w:basedOn w:val="Normal"/>
    <w:next w:val="Normal"/>
    <w:link w:val="TitleChar"/>
    <w:qFormat/>
    <w:rsid w:val="00AA434E"/>
    <w:pPr>
      <w:spacing w:after="0"/>
      <w:jc w:val="center"/>
    </w:pPr>
    <w:rPr>
      <w:b/>
      <w:color w:val="5F497A" w:themeColor="accent4" w:themeShade="BF"/>
      <w:sz w:val="52"/>
      <w:szCs w:val="52"/>
      <w:lang w:val="en-GB"/>
    </w:rPr>
  </w:style>
  <w:style w:type="character" w:customStyle="1" w:styleId="TitleChar">
    <w:name w:val="Title Char"/>
    <w:aliases w:val="Cover Char"/>
    <w:basedOn w:val="DefaultParagraphFont"/>
    <w:link w:val="Title"/>
    <w:rsid w:val="00AA434E"/>
    <w:rPr>
      <w:rFonts w:ascii="Century Gothic" w:hAnsi="Century Gothic"/>
      <w:b/>
      <w:color w:val="5F497A" w:themeColor="accent4" w:themeShade="BF"/>
      <w:sz w:val="52"/>
      <w:szCs w:val="52"/>
      <w:lang w:val="en-GB" w:eastAsia="en-US"/>
    </w:rPr>
  </w:style>
  <w:style w:type="paragraph" w:customStyle="1" w:styleId="Title2">
    <w:name w:val="Title 2"/>
    <w:basedOn w:val="Title"/>
    <w:link w:val="Title2Char"/>
    <w:qFormat/>
    <w:rsid w:val="00AA434E"/>
    <w:pPr>
      <w:spacing w:after="120"/>
      <w:jc w:val="left"/>
    </w:pPr>
    <w:rPr>
      <w:rFonts w:eastAsia="Calibri"/>
      <w:sz w:val="24"/>
      <w:szCs w:val="24"/>
      <w:lang w:eastAsia="en-US"/>
    </w:rPr>
  </w:style>
  <w:style w:type="character" w:customStyle="1" w:styleId="Title2Char">
    <w:name w:val="Title 2 Char"/>
    <w:basedOn w:val="DefaultParagraphFont"/>
    <w:link w:val="Title2"/>
    <w:rsid w:val="00AA434E"/>
    <w:rPr>
      <w:rFonts w:ascii="Century Gothic" w:hAnsi="Century Gothic" w:cs="Century Gothic"/>
      <w:b/>
      <w:color w:val="5F497A" w:themeColor="accent4" w:themeShade="BF"/>
      <w:sz w:val="24"/>
      <w:szCs w:val="24"/>
      <w:lang w:val="en-GB" w:eastAsia="en-US"/>
    </w:rPr>
  </w:style>
  <w:style w:type="paragraph" w:customStyle="1" w:styleId="Title1">
    <w:name w:val="Title 1"/>
    <w:basedOn w:val="Normal"/>
    <w:link w:val="Title1Char"/>
    <w:qFormat/>
    <w:rsid w:val="00AA434E"/>
    <w:rPr>
      <w:rFonts w:eastAsia="Calibri"/>
      <w:sz w:val="40"/>
      <w:szCs w:val="40"/>
      <w:lang w:val="en-GB" w:eastAsia="en-US"/>
    </w:rPr>
  </w:style>
  <w:style w:type="character" w:customStyle="1" w:styleId="Title1Char">
    <w:name w:val="Title 1 Char"/>
    <w:basedOn w:val="Title2Char"/>
    <w:link w:val="Title1"/>
    <w:rsid w:val="00AA434E"/>
    <w:rPr>
      <w:rFonts w:ascii="Century Gothic" w:hAnsi="Century Gothic" w:cs="Century Gothic"/>
      <w:b w:val="0"/>
      <w:color w:val="000000"/>
      <w:sz w:val="40"/>
      <w:szCs w:val="40"/>
      <w:lang w:val="en-GB" w:eastAsia="en-US"/>
    </w:rPr>
  </w:style>
  <w:style w:type="character" w:styleId="CommentReference">
    <w:name w:val="annotation reference"/>
    <w:basedOn w:val="DefaultParagraphFont"/>
    <w:uiPriority w:val="99"/>
    <w:unhideWhenUsed/>
    <w:rsid w:val="000C2972"/>
    <w:rPr>
      <w:sz w:val="16"/>
      <w:szCs w:val="16"/>
    </w:rPr>
  </w:style>
  <w:style w:type="paragraph" w:styleId="CommentText">
    <w:name w:val="annotation text"/>
    <w:basedOn w:val="Normal"/>
    <w:link w:val="CommentTextChar"/>
    <w:uiPriority w:val="99"/>
    <w:unhideWhenUsed/>
    <w:rsid w:val="000C2972"/>
    <w:rPr>
      <w:sz w:val="20"/>
    </w:rPr>
  </w:style>
  <w:style w:type="character" w:customStyle="1" w:styleId="CommentTextChar">
    <w:name w:val="Comment Text Char"/>
    <w:basedOn w:val="DefaultParagraphFont"/>
    <w:link w:val="CommentText"/>
    <w:uiPriority w:val="99"/>
    <w:rsid w:val="000C2972"/>
    <w:rPr>
      <w:rFonts w:ascii="Tahoma" w:hAnsi="Tahoma" w:cs="Century Gothic"/>
      <w:color w:val="000000"/>
    </w:rPr>
  </w:style>
  <w:style w:type="paragraph" w:styleId="CommentSubject">
    <w:name w:val="annotation subject"/>
    <w:basedOn w:val="CommentText"/>
    <w:next w:val="CommentText"/>
    <w:link w:val="CommentSubjectChar"/>
    <w:uiPriority w:val="99"/>
    <w:semiHidden/>
    <w:unhideWhenUsed/>
    <w:rsid w:val="00F81CBF"/>
    <w:rPr>
      <w:b/>
      <w:bCs/>
    </w:rPr>
  </w:style>
  <w:style w:type="character" w:customStyle="1" w:styleId="CommentSubjectChar">
    <w:name w:val="Comment Subject Char"/>
    <w:basedOn w:val="CommentTextChar"/>
    <w:link w:val="CommentSubject"/>
    <w:uiPriority w:val="99"/>
    <w:semiHidden/>
    <w:rsid w:val="00F81CBF"/>
    <w:rPr>
      <w:rFonts w:ascii="Tahoma" w:hAnsi="Tahoma" w:cs="Century Gothic"/>
      <w:b/>
      <w:bCs/>
      <w:color w:val="000000"/>
    </w:rPr>
  </w:style>
  <w:style w:type="paragraph" w:styleId="Caption">
    <w:name w:val="caption"/>
    <w:aliases w:val="Figure,CDM B/Caption,Table Caption,TABLE,Char,Item"/>
    <w:basedOn w:val="Normal"/>
    <w:next w:val="Normal"/>
    <w:link w:val="CaptionChar"/>
    <w:uiPriority w:val="35"/>
    <w:qFormat/>
    <w:rsid w:val="00CB2853"/>
    <w:pPr>
      <w:spacing w:after="220"/>
      <w:jc w:val="both"/>
    </w:pPr>
    <w:rPr>
      <w:rFonts w:ascii="Calibri" w:hAnsi="Calibri" w:cs="Times New Roman"/>
      <w:b/>
      <w:bCs/>
      <w:color w:val="auto"/>
      <w:sz w:val="20"/>
    </w:rPr>
  </w:style>
  <w:style w:type="character" w:customStyle="1" w:styleId="CaptionChar">
    <w:name w:val="Caption Char"/>
    <w:aliases w:val="Figure Char,CDM B/Caption Char,Table Caption Char,TABLE Char,Char Char,Item Char"/>
    <w:basedOn w:val="DefaultParagraphFont"/>
    <w:link w:val="Caption"/>
    <w:uiPriority w:val="35"/>
    <w:locked/>
    <w:rsid w:val="00CB2853"/>
    <w:rPr>
      <w:rFonts w:ascii="Calibri" w:hAnsi="Calibri"/>
      <w:b/>
      <w:bCs/>
    </w:rPr>
  </w:style>
  <w:style w:type="paragraph" w:styleId="NormalWeb">
    <w:name w:val="Normal (Web)"/>
    <w:basedOn w:val="Normal"/>
    <w:uiPriority w:val="99"/>
    <w:rsid w:val="00CB2853"/>
    <w:pPr>
      <w:spacing w:before="100" w:beforeAutospacing="1" w:after="100" w:afterAutospacing="1"/>
      <w:jc w:val="both"/>
    </w:pPr>
    <w:rPr>
      <w:rFonts w:ascii="Calibri" w:hAnsi="Calibri" w:cs="Times New Roman"/>
      <w:color w:val="auto"/>
      <w:sz w:val="20"/>
      <w:lang w:val="en-US" w:eastAsia="en-US"/>
    </w:rPr>
  </w:style>
  <w:style w:type="character" w:customStyle="1" w:styleId="Heading5Char">
    <w:name w:val="Heading 5 Char"/>
    <w:basedOn w:val="DefaultParagraphFont"/>
    <w:link w:val="Heading5"/>
    <w:rsid w:val="00703F39"/>
    <w:rPr>
      <w:rFonts w:ascii="Calibri" w:hAnsi="Calibri" w:cs="Calibri"/>
      <w:i/>
      <w:color w:val="5F497A" w:themeColor="accent4" w:themeShade="BF"/>
      <w:sz w:val="22"/>
      <w:szCs w:val="22"/>
      <w:lang w:val="en-GB" w:eastAsia="en-US"/>
    </w:rPr>
  </w:style>
  <w:style w:type="character" w:customStyle="1" w:styleId="Heading6Char">
    <w:name w:val="Heading 6 Char"/>
    <w:basedOn w:val="DefaultParagraphFont"/>
    <w:link w:val="Heading6"/>
    <w:rsid w:val="00B461DE"/>
    <w:rPr>
      <w:rFonts w:ascii="Calibri" w:hAnsi="Calibri" w:cs="Calibri"/>
      <w:b/>
      <w:sz w:val="24"/>
      <w:szCs w:val="22"/>
      <w:lang w:val="en-GB" w:eastAsia="en-US"/>
    </w:rPr>
  </w:style>
  <w:style w:type="character" w:customStyle="1" w:styleId="Heading7Char">
    <w:name w:val="Heading 7 Char"/>
    <w:basedOn w:val="DefaultParagraphFont"/>
    <w:link w:val="Heading7"/>
    <w:rsid w:val="00B461DE"/>
    <w:rPr>
      <w:rFonts w:ascii="Calibri" w:hAnsi="Calibri" w:cs="Calibri"/>
      <w:b/>
      <w:sz w:val="24"/>
      <w:szCs w:val="22"/>
      <w:lang w:val="en-GB" w:eastAsia="en-US"/>
    </w:rPr>
  </w:style>
  <w:style w:type="character" w:customStyle="1" w:styleId="Heading8Char">
    <w:name w:val="Heading 8 Char"/>
    <w:basedOn w:val="DefaultParagraphFont"/>
    <w:link w:val="Heading8"/>
    <w:rsid w:val="00B461DE"/>
    <w:rPr>
      <w:rFonts w:ascii="Calibri" w:hAnsi="Calibri" w:cs="Calibri"/>
      <w:b/>
      <w:sz w:val="24"/>
      <w:szCs w:val="22"/>
      <w:lang w:val="en-GB" w:eastAsia="en-US"/>
    </w:rPr>
  </w:style>
  <w:style w:type="character" w:customStyle="1" w:styleId="InstructionText">
    <w:name w:val="Instruction Text"/>
    <w:uiPriority w:val="99"/>
    <w:rsid w:val="00B461DE"/>
    <w:rPr>
      <w:i/>
      <w:color w:val="0070C0"/>
    </w:rPr>
  </w:style>
  <w:style w:type="character" w:styleId="PageNumber">
    <w:name w:val="page number"/>
    <w:basedOn w:val="DefaultParagraphFont"/>
    <w:uiPriority w:val="99"/>
    <w:rsid w:val="00B461DE"/>
    <w:rPr>
      <w:rFonts w:cs="Times New Roman"/>
    </w:rPr>
  </w:style>
  <w:style w:type="paragraph" w:styleId="DocumentMap">
    <w:name w:val="Document Map"/>
    <w:basedOn w:val="Normal"/>
    <w:link w:val="DocumentMapChar"/>
    <w:uiPriority w:val="99"/>
    <w:semiHidden/>
    <w:rsid w:val="00B461DE"/>
    <w:pPr>
      <w:shd w:val="clear" w:color="auto" w:fill="000080"/>
      <w:spacing w:after="220"/>
      <w:jc w:val="both"/>
    </w:pPr>
    <w:rPr>
      <w:rFonts w:cs="Tahoma"/>
      <w:color w:val="auto"/>
      <w:sz w:val="20"/>
    </w:rPr>
  </w:style>
  <w:style w:type="character" w:customStyle="1" w:styleId="DocumentMapChar">
    <w:name w:val="Document Map Char"/>
    <w:basedOn w:val="DefaultParagraphFont"/>
    <w:link w:val="DocumentMap"/>
    <w:uiPriority w:val="99"/>
    <w:semiHidden/>
    <w:rsid w:val="00B461DE"/>
    <w:rPr>
      <w:rFonts w:ascii="Tahoma" w:hAnsi="Tahoma" w:cs="Tahoma"/>
      <w:shd w:val="clear" w:color="auto" w:fill="000080"/>
    </w:rPr>
  </w:style>
  <w:style w:type="paragraph" w:styleId="FootnoteText">
    <w:name w:val="footnote text"/>
    <w:basedOn w:val="Normal"/>
    <w:link w:val="FootnoteTextChar"/>
    <w:uiPriority w:val="99"/>
    <w:rsid w:val="00B461DE"/>
    <w:pPr>
      <w:spacing w:after="220"/>
      <w:jc w:val="both"/>
    </w:pPr>
    <w:rPr>
      <w:rFonts w:ascii="Calibri" w:hAnsi="Calibri" w:cs="Times New Roman"/>
      <w:color w:val="auto"/>
      <w:sz w:val="20"/>
    </w:rPr>
  </w:style>
  <w:style w:type="character" w:customStyle="1" w:styleId="FootnoteTextChar">
    <w:name w:val="Footnote Text Char"/>
    <w:basedOn w:val="DefaultParagraphFont"/>
    <w:link w:val="FootnoteText"/>
    <w:uiPriority w:val="99"/>
    <w:rsid w:val="00B461DE"/>
    <w:rPr>
      <w:rFonts w:ascii="Calibri" w:hAnsi="Calibri"/>
    </w:rPr>
  </w:style>
  <w:style w:type="character" w:styleId="FootnoteReference">
    <w:name w:val="footnote reference"/>
    <w:basedOn w:val="DefaultParagraphFont"/>
    <w:uiPriority w:val="99"/>
    <w:rsid w:val="00B461DE"/>
    <w:rPr>
      <w:rFonts w:cs="Times New Roman"/>
      <w:vertAlign w:val="superscript"/>
    </w:rPr>
  </w:style>
  <w:style w:type="paragraph" w:customStyle="1" w:styleId="Para0">
    <w:name w:val="Para 0"/>
    <w:basedOn w:val="Normal"/>
    <w:link w:val="Para0Char"/>
    <w:qFormat/>
    <w:rsid w:val="00B461DE"/>
    <w:pPr>
      <w:spacing w:after="220" w:line="300" w:lineRule="auto"/>
      <w:jc w:val="both"/>
    </w:pPr>
    <w:rPr>
      <w:rFonts w:ascii="Arial" w:hAnsi="Arial" w:cs="Times New Roman"/>
      <w:sz w:val="20"/>
      <w:lang w:val="en-GB" w:eastAsia="en-US"/>
    </w:rPr>
  </w:style>
  <w:style w:type="character" w:customStyle="1" w:styleId="Para0Char">
    <w:name w:val="Para 0 Char"/>
    <w:basedOn w:val="DefaultParagraphFont"/>
    <w:link w:val="Para0"/>
    <w:locked/>
    <w:rsid w:val="00B461DE"/>
    <w:rPr>
      <w:color w:val="000000"/>
      <w:lang w:val="en-GB" w:eastAsia="en-US"/>
    </w:rPr>
  </w:style>
  <w:style w:type="paragraph" w:customStyle="1" w:styleId="Para0bullet">
    <w:name w:val="Para 0 bullet"/>
    <w:basedOn w:val="Para0"/>
    <w:link w:val="Para0bulletChar"/>
    <w:uiPriority w:val="99"/>
    <w:rsid w:val="00B461DE"/>
    <w:pPr>
      <w:numPr>
        <w:numId w:val="7"/>
      </w:numPr>
      <w:spacing w:after="60"/>
    </w:pPr>
    <w:rPr>
      <w:rFonts w:ascii="Calibri" w:hAnsi="Calibri"/>
    </w:rPr>
  </w:style>
  <w:style w:type="character" w:customStyle="1" w:styleId="Para0bulletChar">
    <w:name w:val="Para 0 bullet Char"/>
    <w:basedOn w:val="DefaultParagraphFont"/>
    <w:link w:val="Para0bullet"/>
    <w:uiPriority w:val="99"/>
    <w:locked/>
    <w:rsid w:val="00B461DE"/>
    <w:rPr>
      <w:rFonts w:ascii="Calibri" w:hAnsi="Calibri"/>
      <w:color w:val="000000"/>
      <w:lang w:val="en-GB" w:eastAsia="en-US"/>
    </w:rPr>
  </w:style>
  <w:style w:type="paragraph" w:customStyle="1" w:styleId="Para1number">
    <w:name w:val="Para 1 number"/>
    <w:basedOn w:val="Normal"/>
    <w:uiPriority w:val="99"/>
    <w:rsid w:val="00B461DE"/>
    <w:pPr>
      <w:numPr>
        <w:numId w:val="8"/>
      </w:numPr>
      <w:spacing w:after="60" w:line="300" w:lineRule="auto"/>
      <w:jc w:val="both"/>
    </w:pPr>
    <w:rPr>
      <w:rFonts w:ascii="Arial" w:hAnsi="Arial" w:cs="Times New Roman"/>
      <w:sz w:val="20"/>
      <w:lang w:val="en-GB" w:eastAsia="en-US"/>
    </w:rPr>
  </w:style>
  <w:style w:type="paragraph" w:customStyle="1" w:styleId="prodtitlesub">
    <w:name w:val="prodtitlesub"/>
    <w:basedOn w:val="Normal"/>
    <w:uiPriority w:val="99"/>
    <w:rsid w:val="00B461DE"/>
    <w:pPr>
      <w:spacing w:after="220"/>
      <w:jc w:val="both"/>
    </w:pPr>
    <w:rPr>
      <w:rFonts w:ascii="Verdana" w:hAnsi="Verdana" w:cs="Times New Roman"/>
      <w:b/>
      <w:bCs/>
      <w:color w:val="006699"/>
      <w:sz w:val="26"/>
      <w:szCs w:val="26"/>
      <w:lang w:val="en-US" w:eastAsia="en-US"/>
    </w:rPr>
  </w:style>
  <w:style w:type="character" w:styleId="Hyperlink">
    <w:name w:val="Hyperlink"/>
    <w:basedOn w:val="DefaultParagraphFont"/>
    <w:uiPriority w:val="99"/>
    <w:rsid w:val="00B461DE"/>
    <w:rPr>
      <w:rFonts w:cs="Times New Roman"/>
      <w:color w:val="0000FF"/>
      <w:u w:val="single"/>
    </w:rPr>
  </w:style>
  <w:style w:type="character" w:styleId="Emphasis">
    <w:name w:val="Emphasis"/>
    <w:basedOn w:val="DefaultParagraphFont"/>
    <w:uiPriority w:val="20"/>
    <w:qFormat/>
    <w:rsid w:val="00B461DE"/>
    <w:rPr>
      <w:rFonts w:cs="Times New Roman"/>
      <w:i/>
      <w:iCs/>
    </w:rPr>
  </w:style>
  <w:style w:type="character" w:customStyle="1" w:styleId="external">
    <w:name w:val="external"/>
    <w:basedOn w:val="DefaultParagraphFont"/>
    <w:uiPriority w:val="99"/>
    <w:rsid w:val="00B461DE"/>
    <w:rPr>
      <w:rFonts w:cs="Times New Roman"/>
    </w:rPr>
  </w:style>
  <w:style w:type="character" w:styleId="HTMLAcronym">
    <w:name w:val="HTML Acronym"/>
    <w:basedOn w:val="DefaultParagraphFont"/>
    <w:uiPriority w:val="99"/>
    <w:rsid w:val="00B461DE"/>
    <w:rPr>
      <w:rFonts w:cs="Times New Roman"/>
    </w:rPr>
  </w:style>
  <w:style w:type="paragraph" w:customStyle="1" w:styleId="Appendix1">
    <w:name w:val="Appendix 1"/>
    <w:basedOn w:val="Heading1"/>
    <w:next w:val="Para0"/>
    <w:uiPriority w:val="99"/>
    <w:rsid w:val="00B461DE"/>
    <w:pPr>
      <w:numPr>
        <w:numId w:val="9"/>
      </w:numPr>
      <w:spacing w:before="0"/>
      <w:jc w:val="both"/>
    </w:pPr>
    <w:rPr>
      <w:rFonts w:ascii="Times New Roman" w:hAnsi="Times New Roman" w:cs="Times New Roman"/>
      <w:color w:val="6CB9DC"/>
      <w:lang w:eastAsia="en-US"/>
    </w:rPr>
  </w:style>
  <w:style w:type="paragraph" w:customStyle="1" w:styleId="Appendix2">
    <w:name w:val="Appendix 2"/>
    <w:basedOn w:val="Appendix1"/>
    <w:next w:val="Para0"/>
    <w:uiPriority w:val="99"/>
    <w:rsid w:val="00B461DE"/>
    <w:pPr>
      <w:numPr>
        <w:ilvl w:val="1"/>
      </w:numPr>
      <w:spacing w:before="120" w:after="40"/>
      <w:outlineLvl w:val="1"/>
    </w:pPr>
    <w:rPr>
      <w:sz w:val="22"/>
    </w:rPr>
  </w:style>
  <w:style w:type="paragraph" w:customStyle="1" w:styleId="Appendix3">
    <w:name w:val="Appendix 3"/>
    <w:basedOn w:val="Appendix1"/>
    <w:next w:val="Para0"/>
    <w:uiPriority w:val="99"/>
    <w:rsid w:val="00B461DE"/>
    <w:pPr>
      <w:numPr>
        <w:ilvl w:val="2"/>
      </w:numPr>
      <w:spacing w:before="120" w:after="40"/>
      <w:outlineLvl w:val="2"/>
    </w:pPr>
    <w:rPr>
      <w:sz w:val="22"/>
    </w:rPr>
  </w:style>
  <w:style w:type="paragraph" w:customStyle="1" w:styleId="Head2manual">
    <w:name w:val="Head 2 manual"/>
    <w:basedOn w:val="Normal"/>
    <w:next w:val="Para0"/>
    <w:uiPriority w:val="99"/>
    <w:rsid w:val="00B461DE"/>
    <w:pPr>
      <w:keepNext/>
      <w:spacing w:before="120" w:line="360" w:lineRule="auto"/>
      <w:jc w:val="both"/>
    </w:pPr>
    <w:rPr>
      <w:rFonts w:ascii="Calibri" w:hAnsi="Calibri" w:cs="Times New Roman"/>
      <w:b/>
      <w:color w:val="auto"/>
      <w:sz w:val="24"/>
      <w:lang w:val="en-GB" w:eastAsia="en-US"/>
    </w:rPr>
  </w:style>
  <w:style w:type="paragraph" w:customStyle="1" w:styleId="Para0number">
    <w:name w:val="Para 0 number"/>
    <w:basedOn w:val="Para0"/>
    <w:uiPriority w:val="99"/>
    <w:rsid w:val="00B461DE"/>
    <w:pPr>
      <w:numPr>
        <w:numId w:val="10"/>
      </w:numPr>
      <w:tabs>
        <w:tab w:val="clear" w:pos="397"/>
      </w:tabs>
      <w:spacing w:after="60"/>
      <w:ind w:left="369" w:hanging="369"/>
    </w:pPr>
  </w:style>
  <w:style w:type="character" w:styleId="Strong">
    <w:name w:val="Strong"/>
    <w:basedOn w:val="DefaultParagraphFont"/>
    <w:uiPriority w:val="22"/>
    <w:qFormat/>
    <w:rsid w:val="00B461DE"/>
    <w:rPr>
      <w:rFonts w:cs="Times New Roman"/>
      <w:b/>
      <w:bCs/>
    </w:rPr>
  </w:style>
  <w:style w:type="paragraph" w:customStyle="1" w:styleId="para0bullet0">
    <w:name w:val="para0bullet"/>
    <w:basedOn w:val="Normal"/>
    <w:uiPriority w:val="99"/>
    <w:rsid w:val="00B461DE"/>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basedOn w:val="DefaultParagraphFont"/>
    <w:uiPriority w:val="99"/>
    <w:rsid w:val="00B461DE"/>
    <w:rPr>
      <w:rFonts w:cs="Times New Roman"/>
      <w:color w:val="800080"/>
      <w:u w:val="single"/>
    </w:rPr>
  </w:style>
  <w:style w:type="paragraph" w:styleId="PlainText">
    <w:name w:val="Plain Text"/>
    <w:basedOn w:val="Normal"/>
    <w:link w:val="PlainTextChar"/>
    <w:uiPriority w:val="99"/>
    <w:rsid w:val="00B461DE"/>
    <w:pPr>
      <w:spacing w:after="0"/>
    </w:pPr>
    <w:rPr>
      <w:rFonts w:ascii="Consolas" w:hAnsi="Consolas" w:cs="Times New Roman"/>
      <w:color w:val="auto"/>
      <w:sz w:val="21"/>
      <w:szCs w:val="21"/>
      <w:lang w:eastAsia="en-US"/>
    </w:rPr>
  </w:style>
  <w:style w:type="character" w:customStyle="1" w:styleId="PlainTextChar">
    <w:name w:val="Plain Text Char"/>
    <w:basedOn w:val="DefaultParagraphFont"/>
    <w:link w:val="PlainText"/>
    <w:uiPriority w:val="99"/>
    <w:rsid w:val="00B461DE"/>
    <w:rPr>
      <w:rFonts w:ascii="Consolas" w:hAnsi="Consolas"/>
      <w:sz w:val="21"/>
      <w:szCs w:val="21"/>
      <w:lang w:eastAsia="en-US"/>
    </w:rPr>
  </w:style>
  <w:style w:type="paragraph" w:customStyle="1" w:styleId="StyleStylePara12Arial11ptAfter0pt10ptAuto">
    <w:name w:val="Style Style Para 12 + Arial 11 pt After:  0 pt + 10 pt Auto"/>
    <w:basedOn w:val="Normal"/>
    <w:uiPriority w:val="99"/>
    <w:rsid w:val="00B461DE"/>
    <w:pPr>
      <w:numPr>
        <w:numId w:val="11"/>
      </w:numPr>
      <w:spacing w:after="0"/>
    </w:pPr>
    <w:rPr>
      <w:rFonts w:ascii="Times New Roman" w:hAnsi="Times New Roman" w:cs="Times New Roman"/>
      <w:color w:val="auto"/>
      <w:sz w:val="24"/>
      <w:lang w:eastAsia="en-US"/>
    </w:rPr>
  </w:style>
  <w:style w:type="paragraph" w:customStyle="1" w:styleId="Default">
    <w:name w:val="Default"/>
    <w:rsid w:val="00B461DE"/>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461DE"/>
    <w:rPr>
      <w:rFonts w:cs="Times New Roman"/>
      <w:color w:val="808080"/>
    </w:rPr>
  </w:style>
  <w:style w:type="paragraph" w:styleId="TOCHeading">
    <w:name w:val="TOC Heading"/>
    <w:basedOn w:val="Heading1"/>
    <w:next w:val="Normal"/>
    <w:uiPriority w:val="99"/>
    <w:qFormat/>
    <w:rsid w:val="00B461DE"/>
    <w:pPr>
      <w:keepLines/>
      <w:numPr>
        <w:numId w:val="0"/>
      </w:numPr>
      <w:spacing w:before="480" w:after="0" w:line="276" w:lineRule="auto"/>
      <w:outlineLvl w:val="9"/>
    </w:pPr>
    <w:rPr>
      <w:rFonts w:ascii="Cambria" w:hAnsi="Cambria" w:cs="Times New Roman"/>
      <w:bCs/>
      <w:color w:val="365F91"/>
      <w:sz w:val="28"/>
      <w:szCs w:val="28"/>
      <w:lang w:val="en-US" w:eastAsia="en-US"/>
    </w:rPr>
  </w:style>
  <w:style w:type="paragraph" w:styleId="TOC1">
    <w:name w:val="toc 1"/>
    <w:basedOn w:val="Normal"/>
    <w:next w:val="Normal"/>
    <w:autoRedefine/>
    <w:uiPriority w:val="39"/>
    <w:rsid w:val="00B461DE"/>
    <w:pPr>
      <w:tabs>
        <w:tab w:val="left" w:pos="440"/>
        <w:tab w:val="left" w:pos="9498"/>
      </w:tabs>
      <w:spacing w:after="100"/>
      <w:ind w:left="440" w:right="1133" w:hanging="440"/>
    </w:pPr>
    <w:rPr>
      <w:rFonts w:ascii="Century Gothic" w:hAnsi="Century Gothic" w:cs="Times New Roman"/>
      <w:b/>
      <w:noProof/>
      <w:color w:val="auto"/>
      <w:sz w:val="24"/>
      <w:szCs w:val="24"/>
    </w:rPr>
  </w:style>
  <w:style w:type="paragraph" w:styleId="TOC2">
    <w:name w:val="toc 2"/>
    <w:basedOn w:val="Normal"/>
    <w:next w:val="Normal"/>
    <w:autoRedefine/>
    <w:uiPriority w:val="39"/>
    <w:rsid w:val="00B461DE"/>
    <w:pPr>
      <w:tabs>
        <w:tab w:val="left" w:pos="880"/>
        <w:tab w:val="left" w:pos="9498"/>
      </w:tabs>
      <w:spacing w:after="100"/>
      <w:ind w:left="880" w:right="1135" w:hanging="660"/>
    </w:pPr>
    <w:rPr>
      <w:rFonts w:ascii="Century Gothic" w:hAnsi="Century Gothic" w:cs="Times New Roman"/>
      <w:noProof/>
      <w:color w:val="auto"/>
      <w:sz w:val="20"/>
    </w:rPr>
  </w:style>
  <w:style w:type="paragraph" w:styleId="TOC3">
    <w:name w:val="toc 3"/>
    <w:basedOn w:val="Normal"/>
    <w:next w:val="Normal"/>
    <w:autoRedefine/>
    <w:uiPriority w:val="39"/>
    <w:rsid w:val="00B461DE"/>
    <w:pPr>
      <w:tabs>
        <w:tab w:val="left" w:pos="1320"/>
        <w:tab w:val="right" w:pos="9356"/>
      </w:tabs>
      <w:spacing w:after="100"/>
      <w:ind w:left="440" w:right="-142"/>
      <w:jc w:val="both"/>
    </w:pPr>
    <w:rPr>
      <w:rFonts w:ascii="Calibri" w:hAnsi="Calibri" w:cs="Times New Roman"/>
      <w:color w:val="auto"/>
      <w:sz w:val="20"/>
    </w:rPr>
  </w:style>
  <w:style w:type="paragraph" w:styleId="Revision">
    <w:name w:val="Revision"/>
    <w:hidden/>
    <w:uiPriority w:val="99"/>
    <w:semiHidden/>
    <w:rsid w:val="00B461DE"/>
    <w:rPr>
      <w:rFonts w:ascii="Calibri" w:hAnsi="Calibri"/>
    </w:rPr>
  </w:style>
  <w:style w:type="paragraph" w:customStyle="1" w:styleId="Bullet">
    <w:name w:val="Bullet"/>
    <w:basedOn w:val="Normal"/>
    <w:uiPriority w:val="99"/>
    <w:rsid w:val="00B461DE"/>
    <w:pPr>
      <w:numPr>
        <w:numId w:val="12"/>
      </w:numPr>
      <w:spacing w:after="240"/>
    </w:pPr>
    <w:rPr>
      <w:rFonts w:ascii="Times New Roman" w:hAnsi="Times New Roman" w:cs="Times New Roman"/>
      <w:color w:val="auto"/>
      <w:sz w:val="24"/>
      <w:szCs w:val="24"/>
      <w:lang w:eastAsia="en-US"/>
    </w:rPr>
  </w:style>
  <w:style w:type="paragraph" w:customStyle="1" w:styleId="Dash">
    <w:name w:val="Dash"/>
    <w:basedOn w:val="Normal"/>
    <w:uiPriority w:val="99"/>
    <w:rsid w:val="00B461DE"/>
    <w:pPr>
      <w:numPr>
        <w:ilvl w:val="1"/>
        <w:numId w:val="12"/>
      </w:numPr>
      <w:spacing w:after="240"/>
    </w:pPr>
    <w:rPr>
      <w:rFonts w:ascii="Times New Roman" w:hAnsi="Times New Roman" w:cs="Times New Roman"/>
      <w:color w:val="auto"/>
      <w:sz w:val="24"/>
      <w:szCs w:val="24"/>
      <w:lang w:eastAsia="en-US"/>
    </w:rPr>
  </w:style>
  <w:style w:type="paragraph" w:customStyle="1" w:styleId="DoubleDot">
    <w:name w:val="Double Dot"/>
    <w:basedOn w:val="Normal"/>
    <w:uiPriority w:val="99"/>
    <w:rsid w:val="00B461DE"/>
    <w:pPr>
      <w:numPr>
        <w:ilvl w:val="2"/>
        <w:numId w:val="12"/>
      </w:numPr>
      <w:spacing w:after="240"/>
    </w:pPr>
    <w:rPr>
      <w:rFonts w:ascii="Times New Roman" w:hAnsi="Times New Roman" w:cs="Times New Roman"/>
      <w:color w:val="auto"/>
      <w:sz w:val="24"/>
      <w:szCs w:val="24"/>
      <w:lang w:eastAsia="en-US"/>
    </w:rPr>
  </w:style>
  <w:style w:type="paragraph" w:styleId="BodyText">
    <w:name w:val="Body Text"/>
    <w:link w:val="BodyTextChar"/>
    <w:rsid w:val="00B461DE"/>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sz w:val="22"/>
      <w:szCs w:val="22"/>
    </w:rPr>
  </w:style>
  <w:style w:type="character" w:customStyle="1" w:styleId="BodyTextChar">
    <w:name w:val="Body Text Char"/>
    <w:basedOn w:val="DefaultParagraphFont"/>
    <w:link w:val="BodyText"/>
    <w:rsid w:val="00B461DE"/>
    <w:rPr>
      <w:sz w:val="22"/>
      <w:szCs w:val="22"/>
    </w:rPr>
  </w:style>
  <w:style w:type="table" w:customStyle="1" w:styleId="TableGrid1">
    <w:name w:val="Table Grid1"/>
    <w:basedOn w:val="TableNormal"/>
    <w:uiPriority w:val="3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B461DE"/>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B461DE"/>
    <w:rPr>
      <w:rFonts w:ascii="Times New Roman" w:hAnsi="Times New Roman"/>
      <w:color w:val="000000"/>
      <w:sz w:val="24"/>
      <w:lang w:eastAsia="en-US"/>
    </w:rPr>
  </w:style>
  <w:style w:type="paragraph" w:styleId="EndnoteText">
    <w:name w:val="endnote text"/>
    <w:basedOn w:val="Normal"/>
    <w:link w:val="EndnoteTextChar"/>
    <w:uiPriority w:val="99"/>
    <w:semiHidden/>
    <w:unhideWhenUsed/>
    <w:rsid w:val="00B461DE"/>
    <w:pPr>
      <w:spacing w:after="0"/>
      <w:jc w:val="both"/>
    </w:pPr>
    <w:rPr>
      <w:rFonts w:ascii="Calibri" w:hAnsi="Calibri" w:cs="Times New Roman"/>
      <w:color w:val="auto"/>
      <w:sz w:val="20"/>
    </w:rPr>
  </w:style>
  <w:style w:type="character" w:customStyle="1" w:styleId="EndnoteTextChar">
    <w:name w:val="Endnote Text Char"/>
    <w:basedOn w:val="DefaultParagraphFont"/>
    <w:link w:val="EndnoteText"/>
    <w:uiPriority w:val="99"/>
    <w:semiHidden/>
    <w:rsid w:val="00B461DE"/>
    <w:rPr>
      <w:rFonts w:ascii="Calibri" w:hAnsi="Calibri"/>
    </w:rPr>
  </w:style>
  <w:style w:type="character" w:styleId="EndnoteReference">
    <w:name w:val="endnote reference"/>
    <w:basedOn w:val="DefaultParagraphFont"/>
    <w:uiPriority w:val="99"/>
    <w:semiHidden/>
    <w:unhideWhenUsed/>
    <w:rsid w:val="00B461DE"/>
    <w:rPr>
      <w:vertAlign w:val="superscript"/>
    </w:rPr>
  </w:style>
  <w:style w:type="paragraph" w:customStyle="1" w:styleId="style2">
    <w:name w:val="style2"/>
    <w:basedOn w:val="Normal"/>
    <w:rsid w:val="00B461DE"/>
    <w:pPr>
      <w:spacing w:before="100" w:beforeAutospacing="1" w:after="100" w:afterAutospacing="1"/>
    </w:pPr>
    <w:rPr>
      <w:rFonts w:ascii="Times New Roman" w:eastAsia="Calibri" w:hAnsi="Times New Roman" w:cs="Times New Roman"/>
      <w:color w:val="auto"/>
      <w:sz w:val="24"/>
      <w:szCs w:val="24"/>
    </w:rPr>
  </w:style>
  <w:style w:type="paragraph" w:styleId="TableofFigures">
    <w:name w:val="table of figures"/>
    <w:aliases w:val="List of Tables"/>
    <w:basedOn w:val="Normal"/>
    <w:next w:val="Normal"/>
    <w:link w:val="TableofFiguresChar"/>
    <w:uiPriority w:val="99"/>
    <w:unhideWhenUsed/>
    <w:qFormat/>
    <w:rsid w:val="00B461DE"/>
    <w:pPr>
      <w:spacing w:after="0"/>
      <w:jc w:val="both"/>
    </w:pPr>
    <w:rPr>
      <w:rFonts w:ascii="Calibri" w:hAnsi="Calibri" w:cs="Times New Roman"/>
      <w:color w:val="auto"/>
      <w:sz w:val="20"/>
    </w:rPr>
  </w:style>
  <w:style w:type="character" w:customStyle="1" w:styleId="TableofFiguresChar">
    <w:name w:val="Table of Figures Char"/>
    <w:aliases w:val="List of Tables Char"/>
    <w:basedOn w:val="DefaultParagraphFont"/>
    <w:link w:val="TableofFigures"/>
    <w:uiPriority w:val="99"/>
    <w:rsid w:val="00B461DE"/>
    <w:rPr>
      <w:rFonts w:ascii="Calibri" w:hAnsi="Calibri"/>
    </w:rPr>
  </w:style>
  <w:style w:type="paragraph" w:customStyle="1" w:styleId="Tableheader">
    <w:name w:val="Table header"/>
    <w:basedOn w:val="Normal"/>
    <w:rsid w:val="00B461DE"/>
    <w:pPr>
      <w:suppressAutoHyphens/>
      <w:spacing w:after="0"/>
    </w:pPr>
    <w:rPr>
      <w:rFonts w:ascii="Arial" w:hAnsi="Arial" w:cs="Myriad Pro Light"/>
      <w:b/>
      <w:color w:val="auto"/>
      <w:sz w:val="20"/>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B461DE"/>
    <w:rPr>
      <w:rFonts w:asciiTheme="minorHAnsi" w:hAnsiTheme="minorHAnsi" w:cs="Century Gothic"/>
      <w:color w:val="000000"/>
      <w:sz w:val="22"/>
    </w:rPr>
  </w:style>
  <w:style w:type="table" w:customStyle="1" w:styleId="LightShading-Accent11">
    <w:name w:val="Light Shading - Accent 11"/>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B461DE"/>
    <w:pPr>
      <w:tabs>
        <w:tab w:val="left" w:pos="851"/>
      </w:tabs>
      <w:spacing w:before="120" w:line="360" w:lineRule="auto"/>
      <w:jc w:val="both"/>
    </w:pPr>
    <w:rPr>
      <w:rFonts w:ascii="Century Gothic" w:hAnsi="Century Gothic" w:cs="Angsana New"/>
      <w:color w:val="auto"/>
      <w:szCs w:val="22"/>
      <w:lang w:eastAsia="zh-CN" w:bidi="th-TH"/>
    </w:rPr>
  </w:style>
  <w:style w:type="character" w:customStyle="1" w:styleId="A3">
    <w:name w:val="A3"/>
    <w:uiPriority w:val="99"/>
    <w:rsid w:val="00B461DE"/>
    <w:rPr>
      <w:rFonts w:ascii="AvantGarde" w:hAnsi="AvantGarde" w:cs="AvantGarde" w:hint="default"/>
      <w:color w:val="000000"/>
      <w:sz w:val="14"/>
      <w:szCs w:val="14"/>
    </w:rPr>
  </w:style>
  <w:style w:type="paragraph" w:customStyle="1" w:styleId="text">
    <w:name w:val="text"/>
    <w:basedOn w:val="Normal"/>
    <w:rsid w:val="00B461DE"/>
    <w:rPr>
      <w:rFonts w:ascii="Arial" w:eastAsiaTheme="minorHAnsi" w:hAnsi="Arial" w:cs="Arial"/>
      <w:color w:val="auto"/>
      <w:szCs w:val="22"/>
    </w:rPr>
  </w:style>
  <w:style w:type="paragraph" w:customStyle="1" w:styleId="tableheader0">
    <w:name w:val="tableheader"/>
    <w:basedOn w:val="Normal"/>
    <w:rsid w:val="00B461DE"/>
    <w:pPr>
      <w:spacing w:after="0"/>
    </w:pPr>
    <w:rPr>
      <w:rFonts w:ascii="Arial" w:eastAsiaTheme="minorHAnsi" w:hAnsi="Arial" w:cs="Arial"/>
      <w:b/>
      <w:bCs/>
      <w:color w:val="auto"/>
      <w:sz w:val="20"/>
    </w:rPr>
  </w:style>
  <w:style w:type="paragraph" w:customStyle="1" w:styleId="tabletext0">
    <w:name w:val="tabletext"/>
    <w:basedOn w:val="Normal"/>
    <w:rsid w:val="00B461DE"/>
    <w:pPr>
      <w:spacing w:before="60" w:after="60"/>
    </w:pPr>
    <w:rPr>
      <w:rFonts w:ascii="Arial" w:eastAsiaTheme="minorHAnsi" w:hAnsi="Arial" w:cs="Arial"/>
      <w:color w:val="auto"/>
      <w:sz w:val="18"/>
      <w:szCs w:val="18"/>
    </w:rPr>
  </w:style>
  <w:style w:type="paragraph" w:styleId="NoSpacing">
    <w:name w:val="No Spacing"/>
    <w:link w:val="NoSpacingChar"/>
    <w:uiPriority w:val="1"/>
    <w:qFormat/>
    <w:rsid w:val="00B461DE"/>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461DE"/>
  </w:style>
  <w:style w:type="numbering" w:customStyle="1" w:styleId="KeyPoints1">
    <w:name w:val="Key Points1"/>
    <w:basedOn w:val="NoList"/>
    <w:uiPriority w:val="99"/>
    <w:rsid w:val="00B461DE"/>
  </w:style>
  <w:style w:type="numbering" w:customStyle="1" w:styleId="BulletList1">
    <w:name w:val="Bullet List1"/>
    <w:uiPriority w:val="99"/>
    <w:rsid w:val="00B461DE"/>
  </w:style>
  <w:style w:type="numbering" w:customStyle="1" w:styleId="Attach1">
    <w:name w:val="Attach1"/>
    <w:basedOn w:val="NoList"/>
    <w:uiPriority w:val="99"/>
    <w:rsid w:val="00B461DE"/>
  </w:style>
  <w:style w:type="table" w:customStyle="1" w:styleId="TableGrid2">
    <w:name w:val="Table Grid2"/>
    <w:basedOn w:val="TableNormal"/>
    <w:next w:val="TableGrid"/>
    <w:uiPriority w:val="59"/>
    <w:rsid w:val="00B461DE"/>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NoList11">
    <w:name w:val="No List11"/>
    <w:next w:val="NoList"/>
    <w:uiPriority w:val="99"/>
    <w:semiHidden/>
    <w:unhideWhenUsed/>
    <w:rsid w:val="00B461DE"/>
  </w:style>
  <w:style w:type="numbering" w:customStyle="1" w:styleId="BulletList11">
    <w:name w:val="Bullet List11"/>
    <w:uiPriority w:val="99"/>
    <w:rsid w:val="00B461DE"/>
    <w:pPr>
      <w:numPr>
        <w:numId w:val="13"/>
      </w:numPr>
    </w:pPr>
  </w:style>
  <w:style w:type="numbering" w:customStyle="1" w:styleId="KeyPoints11">
    <w:name w:val="Key Points11"/>
    <w:basedOn w:val="NoList"/>
    <w:uiPriority w:val="99"/>
    <w:rsid w:val="00B461DE"/>
    <w:pPr>
      <w:numPr>
        <w:numId w:val="14"/>
      </w:numPr>
    </w:pPr>
  </w:style>
  <w:style w:type="numbering" w:customStyle="1" w:styleId="Attach11">
    <w:name w:val="Attach11"/>
    <w:basedOn w:val="NoList"/>
    <w:uiPriority w:val="99"/>
    <w:rsid w:val="00B461DE"/>
    <w:pPr>
      <w:numPr>
        <w:numId w:val="15"/>
      </w:numPr>
    </w:pPr>
  </w:style>
  <w:style w:type="table" w:customStyle="1" w:styleId="TableGrid21">
    <w:name w:val="Table Grid21"/>
    <w:basedOn w:val="TableNormal"/>
    <w:next w:val="TableGrid"/>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B461DE"/>
    <w:pPr>
      <w:numPr>
        <w:numId w:val="16"/>
      </w:numPr>
      <w:spacing w:before="240" w:after="240"/>
    </w:pPr>
    <w:rPr>
      <w:rFonts w:ascii="Arial" w:eastAsiaTheme="minorHAnsi" w:hAnsi="Arial" w:cs="Arial"/>
      <w:b/>
      <w:bCs/>
      <w:color w:val="auto"/>
      <w:sz w:val="32"/>
      <w:szCs w:val="32"/>
    </w:rPr>
  </w:style>
  <w:style w:type="paragraph" w:customStyle="1" w:styleId="LegalClauseLevel2">
    <w:name w:val="Legal Clause Level 2"/>
    <w:basedOn w:val="Normal"/>
    <w:rsid w:val="00B461DE"/>
    <w:pPr>
      <w:keepNext/>
      <w:numPr>
        <w:ilvl w:val="1"/>
        <w:numId w:val="16"/>
      </w:numPr>
      <w:spacing w:before="60" w:after="60" w:line="280" w:lineRule="exact"/>
    </w:pPr>
    <w:rPr>
      <w:rFonts w:ascii="Arial" w:eastAsiaTheme="minorHAnsi" w:hAnsi="Arial" w:cs="Arial"/>
      <w:b/>
      <w:bCs/>
      <w:color w:val="auto"/>
      <w:sz w:val="24"/>
      <w:szCs w:val="24"/>
    </w:rPr>
  </w:style>
  <w:style w:type="character" w:customStyle="1" w:styleId="fontweightbold1">
    <w:name w:val="fontweightbold1"/>
    <w:basedOn w:val="DefaultParagraphFont"/>
    <w:rsid w:val="00B461DE"/>
    <w:rPr>
      <w:b/>
      <w:bCs/>
    </w:rPr>
  </w:style>
  <w:style w:type="paragraph" w:customStyle="1" w:styleId="TableH1">
    <w:name w:val="Table H1"/>
    <w:basedOn w:val="Normal"/>
    <w:link w:val="TableH1Char"/>
    <w:qFormat/>
    <w:rsid w:val="00B461D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461D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461DE"/>
    <w:rPr>
      <w:rFonts w:eastAsiaTheme="minorHAnsi"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B461DE"/>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B461DE"/>
    <w:pPr>
      <w:widowControl w:val="0"/>
      <w:spacing w:after="0"/>
    </w:pPr>
    <w:rPr>
      <w:rFonts w:eastAsiaTheme="minorHAnsi" w:cstheme="minorBidi"/>
      <w:color w:val="auto"/>
      <w:szCs w:val="22"/>
      <w:lang w:val="en-US" w:eastAsia="en-US"/>
    </w:rPr>
  </w:style>
  <w:style w:type="paragraph" w:customStyle="1" w:styleId="Reversetitlepage">
    <w:name w:val="Reverse title page"/>
    <w:basedOn w:val="Normal"/>
    <w:rsid w:val="00B461DE"/>
    <w:pPr>
      <w:tabs>
        <w:tab w:val="left" w:pos="340"/>
      </w:tabs>
      <w:spacing w:before="60" w:line="260" w:lineRule="atLeast"/>
    </w:pPr>
    <w:rPr>
      <w:rFonts w:ascii="Arial" w:hAnsi="Arial" w:cs="Times New Roman"/>
      <w:color w:val="auto"/>
      <w:sz w:val="18"/>
      <w:lang w:eastAsia="en-US"/>
    </w:rPr>
  </w:style>
  <w:style w:type="character" w:customStyle="1" w:styleId="UnresolvedMention">
    <w:name w:val="Unresolved Mention"/>
    <w:basedOn w:val="DefaultParagraphFont"/>
    <w:uiPriority w:val="99"/>
    <w:semiHidden/>
    <w:unhideWhenUsed/>
    <w:rsid w:val="00F62C99"/>
    <w:rPr>
      <w:color w:val="605E5C"/>
      <w:shd w:val="clear" w:color="auto" w:fill="E1DFDD"/>
    </w:rPr>
  </w:style>
  <w:style w:type="paragraph" w:customStyle="1" w:styleId="DotStyle1">
    <w:name w:val="Dot Style1"/>
    <w:basedOn w:val="Normal"/>
    <w:next w:val="Normal"/>
    <w:link w:val="DotStyle1Char"/>
    <w:qFormat/>
    <w:rsid w:val="00703F39"/>
    <w:pPr>
      <w:numPr>
        <w:numId w:val="34"/>
      </w:numPr>
    </w:pPr>
    <w:rPr>
      <w:lang w:val="en-GB"/>
    </w:rPr>
  </w:style>
  <w:style w:type="character" w:customStyle="1" w:styleId="DotStyle1Char">
    <w:name w:val="Dot Style1 Char"/>
    <w:basedOn w:val="DefaultParagraphFont"/>
    <w:link w:val="DotStyle1"/>
    <w:rsid w:val="00703F39"/>
    <w:rPr>
      <w:rFonts w:asciiTheme="minorHAnsi" w:hAnsiTheme="minorHAnsi" w:cs="Century Gothic"/>
      <w:color w:val="000000"/>
      <w:sz w:val="22"/>
      <w:lang w:val="en-GB"/>
    </w:rPr>
  </w:style>
  <w:style w:type="paragraph" w:customStyle="1" w:styleId="DotStyle2">
    <w:name w:val="Dot Style2"/>
    <w:basedOn w:val="DotStyle1"/>
    <w:next w:val="Normal"/>
    <w:link w:val="DotStyle2Char"/>
    <w:qFormat/>
    <w:rsid w:val="00703F39"/>
    <w:pPr>
      <w:numPr>
        <w:numId w:val="35"/>
      </w:numPr>
      <w:ind w:right="-1"/>
    </w:pPr>
  </w:style>
  <w:style w:type="character" w:customStyle="1" w:styleId="DotStyle2Char">
    <w:name w:val="Dot Style2 Char"/>
    <w:basedOn w:val="DotStyle1Char"/>
    <w:link w:val="DotStyle2"/>
    <w:rsid w:val="00703F39"/>
    <w:rPr>
      <w:rFonts w:asciiTheme="minorHAnsi" w:hAnsiTheme="minorHAnsi" w:cs="Century Gothic"/>
      <w:color w:val="000000"/>
      <w:sz w:val="22"/>
      <w:lang w:val="en-GB"/>
    </w:rPr>
  </w:style>
  <w:style w:type="character" w:customStyle="1" w:styleId="app-title-description">
    <w:name w:val="app-title-description"/>
    <w:basedOn w:val="DefaultParagraphFont"/>
    <w:rsid w:val="00A3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water@awe.gov.au" TargetMode="External"/><Relationship Id="rId26" Type="http://schemas.openxmlformats.org/officeDocument/2006/relationships/header" Target="header7.xml"/><Relationship Id="rId39" Type="http://schemas.openxmlformats.org/officeDocument/2006/relationships/hyperlink" Target="https://www.environment.gov.au/water/cewo/catchment/northernunregulated-rivers/monitoring"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bom.gov.au/water/focus/documents/Water_Focus_Report_Condamine-Balonne_v4.pdf" TargetMode="External"/><Relationship Id="rId42" Type="http://schemas.openxmlformats.org/officeDocument/2006/relationships/hyperlink" Target="http://ewkr.com.au/dryland-river-waterholes-important-refuges-for-river-life-especially-during-dry-times/" TargetMode="Externa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s://www.environment.gov.au/water/cewo/catchment/northern-unregulated-rivers/monitoring" TargetMode="External"/><Relationship Id="rId38" Type="http://schemas.openxmlformats.org/officeDocument/2006/relationships/hyperlink" Target="http://www.bom.gov.au/climate/outlooks/"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environment.gov.au/water/cewo/publications" TargetMode="External"/><Relationship Id="rId20" Type="http://schemas.openxmlformats.org/officeDocument/2006/relationships/header" Target="header4.xml"/><Relationship Id="rId29" Type="http://schemas.microsoft.com/office/2007/relationships/hdphoto" Target="media/hdphoto1.wdp"/><Relationship Id="rId41" Type="http://schemas.openxmlformats.org/officeDocument/2006/relationships/hyperlink" Target="http://ewkr.com.au/determining-seed-diversity-across-mdb-so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yperlink" Target="http://www.bom.gov.au/climate/outlooks/" TargetMode="External"/><Relationship Id="rId40" Type="http://schemas.openxmlformats.org/officeDocument/2006/relationships/hyperlink" Target="https://www.environment.gov.au/system/files/resources/229f77eb-5d54-46ec-a5a6-2d47ed6cac69/files/lower-balonne-flow-update-5.pdf" TargetMode="External"/><Relationship Id="rId45" Type="http://schemas.openxmlformats.org/officeDocument/2006/relationships/hyperlink" Target="https://www.environment.nsw.gov.au/-/media/OEH/Corporate-Site/Documents/Water/Water-for-the-environment/intersecting-streams-long-term-water-plan-parts-a-b-190307.pdf"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3.png"/><Relationship Id="rId36" Type="http://schemas.openxmlformats.org/officeDocument/2006/relationships/hyperlink" Target="http://www.bom.gov.au/climate/outlooks/"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nvironment.gov.au/water/cewo" TargetMode="External"/><Relationship Id="rId31" Type="http://schemas.openxmlformats.org/officeDocument/2006/relationships/image" Target="media/image5.png"/><Relationship Id="rId44" Type="http://schemas.openxmlformats.org/officeDocument/2006/relationships/hyperlink" Target="http://ewkr.com.au/do-floodplain-trees-need-floo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4.png"/><Relationship Id="rId35" Type="http://schemas.openxmlformats.org/officeDocument/2006/relationships/hyperlink" Target="http://www.bom.gov.au/climate/outlooks/" TargetMode="External"/><Relationship Id="rId43" Type="http://schemas.openxmlformats.org/officeDocument/2006/relationships/hyperlink" Target="https://www.mdba.gov.au/sites/default/files/pubs/qld-condamine-balonne-ecological-risk-assessment-report-2018_1.pdf" TargetMode="External"/><Relationship Id="rId48" Type="http://schemas.openxmlformats.org/officeDocument/2006/relationships/header" Target="header9.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3BBB7E91-70E4-4EA0-A736-FE154E10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F6DB-79B1-402B-A853-146A10D1DB67}">
  <ds:schemaRefs>
    <ds:schemaRef ds:uri="http://schemas.microsoft.com/sharepoint/v3/contenttype/forms"/>
  </ds:schemaRefs>
</ds:datastoreItem>
</file>

<file path=customXml/itemProps3.xml><?xml version="1.0" encoding="utf-8"?>
<ds:datastoreItem xmlns:ds="http://schemas.openxmlformats.org/officeDocument/2006/customXml" ds:itemID="{5C504D20-5C57-4FCA-8F23-80E516D74B9B}">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c7ce04e-ea5d-4d46-bab0-39b1fa6a6f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73848CA8.dotm</Template>
  <TotalTime>1</TotalTime>
  <Pages>15</Pages>
  <Words>5856</Words>
  <Characters>33384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Plan 2020-21: Chapter 3.2 - Condamine-Balonne</dc:title>
  <dc:subject/>
  <dc:creator>CEWO</dc:creator>
  <cp:keywords/>
  <dc:description/>
  <cp:lastModifiedBy>Bec Durack</cp:lastModifiedBy>
  <cp:revision>2</cp:revision>
  <dcterms:created xsi:type="dcterms:W3CDTF">2020-07-30T05:32:00Z</dcterms:created>
  <dcterms:modified xsi:type="dcterms:W3CDTF">2020-07-30T05:32:00Z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